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20251223_153238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0052A3"/>
          <w:sz w:val="60"/>
        </w:rPr>
        <w:t>PROJECT CHARTER</w:t>
      </w:r>
    </w:p>
    <w:p>
      <w:pPr>
        <w:jc w:val="center"/>
      </w:pPr>
      <w:r>
        <w:rPr>
          <w:i/>
          <w:color w:val="1E40AF"/>
          <w:sz w:val="28"/>
        </w:rPr>
        <w:t>Gestión de Proyectos según Metodología PMI</w:t>
      </w:r>
    </w:p>
    <w:p>
      <w:pPr>
        <w:jc w:val="center"/>
      </w:pPr>
      <w:r>
        <w:rPr>
          <w:color w:val="1E40AF"/>
          <w:sz w:val="36"/>
        </w:rPr>
        <w:t>SISTEMA DE INSTALACIÓN ELÉCTRICA INDUSTRIAL</w:t>
      </w:r>
    </w:p>
    <w:p>
      <w:pPr>
        <w:jc w:val="center"/>
      </w:pPr>
      <w:r>
        <w:rPr>
          <w:b/>
          <w:color w:val="1E40AF"/>
          <w:sz w:val="28"/>
        </w:rPr>
        <w:t>PROY-PMI-001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CLIENTE</w:t>
            </w:r>
          </w:p>
          <w:p>
            <w:r>
              <w:rPr>
                <w:b/>
                <w:color w:val="0052A3"/>
                <w:sz w:val="28"/>
              </w:rPr>
              <w:t>Rogelio Infantas Contreras</w:t>
            </w:r>
          </w:p>
        </w:tc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DURACIÓN TOTAL</w:t>
            </w:r>
          </w:p>
          <w:p>
            <w:r>
              <w:rPr>
                <w:b/>
                <w:color w:val="0052A3"/>
                <w:sz w:val="28"/>
              </w:rPr>
              <w:t>60 días</w:t>
            </w:r>
          </w:p>
        </w:tc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INICIO</w:t>
            </w:r>
          </w:p>
          <w:p>
            <w:r>
              <w:rPr>
                <w:b/>
                <w:color w:val="0052A3"/>
                <w:sz w:val="28"/>
              </w:rPr>
              <w:t>01/01/2025</w:t>
            </w:r>
          </w:p>
        </w:tc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FIN ESTIMADO</w:t>
            </w:r>
          </w:p>
          <w:p>
            <w:r>
              <w:rPr>
                <w:b/>
                <w:color w:val="0052A3"/>
                <w:sz w:val="28"/>
              </w:rPr>
              <w:t>28/02/2025</w:t>
            </w:r>
          </w:p>
        </w:tc>
      </w:tr>
    </w:tbl>
    <w:p/>
    <w:p>
      <w:pPr>
        <w:jc w:val="center"/>
      </w:pPr>
      <w:r>
        <w:rPr>
          <w:color w:val="6B7280"/>
          <w:sz w:val="24"/>
        </w:rPr>
        <w:t>PRESUPUESTO TOTAL DEL PROYECTO</w:t>
      </w:r>
    </w:p>
    <w:p>
      <w:pPr>
        <w:jc w:val="center"/>
      </w:pPr>
      <w:r>
        <w:rPr>
          <w:b/>
          <w:color w:val="0052A3"/>
          <w:sz w:val="72"/>
        </w:rPr>
        <w:t>$ 75,000</w:t>
      </w:r>
    </w:p>
    <w:p/>
    <w:p>
      <w:r>
        <w:rPr>
          <w:b/>
          <w:color w:val="0052A3"/>
          <w:sz w:val="36"/>
        </w:rPr>
        <w:t>INDICADORES DE DESEMPEÑO (KPIs)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24"/>
              </w:rPr>
              <w:t>SPI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24"/>
              </w:rPr>
              <w:t>CPI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24"/>
              </w:rPr>
              <w:t>EV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24"/>
              </w:rPr>
              <w:t>PV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24"/>
              </w:rPr>
              <w:t>AC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>
              <w:rPr>
                <w:b/>
                <w:color w:val="0052A3"/>
                <w:sz w:val="40"/>
              </w:rPr>
              <w:t>1.05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color w:val="0052A3"/>
                <w:sz w:val="40"/>
              </w:rPr>
              <w:t>0.98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color w:val="0052A3"/>
                <w:sz w:val="40"/>
              </w:rPr>
              <w:t>$45K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color w:val="0052A3"/>
                <w:sz w:val="40"/>
              </w:rPr>
              <w:t>$43K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color w:val="0052A3"/>
                <w:sz w:val="40"/>
              </w:rPr>
              <w:t>$46K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>
              <w:rPr>
                <w:color w:val="9CA3AF"/>
                <w:sz w:val="18"/>
              </w:rPr>
              <w:t>Schedule Performance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color w:val="9CA3AF"/>
                <w:sz w:val="18"/>
              </w:rPr>
              <w:t>Cost Performance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color w:val="9CA3AF"/>
                <w:sz w:val="18"/>
              </w:rPr>
              <w:t>Earned Value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color w:val="9CA3AF"/>
                <w:sz w:val="18"/>
              </w:rPr>
              <w:t>Planned Value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color w:val="9CA3AF"/>
                <w:sz w:val="18"/>
              </w:rPr>
              <w:t>Actual Cost</w:t>
            </w:r>
          </w:p>
        </w:tc>
      </w:tr>
    </w:tbl>
    <w:p/>
    <w:p>
      <w:r>
        <w:rPr>
          <w:b/>
          <w:color w:val="0052A3"/>
          <w:sz w:val="36"/>
        </w:rPr>
        <w:t>ALCANCE DEL PROYECTO (WBS Level 1)</w:t>
      </w:r>
    </w:p>
    <w:p>
      <w:pPr>
        <w:jc w:val="both"/>
      </w:pPr>
      <w:r>
        <w:rPr>
          <w:sz w:val="24"/>
        </w:rPr>
        <w:t>Descripción del alcance del proyecto...</w:t>
      </w:r>
    </w:p>
    <w:p/>
    <w:p>
      <w:r>
        <w:rPr>
          <w:b/>
          <w:color w:val="0052A3"/>
          <w:sz w:val="36"/>
        </w:rPr>
        <w:t>CRONOGRAMA DEL PROYECTO (Diagrama Gantt)</w:t>
      </w:r>
    </w:p>
    <w:p>
      <w:r>
        <w:rPr>
          <w:b/>
          <w:color w:val="374151"/>
          <w:sz w:val="22"/>
        </w:rPr>
        <w:t>1. Inicio y Planificación: 10 días</w:t>
      </w:r>
    </w:p>
    <w:p>
      <w:r>
        <w:rPr>
          <w:b/>
          <w:color w:val="374151"/>
          <w:sz w:val="22"/>
        </w:rPr>
        <w:t>2. Gestión Stakeholders: 3 días</w:t>
      </w:r>
    </w:p>
    <w:p>
      <w:r>
        <w:rPr>
          <w:b/>
          <w:color w:val="374151"/>
          <w:sz w:val="22"/>
        </w:rPr>
        <w:t>3. Ingeniería y Diseño: 15 días</w:t>
      </w:r>
    </w:p>
    <w:p>
      <w:r>
        <w:rPr>
          <w:b/>
          <w:color w:val="374151"/>
          <w:sz w:val="22"/>
        </w:rPr>
        <w:t>4. Ejecución: 25 días</w:t>
      </w:r>
    </w:p>
    <w:p>
      <w:r>
        <w:rPr>
          <w:b/>
          <w:color w:val="374151"/>
          <w:sz w:val="22"/>
        </w:rPr>
        <w:t>5. Pruebas y Puesta en Marcha: 8 días</w:t>
      </w:r>
    </w:p>
    <w:p>
      <w:r>
        <w:rPr>
          <w:b/>
          <w:color w:val="374151"/>
          <w:sz w:val="22"/>
        </w:rPr>
        <w:t>6. Cierre: 5 días</w:t>
      </w:r>
    </w:p>
    <w:p/>
    <w:p>
      <w:r>
        <w:rPr>
          <w:b/>
          <w:color w:val="0052A3"/>
          <w:sz w:val="36"/>
        </w:rPr>
        <w:t>REGISTRO DE STAKEHOLDERS</w:t>
      </w:r>
    </w:p>
    <w:p>
      <w:r>
        <w:rPr>
          <w:b/>
          <w:color w:val="0052A3"/>
          <w:sz w:val="28"/>
        </w:rPr>
        <w:t xml:space="preserve">Cliente: </w:t>
      </w:r>
      <w:r>
        <w:rPr>
          <w:sz w:val="22"/>
        </w:rPr>
        <w:t>Cliente / Patrocinador Principal</w:t>
      </w:r>
    </w:p>
    <w:p>
      <w:r>
        <w:rPr>
          <w:color w:val="6B7280"/>
          <w:sz w:val="20"/>
        </w:rPr>
        <w:t>Poder: Alto | Interés: Alto</w:t>
      </w:r>
    </w:p>
    <w:p>
      <w:r>
        <w:rPr>
          <w:b/>
          <w:color w:val="0052A3"/>
          <w:sz w:val="28"/>
        </w:rPr>
        <w:t xml:space="preserve">Jefe de Proyecto: </w:t>
      </w:r>
      <w:r>
        <w:rPr>
          <w:sz w:val="22"/>
        </w:rPr>
        <w:t>Project Manager</w:t>
      </w:r>
    </w:p>
    <w:p>
      <w:r>
        <w:rPr>
          <w:color w:val="6B7280"/>
          <w:sz w:val="20"/>
        </w:rPr>
        <w:t>Poder: Alto | Interés: Alto</w:t>
      </w:r>
    </w:p>
    <w:p>
      <w:r>
        <w:rPr>
          <w:b/>
          <w:color w:val="0052A3"/>
          <w:sz w:val="28"/>
        </w:rPr>
        <w:t xml:space="preserve">Equipo Técnico: </w:t>
      </w:r>
      <w:r>
        <w:rPr>
          <w:sz w:val="22"/>
        </w:rPr>
        <w:t>Ingenieros y Técnicos</w:t>
      </w:r>
    </w:p>
    <w:p>
      <w:r>
        <w:rPr>
          <w:color w:val="6B7280"/>
          <w:sz w:val="20"/>
        </w:rPr>
        <w:t>Poder: Medio | Interés: Alto</w:t>
      </w:r>
    </w:p>
    <w:p/>
    <w:p>
      <w:r>
        <w:rPr>
          <w:b/>
          <w:color w:val="0052A3"/>
          <w:sz w:val="36"/>
        </w:rPr>
        <w:t>MATRIZ RACI (Responsabilidades)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Actividad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PM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Ing. Residente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Técnicos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Inspector QA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Cliente</w:t>
            </w:r>
          </w:p>
        </w:tc>
      </w:tr>
      <w:tr>
        <w:tc>
          <w:tcPr>
            <w:tcW w:type="dxa" w:w="1656"/>
          </w:tcPr>
          <w:p>
            <w:r>
              <w:t>Planificación del Proyecto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</w:tr>
      <w:tr>
        <w:tc>
          <w:tcPr>
            <w:tcW w:type="dxa" w:w="1656"/>
          </w:tcPr>
          <w:p>
            <w:r>
              <w:t>Diseño e Ingeniería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</w:tr>
      <w:tr>
        <w:tc>
          <w:tcPr>
            <w:tcW w:type="dxa" w:w="1656"/>
          </w:tcPr>
          <w:p>
            <w:r>
              <w:t>Ejecución de Obra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</w:tr>
      <w:tr>
        <w:tc>
          <w:tcPr>
            <w:tcW w:type="dxa" w:w="1656"/>
          </w:tcPr>
          <w:p>
            <w:r>
              <w:t>Control de Calidad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</w:tr>
      <w:tr>
        <w:tc>
          <w:tcPr>
            <w:tcW w:type="dxa" w:w="1656"/>
          </w:tcPr>
          <w:p>
            <w:r>
              <w:t>Aprobación de Entregables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rPr>
                <w:b/>
              </w:rPr>
              <w:t>R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rPr>
                <w:b/>
              </w:rPr>
              <w:t>C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</w:tr>
    </w:tbl>
    <w:p>
      <w:r>
        <w:rPr>
          <w:sz w:val="20"/>
        </w:rPr>
        <w:t>Leyenda: R=Responsable | A=Aprobador | C=Consultado | I=Informado</w:t>
      </w:r>
    </w:p>
    <w:p/>
    <w:p>
      <w:r>
        <w:rPr>
          <w:b/>
          <w:color w:val="0052A3"/>
          <w:sz w:val="36"/>
        </w:rPr>
        <w:t>REGISTRO DE RIESGOS (Top 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Riesgo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Probabilidad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Impacto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Severidad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Plan de Mitigación</w:t>
            </w:r>
          </w:p>
        </w:tc>
      </w:tr>
      <w:tr>
        <w:tc>
          <w:tcPr>
            <w:tcW w:type="dxa" w:w="1656"/>
          </w:tcPr>
          <w:p>
            <w:r>
              <w:t>R01</w:t>
            </w:r>
          </w:p>
        </w:tc>
        <w:tc>
          <w:tcPr>
            <w:tcW w:type="dxa" w:w="1656"/>
          </w:tcPr>
          <w:p>
            <w:r>
              <w:t>Retrasos en entrega de equipos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Media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Alto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Alta</w:t>
            </w:r>
          </w:p>
        </w:tc>
        <w:tc>
          <w:tcPr>
            <w:tcW w:type="dxa" w:w="1656"/>
          </w:tcPr>
          <w:p>
            <w:r>
              <w:t>Compra anticipada</w:t>
            </w:r>
          </w:p>
        </w:tc>
      </w:tr>
      <w:tr>
        <w:tc>
          <w:tcPr>
            <w:tcW w:type="dxa" w:w="1656"/>
          </w:tcPr>
          <w:p>
            <w:r>
              <w:t>R02</w:t>
            </w:r>
          </w:p>
        </w:tc>
        <w:tc>
          <w:tcPr>
            <w:tcW w:type="dxa" w:w="1656"/>
          </w:tcPr>
          <w:p>
            <w:r>
              <w:t>Variación de precios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Media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Medio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Media</w:t>
            </w:r>
          </w:p>
        </w:tc>
        <w:tc>
          <w:tcPr>
            <w:tcW w:type="dxa" w:w="1656"/>
          </w:tcPr>
          <w:p>
            <w:r>
              <w:t>Precio fijo</w:t>
            </w:r>
          </w:p>
        </w:tc>
      </w:tr>
      <w:tr>
        <w:tc>
          <w:tcPr>
            <w:tcW w:type="dxa" w:w="1656"/>
          </w:tcPr>
          <w:p>
            <w:r>
              <w:t>R03</w:t>
            </w:r>
          </w:p>
        </w:tc>
        <w:tc>
          <w:tcPr>
            <w:tcW w:type="dxa" w:w="1656"/>
          </w:tcPr>
          <w:p>
            <w:r>
              <w:t>Cambios en alcance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Alta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Alto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Alta</w:t>
            </w:r>
          </w:p>
        </w:tc>
        <w:tc>
          <w:tcPr>
            <w:tcW w:type="dxa" w:w="1656"/>
          </w:tcPr>
          <w:p>
            <w:r>
              <w:t>Control de cambios</w:t>
            </w:r>
          </w:p>
        </w:tc>
      </w:tr>
    </w:tbl>
    <w:p/>
    <w:p>
      <w:r>
        <w:rPr>
          <w:b/>
          <w:color w:val="0052A3"/>
          <w:sz w:val="36"/>
        </w:rPr>
        <w:t>ENTREGABLES PRINCIPALES DEL PROYECTO</w:t>
      </w:r>
    </w:p>
    <w:p>
      <w:r>
        <w:rPr>
          <w:sz w:val="22"/>
        </w:rPr>
        <w:t>• 📋 Project Charter</w:t>
      </w:r>
    </w:p>
    <w:p>
      <w:r>
        <w:rPr>
          <w:sz w:val="22"/>
        </w:rPr>
        <w:t>• 📊 Plan de gestión</w:t>
      </w:r>
    </w:p>
    <w:p>
      <w:r>
        <w:rPr>
          <w:sz w:val="22"/>
        </w:rPr>
        <w:t>• 👥 Registro stakeholders</w:t>
      </w:r>
    </w:p>
    <w:p>
      <w:r>
        <w:rPr>
          <w:sz w:val="22"/>
        </w:rPr>
        <w:t>• 📝 WBS y diccionario</w:t>
      </w:r>
    </w:p>
    <w:p>
      <w:r>
        <w:rPr>
          <w:sz w:val="22"/>
        </w:rPr>
        <w:t>• 📅 Cronograma Gantt</w:t>
      </w:r>
    </w:p>
    <w:p>
      <w:r>
        <w:rPr>
          <w:sz w:val="22"/>
        </w:rPr>
        <w:t>• 📐 Planos instalación</w:t>
      </w:r>
    </w:p>
    <w:p>
      <w:r>
        <w:rPr>
          <w:sz w:val="22"/>
        </w:rPr>
        <w:t>• 📄 Especif. técnicas</w:t>
      </w:r>
    </w:p>
    <w:p>
      <w:r>
        <w:rPr>
          <w:sz w:val="22"/>
        </w:rPr>
        <w:t>• ✅ Plan de calidad</w:t>
      </w:r>
    </w:p>
    <w:p>
      <w:r>
        <w:rPr>
          <w:sz w:val="22"/>
        </w:rPr>
        <w:t>• ⚠️ Registro de riesgos</w:t>
      </w:r>
    </w:p>
    <w:p>
      <w:r>
        <w:rPr>
          <w:sz w:val="22"/>
        </w:rPr>
        <w:t>• 🔬 Protocolos FAT/SAT</w:t>
      </w:r>
    </w:p>
    <w:p>
      <w:r>
        <w:rPr>
          <w:sz w:val="22"/>
        </w:rPr>
        <w:t>• 🏗️ Planos as-built</w:t>
      </w:r>
    </w:p>
    <w:p>
      <w:r>
        <w:rPr>
          <w:sz w:val="22"/>
        </w:rPr>
        <w:t>• 📚 Lecciones aprendidas</w:t>
      </w:r>
    </w:p>
    <w:p>
      <w:r>
        <w:rPr>
          <w:sz w:val="22"/>
        </w:rPr>
        <w:t>• 🎯 Acta de cierre</w:t>
      </w:r>
    </w:p>
    <w:p/>
    <w:p>
      <w:r>
        <w:rPr>
          <w:color w:val="6B7280"/>
          <w:sz w:val="24"/>
        </w:rPr>
        <w:t>NORMATIVA Y ESTÁNDARES APLICABLES</w:t>
      </w:r>
    </w:p>
    <w:p>
      <w:r>
        <w:rPr>
          <w:b/>
          <w:color w:val="0052A3"/>
          <w:sz w:val="28"/>
        </w:rPr>
        <w:t>CNE - Código Nacional de Electricidad</w:t>
      </w:r>
    </w:p>
    <w:p>
      <w:r>
        <w:rPr>
          <w:color w:val="6B7280"/>
          <w:sz w:val="22"/>
        </w:rPr>
        <w:t>Gestión según PMBOK® Guide 7th Edition</w:t>
      </w:r>
    </w:p>
    <w:p/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