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Customer-Side Compute Capacity MSA Playbook (Draft)</w:t>
      </w:r>
    </w:p>
    <w:p>
      <w:pPr>
        <w:pStyle w:val="Heading2"/>
      </w:pPr>
      <w:r>
        <w:t>Preliminary note</w:t>
      </w:r>
    </w:p>
    <w:p>
      <w:r>
        <w:t>The deals this playbook applies to are large compute-capacity arrangements — multi-year reservations of GPU clusters or other specialised AI infrastructure, typically with provider-favourable default drafting because the providers are oligopolistic and the contracts originate from their templates. Our instinct on every clause is to read what the provider has proposed and ask: would a sophisticated customer with sovereignty concerns, regulatory exposure, and a multi-year operational dependency accept this without a fight? Where the answer is no, we push back.</w:t>
      </w:r>
    </w:p>
    <w:p>
      <w:pPr>
        <w:pStyle w:val="Heading2"/>
      </w:pPr>
      <w:r>
        <w:t>1. Data residency and sovereignty</w:t>
      </w:r>
    </w:p>
    <w:p>
      <w:r>
        <w:t>Customer data — inputs, outputs, and provider-generated derivatives — must remain in jurisdictions the customer names, with cross-border movement requiring prior approval. We want hard commitments to named regions for primary production workloads and explicitly contracted secondary regions for disaster recovery; "best efforts" or "commercially reasonable efforts" language fails the test, especially for sovereign-AI customers operating under UAE PDPL, Singapore PDPA, or similar frameworks that require provable in-country processing.</w:t>
      </w:r>
    </w:p>
    <w:p>
      <w:r>
        <w:t>The fallback we can live with is a hard commitment for primary production workloads in named regions, with a defined exception process for short-duration support access by named senior provider personnel, with logging and customer notification. We do not fall back on disaster recovery — DR sites are explicitly contracted, not at the provider's discretion.</w:t>
      </w:r>
    </w:p>
    <w:p>
      <w:pPr>
        <w:pStyle w:val="Heading2"/>
      </w:pPr>
      <w:r>
        <w:t>2. Model and weight ownership</w:t>
      </w:r>
    </w:p>
    <w:p>
      <w:r>
        <w:t>The customer owns all weights and models trained on its data, all fine-tuning artefacts of base models the customer has licensed, and all outputs the customer's workloads produce. No provider licence-back, no improvement-of-service exception, no shared IP interest from running on provider hardware. Provider IP — base models, provider software, monitoring tools, the orchestration stack — remains the provider's, but the line must be drawn explicitly in the contract, not left to default copyright reasoning.</w:t>
      </w:r>
    </w:p>
    <w:p>
      <w:r>
        <w:t>The fallback is a narrow operational licence to the provider for the purpose of running the customer's workloads — loading weights into GPUs, copying between nodes for parallelism, retaining in operational caches — but only for the term and only for the customer's workloads. Any retention beyond term, model-improvement use, or non-incident-response personnel access requires separate written consent.</w:t>
      </w:r>
    </w:p>
    <w:p>
      <w:pPr>
        <w:pStyle w:val="Heading2"/>
      </w:pPr>
      <w:r>
        <w:t>3. SLA tiers</w:t>
      </w:r>
    </w:p>
    <w:p>
      <w:r>
        <w:t>We want tiered SLAs with the highest tier (mission-critical) at 99.95% or 99.99% measured per-availability-zone, with response and resolution times defined per severity, service credits scaled to business impact rather than capped at a small percentage of monthly fees, and a sustained-failure exit right that lets us terminate without penalty if targets are missed across consecutive measurement periods. Capacity reservations need both availability and throughput commitments — TFLOPS sustained, jobs-per-hour at a defined workload profile, or similar — because a cluster that is "up" but running at half capacity is not what we are paying for.</w:t>
      </w:r>
    </w:p>
    <w:p>
      <w:r>
        <w:t>The fallback accepts 99.9% on lower tiers and narrower fair-use throttling rights for genuine abuse cases (AUP violations, workloads interfering with other customers), provided throttling has objective triggers, prior notice, and a defined remediation path. We do not fall back on the sustained-failure exit right.</w:t>
      </w:r>
    </w:p>
    <w:p>
      <w:pPr>
        <w:pStyle w:val="Heading2"/>
      </w:pPr>
      <w:r>
        <w:t>4. Audit rights</w:t>
      </w:r>
    </w:p>
    <w:p>
      <w:r>
        <w:t>Audit rights cover three concerns and SOC 2 attestation alone is insufficient for any of them: financial (annual audit by the customer or a nominated auditor), security (annual at customer's option, with on-cause audits triggered by security incidents, regulatory inquiries, or material changes in provider operations), and regulatory cooperation (audits on demand when the customer's regulator requires provider-specific evidence). Provider cooperation is at no additional cost beyond reasonable out-of-pocket reimbursement.</w:t>
      </w:r>
    </w:p>
    <w:p>
      <w:r>
        <w:t>The fallback accepts auditor selection from a list reasonably acceptable to provider, provided NDAs cannot prevent regulatory disclosure and findings can be shared with the customer's own regulators on demand. We do not fall back on the on-cause audit right or on regulatory cooperation.</w:t>
      </w:r>
    </w:p>
    <w:p>
      <w:pPr>
        <w:pStyle w:val="Heading2"/>
      </w:pPr>
      <w:r>
        <w:t>5. Indemnity caps</w:t>
      </w:r>
    </w:p>
    <w:p>
      <w:r>
        <w:t>Mutual symmetric caps with defined exclusions are the customer-side default. The cap should reflect actual exposure if the provider fails — typically 24 months of fees for infrastructure deals, longer for mission-critical — with the same dollar cap on both sides absent specific accepted asymmetry. Fraud and wilful misconduct universally carve out (settled law in England, US, and most major jurisdictions); IP indemnity super-caps above the general cap (often 2–3× or uncapped); confidentiality breach is a frequent customer-side super-cap ask given regulatory-fine exposure.</w:t>
      </w:r>
    </w:p>
    <w:p>
      <w:r>
        <w:t>The fallback accepts asymmetric customer-favourable caps where the customer's indemnity is genuinely narrower (e.g., AUP violations only) against a provider indemnity covering infrastructure failures, IP claims, and data security breaches. We do not fall back on uncapped customer indemnity or on IP infringement at the general cap level.</w:t>
      </w:r>
    </w:p>
    <w:p>
      <w:pPr>
        <w:pStyle w:val="Heading2"/>
      </w:pPr>
      <w:r>
        <w:t>6. IP ownership</w:t>
      </w:r>
    </w:p>
    <w:p>
      <w:r>
        <w:t>Beyond model/weight ownership (§2): each side keeps its background IP, the customer owns foreground IP its workloads produce, the provider owns foreground IP its services produce, and derivative works default to the side whose IP was the substantial basis. The "improvements to provider services" clause must be narrowed to genuinely generic feedback (bug reports, voluntarily-shared benchmarks, formal enhancement requests) and exclude operational data from the customer's workload runs — that data reveals the customer's own optimisations and failure modes and cannot be absorbed by default.</w:t>
      </w:r>
    </w:p>
    <w:p>
      <w:r>
        <w:t>The fallback accepts provider-side telemetry only on per-data-type opt-in, and publicity rights only on prior written consent before naming the customer in case studies, press releases, or website logos. We do not fall back on provider ownership of customer-workload foreground IP.</w:t>
      </w:r>
    </w:p>
    <w:p>
      <w:pPr>
        <w:pStyle w:val="Heading2"/>
      </w:pPr>
      <w:r>
        <w:t>7. Export-control carve-outs</w:t>
      </w:r>
    </w:p>
    <w:p>
      <w:r>
        <w:t>Each side is responsible for its own compliance with the export-control regimes applicable to its own operations — mutual indemnity, mutual reps. The provider warrants that its technology is not on a restricted list at provision time and notifies the customer of subsequent classification changes (e.g., new EAR Category 3 or 4 restrictions affecting AI chips); the customer warrants its use will not violate controls applicable to its own operations.</w:t>
      </w:r>
    </w:p>
    <w:p>
      <w:r>
        <w:t>The fallback accepts asymmetric responsibility allocation only where the underlying classification question is genuinely on the customer's side (e.g., end-use compliance in a customer-specific jurisdiction). We negotiate in a cooperation obligation when the customer needs to apply for a licence and a force-majeure-like termination right if controls become so restrictive that operations cannot continue under the contract without violation.</w:t>
      </w:r>
    </w:p>
    <w:p>
      <w:pPr>
        <w:pStyle w:val="Heading2"/>
      </w:pPr>
      <w:r>
        <w:t>8. Termination triggers</w:t>
      </w:r>
    </w:p>
    <w:p>
      <w:r>
        <w:t>Five categories need clarity: material breach (30-day cure for breaches that admit of cure, immediate termination for those that don't — repeated SLA failures, security incidents above defined severity, regulatory disqualification); change of control of either side (limited to specific defined reasons, not unconstrained discretion); insolvency and bankruptcy (customer right to terminate immediately, data return obligations survive); sustained service failure (cross-reference §3); and termination for convenience (customer right on defined notice with pro-rata refund of prepaid amounts and an early-termination fee proportionate to provider's actual lost margin, not punitive).</w:t>
      </w:r>
    </w:p>
    <w:p>
      <w:r>
        <w:t>The fallback accepts bilateral change-of-control with provider-side triggers limited to sanctions or named-competitor acquisition with written notice stating the reason, and accepts financial-condition suspension only on objective triggers (missed payment after notice and cure) paired with continued data access for migration.</w:t>
      </w:r>
    </w:p>
    <w:p>
      <w:pPr>
        <w:pStyle w:val="Heading2"/>
      </w:pPr>
      <w:r>
        <w:t>9. Data return and destruction on exit</w:t>
      </w:r>
    </w:p>
    <w:p>
      <w:r>
        <w:t>On termination, customer data and trained models return in the customer-specified format (not provider-native lock-in) within a defined window — typically 60–90 days, longer for very large model artefacts requiring physical transfer — with provider personnel cooperation during transition and a written certification from a senior provider officer that all provider-side copies have been destroyed within a defined period (typically 180 days after extraction confirmed). Backups and operational caches need explicit treatment, with deletion windows tied to operational-copy deletion and legal-hold exceptions notified to the customer and scope-limited.</w:t>
      </w:r>
    </w:p>
    <w:p>
      <w:r>
        <w:t>The fallback accepts provider-native formats only where conversion is straightforward and tooling is contractually provided, and accepts extended retention beyond the 180-day window only where specific legal-hold requirements compel it. The customer retains its own copies for post-termination compliance windows; that right is preserved in the same clause.</w:t>
      </w:r>
    </w:p>
    <w:p>
      <w:pPr>
        <w:pStyle w:val="Heading2"/>
      </w:pPr>
      <w:r>
        <w:t>10. Bias and Responsible AI</w:t>
      </w:r>
    </w:p>
    <w:p>
      <w:r>
        <w:t>Provider commitments must be named, not generic-laws-only: bias testing and Responsible AI policies disclosed and updated on material change; provider cooperates with the customer's own bias testing and audit; provider notifies the customer of incidents at the provider's level (e.g., model misuse) that could affect the customer's users; and the provider commits to specific cooperation under emerging AI regulations (EU AI Act, similar UK / US / UAE frameworks).</w:t>
      </w:r>
    </w:p>
    <w:p>
      <w:r>
        <w:t>The fallback accepts a defined good-faith renegotiation mechanism when material regulatory changes occur, with a termination right if good-faith negotiation fails to produce agreement on a material regulatory question within a defined window. Drafting must remain flexible enough to absorb regulatory developments without constant amendment.</w:t>
      </w:r>
    </w:p>
    <w:p>
      <w:pPr>
        <w:pStyle w:val="Heading2"/>
      </w:pPr>
      <w:r>
        <w:t>11. Regulatory cooperation</w:t>
      </w:r>
    </w:p>
    <w:p>
      <w:r>
        <w:t>Cooperation obligations must be named, not "comply with applicable laws". Specific commitments: support for the customer's data-protection reviews including DPIAs, regulator inquiries, and data-subject requests; advance notice of law-enforcement requests for customer data, subject only to lawfully-imposed gag orders; cooperation with audits required by the customer's regulators; and named DPA obligations rather than a generic Article 28 reference.</w:t>
      </w:r>
    </w:p>
    <w:p>
      <w:r>
        <w:t>The fallback accepts regulated-industry tailoring as an addendum rather than embedded clauses for clauses tied to specific regimes (DORA in EU, UK operational-resilience equivalent, HIPAA business-associate frameworks). We do not fall back on the advance-notice obligation for law-enforcement requests where lawful disclosure is permitted.</w:t>
      </w:r>
    </w:p>
    <w:p>
      <w:pPr>
        <w:pStyle w:val="Heading2"/>
      </w:pPr>
      <w:r>
        <w:t>12. Pricing and fee escalation</w:t>
      </w:r>
    </w:p>
    <w:p>
      <w:r>
        <w:t>Escalation is capped at a defined annual percentage with a known formula disclosed in the contract — often 3% or CPI (whichever is lower) for stable infrastructure deals, higher caps acceptable in genuinely volatile early-stage GPU markets — with year-over-year limits to prevent jump-pricing. Renewal pricing must be tied to the same in-term escalation formula, not "provider's then-current published rates", with a customer right to terminate without early-termination fee at renewal if pricing exceeds a defined ceiling.</w:t>
      </w:r>
    </w:p>
    <w:p>
      <w:r>
        <w:t>The fallback accepts asymmetric formula handling where genuine cost volatility justifies it (hardware-cost pass-through with audit rights as the trade-off, for example), provided that any such asymmetry is bounded by the customer's right to challenge the formula's application during in-term reviews. Currency is denominated in the customer's preferred currency with no FX exposure imposed on the customer.</w:t>
      </w:r>
    </w:p>
    <w:p>
      <w:pPr>
        <w:pStyle w:val="Heading2"/>
      </w:pPr>
      <w:r>
        <w:t>13. Dispute resolution</w:t>
      </w:r>
    </w:p>
    <w:p>
      <w:r>
        <w:t>International compute deals are arbitration deals, not court litigation. For UK-based customers transacting with US-based providers: London-seated under LCIA Rules with English law as governing law, three-arbitrator tribunals above a defined threshold, and a defined procedure for emergency and interim relief allowing court injunctive applications without arbitration waiver. For UAE / GCC sovereign customers: DIFC- or ADGM-seated under DIFC-LCIA or similar; Singapore-seated under SIAC as the default fallback if neither side wants London.</w:t>
      </w:r>
    </w:p>
    <w:p>
      <w:r>
        <w:t>Confidentiality of proceedings, awards, and enforcement disclosure is preserved by default, with narrow exceptions only for genuine collateral-estoppel applications. Mutual injunctive carve-outs for genuine emergencies (data breach, IP infringement actively occurring) are uncontroversial and explicit, drafted so that going to court for those limited purposes is not a waiver of the arbitration clause more broadly.</w:t>
      </w:r>
    </w:p>
    <w:p>
      <w:pPr>
        <w:pStyle w:val="Heading2"/>
      </w:pPr>
      <w:r>
        <w:t>Catch-all guidance</w:t>
      </w:r>
    </w:p>
    <w:p>
      <w:r>
        <w:t>For clauses not covered above, apply the materiality test: does this clause shift risk, financial exposure, or commercial control between the parties? If yes, treat it as warranting a position and fallback in the same shape as the categories above. If no — administrative mechanics, notice provisions, defined-term consistency, formatting — accept what the provider has drafted unless it is structurally problematic.</w:t>
      </w:r>
    </w:p>
    <w:p>
      <w:r>
        <w:t>When in doubt, flag to the partner. The playbook is a starting point, not an exhaustive list of every position the customer might take. The lawyer's judgement on the specific deal in front of them beats the playbook on edge cases — and the playbook should be updated when the lawyer's judgement reveals a position the playbook should have but doesn't.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