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20T06:41:47Z" ns0:dateUtc="2026-04-20T06:41:47Z">
        <w:r>
          <w:delText>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0T06:41:47Z" ns0:dateUtc="2026-04-20T06:41:47Z">
        <w:r>
          <w:rPr>
            <w:b w:val="0"/>
            <w:i w:val="0"/>
          </w:rPr>
          <w:t>Any dispute arising out of or in connection with this Agreement shall be finally resolved by binding arbitration under the LCIA Rules, seated in London, with one sole arbitrator, conducted in the English language, and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