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48"/>
        </w:rPr>
        <w:t>When Next-Item Metrics Mislead: Evaluation Validity Across Educational Interaction Logs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Oscar Man Shrestha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Dept. name of organization (Affiliation)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City, Country</w:t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email address or ORCID</w:t>
      </w:r>
    </w:p>
    <w:p>
      <w:pPr>
        <w:spacing w:after="120"/>
        <w:jc w:val="both"/>
      </w:pPr>
      <w:r>
        <w:rPr>
          <w:rFonts w:ascii="Times New Roman" w:hAnsi="Times New Roman" w:eastAsia="Times New Roman"/>
          <w:b/>
          <w:i/>
          <w:sz w:val="18"/>
        </w:rPr>
        <w:t>Abstract—</w:t>
      </w:r>
      <w:r>
        <w:rPr>
          <w:rFonts w:ascii="Times New Roman" w:hAnsi="Times New Roman" w:eastAsia="Times New Roman"/>
          <w:b w:val="0"/>
          <w:i/>
          <w:sz w:val="18"/>
        </w:rPr>
        <w:t>Recall@K is the usual report card for next-item models on student logs. We are less sure it measures what people think it measures. On Junyi Academy (835 concepts; 27,434 / 6,290 train/test sequences), a gated ranker gets Recall@5 0.891 [0.880, 0.902], yet Recent-5 is already 0.885—within a 0.01 practical gap—so we do not claim a recommender win. The more interesting question is whether the action unit (question, skill, or topic cluster) changes which simple model looks better. We lock a small confirmatory comparison of a GRU probe against first-order Markov on Junyi timed, ASSISTments 2009, and XES3G5M, at native units and at matched clusters (~120), under a freeze holdout and Bonferroni family m_planned=6. OSF registration is submitted (https://osf.io/24sxf); holdout cells stay blank until one touch-test. Junyi ranking numbers below are exploratory.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18"/>
        </w:rPr>
        <w:t>Keywords—</w:t>
      </w:r>
      <w:r>
        <w:rPr>
          <w:rFonts w:ascii="Times New Roman" w:hAnsi="Times New Roman" w:eastAsia="Times New Roman"/>
          <w:b w:val="0"/>
          <w:i/>
          <w:sz w:val="18"/>
        </w:rPr>
        <w:t>educational data mining, evaluation validity, next-item recommendation, knowledge tracing logs, preregistration, action granularity</w:t>
      </w:r>
    </w:p>
    <w:p>
      <w:pPr>
        <w:spacing w:after="80" w:before="20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I. INTRODUCTION</w:t>
      </w:r>
    </w:p>
    <w:p>
      <w:pPr>
        <w:spacing w:after="120" w:before="0" w:line="240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On educational logs, next-item Recall@K often rewards repeats and the curriculum’s natural order. That is not the same as measuring whether a model captured learning structure. Worse, changing how we define an “item”—question id versus skill or topic cluster—can flip which baseline wins. Our goal here is modest: check whether that unit choice systematically reverses a GRU-versus-Markov contrast under a locked protocol. We are not proposing a new recommender champion.</w:t>
      </w:r>
    </w:p>
    <w:p>
      <w:pPr>
        <w:spacing w:after="120" w:before="0" w:line="240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Registered question (prereg-v1): does the sign of the paired GRU-minus-Markov non-repeat Recall@5 contrast flip between the native unit and the registered cluster unit on at least one dataset? Until registration and a single freeze holdout run, those cells stay blank (pending). The Junyi ranking and cross-dataset grids below are exploratory; they are here so the system is inspectable before the holdout is touched.</w:t>
      </w:r>
    </w:p>
    <w:p>
      <w:pPr>
        <w:spacing w:after="80" w:before="20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II. RELATED WORK</w:t>
      </w:r>
    </w:p>
    <w:p>
      <w:pPr>
        <w:spacing w:after="120" w:before="0" w:line="240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Knowledge tracing and educational recommender papers usually score platform-native ids. Duplicates, unit mismatch, and curriculum order show up often as caveats; here they are the object of study. Library-faithful SASRec or RecBole GRU4Rec are outside this confirmatory packet for now; the probes below are diagnostic [1]–[3].</w:t>
      </w:r>
    </w:p>
    <w:p>
      <w:pPr>
        <w:spacing w:after="80" w:before="20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III. DATASETS AND UNITS</w:t>
      </w:r>
    </w:p>
    <w:p>
      <w:pPr>
        <w:spacing w:after="120" w:before="0" w:line="240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Junyi (primary product log): 835 English concept names, 978 prerequisite edges, train interactions 2,342,784. Embedding sanity: pair-AUC versus random 0.904; same-topic control 0.464. Cross-dataset units: Junyi topics, ASSISTments composite skill tokens, XES3G5M questions. Registered cluster maps target about 120 groups (text MiniLM k-means primary on Junyi and ASSISTments; co-occurrence secondary for a two-method intersection rule; XES co-occurrence only).</w:t>
      </w:r>
    </w:p>
    <w:p>
      <w:pPr>
        <w:spacing w:after="40" w:before="16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6"/>
        </w:rPr>
        <w:t>TABLE I. REGISTERED ACTION UNITS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5"/>
        <w:gridCol w:w="3375"/>
        <w:gridCol w:w="3375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Dataset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Native unit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Cluster unit (registered)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Junyi timed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topic / exercise id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text k-means (+ cooc intersection)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ASSISTments 2009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composite skill token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text on skill_name (+ cooc)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XES3G5M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question id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co-occurrence only (amendment)</w:t>
            </w:r>
          </w:p>
        </w:tc>
      </w:tr>
    </w:tbl>
    <w:p/>
    <w:p>
      <w:pPr>
        <w:spacing w:after="80" w:before="20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IV. METHODS</w:t>
      </w:r>
    </w:p>
    <w:p>
      <w:pPr>
        <w:spacing w:after="40" w:before="80" w:line="24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A. Confirmatory comparison</w:t>
      </w:r>
    </w:p>
    <w:p>
      <w:pPr>
        <w:spacing w:after="120" w:before="0" w:line="240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Learners are split once (seed 20261004). Confirmatory GRU probes retrain on freeze train+val with the frozen winner config and a fixed best_epoch—no peeking at test for early stopping— over seeds 20261101–20261103. Markov is just a first-order successor table. We planned six family members (three datasets × native/cluster) and use Bonferroni at 1−0.05/m; ineligible cells drop out. A cell needs at least 500 non-repeat queries; CIs use ≥10,000 sequence bootstraps. A dataset supports the claim only if native and cluster both come back supported_* with opposite signs; the project needs that on at least one dataset. Junyi and ASSISTments cluster cells require text and co-occurrence maps to agree. Models in the confirmatory tables: popularity, recency, markov_order1, gru_probe.</w:t>
      </w:r>
    </w:p>
    <w:p>
      <w:pPr>
        <w:spacing w:after="40" w:before="80" w:line="24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B. Exploratory Junyi work</w:t>
      </w:r>
    </w:p>
    <w:p>
      <w:pPr>
        <w:spacing w:after="120" w:before="0" w:line="240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Phases 1–6 build embeddings, revisit-memory classifiers, a prerequisite DAG, a review/advance gate, and a gated ranker (RAGR). Useful context—not part of the confirmatory family.</w:t>
      </w:r>
    </w:p>
    <w:p>
      <w:pPr>
        <w:spacing w:after="80" w:before="20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V. RESULTS</w:t>
      </w:r>
    </w:p>
    <w:p>
      <w:pPr>
        <w:spacing w:after="40" w:before="80" w:line="24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A. Primary confirmatory cells (pending)</w:t>
      </w:r>
    </w:p>
    <w:p>
      <w:pPr>
        <w:spacing w:after="120" w:before="0" w:line="240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Tag prereg-v1 freezes the protocol and artifacts. OSF registration is submitted (https://osf.io/24sxf; pending approval). We leave freeze-holdout scores blank until one --touch-test—that is deliberate. Table II therefore says pending in every cell. Validation dual-map contrasts from before registration are disclosure only.</w:t>
      </w:r>
    </w:p>
    <w:p>
      <w:pPr>
        <w:spacing w:after="40" w:before="16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6"/>
        </w:rPr>
        <w:t>TABLE II. CONFIRMATORY UNIT CELLS (PENDING TOUCH-TEST)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Dataset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Unit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Verdict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Bonferroni CI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junyi_timed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native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pending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junyi_timed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cluster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pending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assistments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native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pending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assistments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cluster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pending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xes3g5m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native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pending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xes3g5m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cluster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pending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</w:tbl>
    <w:p/>
    <w:p>
      <w:pPr>
        <w:spacing w:after="40" w:before="80" w:line="24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B. Exploratory Junyi ranking and calibration</w:t>
      </w:r>
    </w:p>
    <w:p>
      <w:pPr>
        <w:spacing w:after="120" w:before="0" w:line="240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Canonical capped evaluation (review_ranking.json, n_seq=800): RAGR Recall@5 = 0.891 [0.880, 0.902]; Recent-5 = 0.885 [0.872, 0.897]. Full-test RAGR Recall@5 = 0.889 [0.885, 0.893] (n_seq=6290). Revisit-memory logistic AUC on official test revisit rows = 0.864. Gate calibration (full-test queries): Brier=0.0928, ECE=0.0335. The sub-0.01 RAGR-versus-Recent-5 gap is why we do not sell this as a ranking breakthrough.</w:t>
      </w:r>
    </w:p>
    <w:p>
      <w:pPr>
        <w:spacing w:after="40" w:before="16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6"/>
        </w:rPr>
        <w:t>TABLE III. EXPLORATORY JUNYI RANKING (NOT CONFIRMATORY)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Source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RAGR R@5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95% CI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n seq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review_ranking (capped)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0.891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[0.880, 0.902]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800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paper_ranking_full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0.889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[0.885, 0.893]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6290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Recent-5 (capped)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0.885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[0.872, 0.897]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800</w:t>
            </w:r>
          </w:p>
        </w:tc>
      </w:tr>
    </w:tbl>
    <w:p/>
    <w:p>
      <w:pPr>
        <w:spacing w:after="40" w:before="80" w:line="240" w:lineRule="auto"/>
        <w:jc w:val="both"/>
      </w:pPr>
      <w:r>
        <w:rPr>
          <w:rFonts w:ascii="Times New Roman" w:hAnsi="Times New Roman" w:eastAsia="Times New Roman"/>
          <w:b/>
          <w:i w:val="0"/>
          <w:sz w:val="20"/>
        </w:rPr>
        <w:t>C. Cross-dataset advance slice (exploratory / diagnostic)</w:t>
      </w:r>
    </w:p>
    <w:p>
      <w:pPr>
        <w:spacing w:after="120" w:before="0" w:line="240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On advance non-repeat slices, first-order Markov looks strong on curriculum-heavy XES questions, while GRU probes move around by dataset and unit. That pattern is why we preregistered the sign-flip test; the grid itself is not the confirmatory answer.</w:t>
      </w:r>
    </w:p>
    <w:p>
      <w:pPr>
        <w:spacing w:after="40" w:before="16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6"/>
        </w:rPr>
        <w:t>TABLE IV. ADVANCE R@5 DIAGNOSTIC GRID (EXPLORATORY)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Method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Junyi timed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ASSISTments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XES3G5M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popularity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0.157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0.214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0.011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markov_order1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0.417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0.510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0.727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gru_probe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0.397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0.552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0.612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gru4rec_style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0.407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0.654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0.689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attn_probe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0.259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0.430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0.589</w:t>
            </w:r>
          </w:p>
        </w:tc>
      </w:tr>
    </w:tbl>
    <w:p/>
    <w:p>
      <w:pPr>
        <w:spacing w:after="80" w:before="20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VI. DISCUSSION</w:t>
      </w:r>
    </w:p>
    <w:p>
      <w:pPr>
        <w:spacing w:after="120" w:before="0" w:line="240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What we registered is whether changing the action unit reverses the GRU–Markov contrast on the freeze holdout—not whether a gated ranker beats Recent-k on Junyi. A null or mixed result still counts: it would mean the flip did not show up under the locked rules. Native XES stays a descriptive curriculum-heavy case even though it sits in the family under an explicit amendment.</w:t>
      </w:r>
    </w:p>
    <w:p>
      <w:pPr>
        <w:spacing w:after="80" w:before="20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VII. LIMITATIONS</w:t>
      </w:r>
    </w:p>
    <w:p>
      <w:pPr>
        <w:spacing w:after="120" w:before="0" w:line="240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We do not yet have a library-faithful SASRec/RecBole baseline in confirmatory scope. ASSISTments and XES redistribution licences are still unverified. Text and co-occurrence cluster maps disagree (low ARI); intersection is deliberately conservative. And of course there are no confirmatory holdout numbers until registration and one touch-test.</w:t>
      </w:r>
    </w:p>
    <w:p>
      <w:pPr>
        <w:spacing w:after="80" w:before="20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VIII. CONCLUSION</w:t>
      </w:r>
    </w:p>
    <w:p>
      <w:pPr>
        <w:spacing w:after="120" w:before="0" w:line="240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We locked a small confirmatory test about action units and left the Junyi product numbers clearly exploratory. After registration, one touch-test fills Table II from primary_claims only; until then those cells stay blank on purpose.</w:t>
      </w:r>
    </w:p>
    <w:p>
      <w:pPr>
        <w:spacing w:after="80" w:before="20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ACKNOWLEDGMENT</w:t>
      </w:r>
    </w:p>
    <w:p>
      <w:pPr>
        <w:spacing w:after="120" w:before="0" w:line="240" w:lineRule="auto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Thanks to advisors and collaborators for comments on framing and scope. Code: https://github.com/Oscar-man-shrestha/eval-validity-edu (tag prereg-v1). OSF: https://osf.io/24sxf. Full documentation map: docs/DOCUMENTATION.md.</w:t>
      </w:r>
    </w:p>
    <w:p>
      <w:pPr>
        <w:spacing w:after="80" w:before="20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REFERENCES</w:t>
      </w:r>
    </w:p>
    <w:p>
      <w:pPr>
        <w:spacing w:after="40" w:before="0" w:line="240" w:lineRule="auto"/>
        <w:ind w:hanging="283" w:left="283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[1] B. Hidasi, A. Karatzoglou, L. Baltrunas, and D. Tikk, “Session-based recommendations with recurrent neural networks,” in Proc. ICLR, 2016.</w:t>
      </w:r>
    </w:p>
    <w:p>
      <w:pPr>
        <w:spacing w:after="40" w:before="0" w:line="240" w:lineRule="auto"/>
        <w:ind w:hanging="283" w:left="283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[2] W.-C. Kang and J. McAuley, “Self-attentive sequential recommendation,” in Proc. IEEE ICDM, 2018, pp. 197–206.</w:t>
      </w:r>
    </w:p>
    <w:p>
      <w:pPr>
        <w:spacing w:after="40" w:before="0" w:line="240" w:lineRule="auto"/>
        <w:ind w:hanging="283" w:left="283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[3] F. Wang et al., “EduData: A unified library for educational data mining,” GitHub repository, accessed 2026.</w:t>
      </w:r>
    </w:p>
    <w:p>
      <w:pPr>
        <w:spacing w:after="40" w:before="0" w:line="240" w:lineRule="auto"/>
        <w:ind w:hanging="283" w:left="283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[4] X. Xiong, Z. Zhao, E. G. Van Inwegen, and J. E. Beck, “Going deeper with deep knowledge tracing,” in Proc. EDM, 2016.</w:t>
      </w:r>
    </w:p>
    <w:p>
      <w:pPr>
        <w:spacing w:after="40" w:before="0" w:line="240" w:lineRule="auto"/>
        <w:ind w:hanging="283" w:left="283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[5] P. I. Pavlik Jr., H. Cen, and K. R. Koedinger, “Performance factors analysis—A new alternative to knowledge tracing,” in Proc. AIED, 2009.</w:t>
      </w:r>
    </w:p>
    <w:p>
      <w:pPr>
        <w:spacing w:after="40" w:before="0" w:line="240" w:lineRule="auto"/>
        <w:ind w:hanging="283" w:left="283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[6] Center for Open Science, “OSF Preregistration,” https://osf.io/registries, accessed 2026.</w:t>
      </w:r>
    </w:p>
    <w:p>
      <w:pPr>
        <w:spacing w:after="40" w:before="0" w:line="240" w:lineRule="auto"/>
        <w:ind w:hanging="283" w:left="283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[7] NeuroTrace-DAG contributors, “Preregistration packet prereg-v1,” GitHub release, 2026. [Online]. Available: https://github.com/Oscar-man-shrestha/eval-validity-edu/releases/tag/prereg-v1</w:t>
      </w:r>
    </w:p>
    <w:p>
      <w:pPr>
        <w:spacing w:after="120" w:before="240" w:line="240" w:lineRule="auto"/>
        <w:jc w:val="both"/>
      </w:pPr>
      <w:r>
        <w:rPr>
          <w:rFonts w:ascii="Times New Roman" w:hAnsi="Times New Roman" w:eastAsia="Times New Roman"/>
          <w:b w:val="0"/>
          <w:i/>
          <w:color w:val="333333"/>
          <w:sz w:val="16"/>
        </w:rPr>
        <w:t>Status note for advisors: confirmatory H-rev scores are pending by protocol. Do not interpret Table II as empty results—the freeze holdout is locked until registration.</w:t>
      </w:r>
    </w:p>
    <w:sectPr w:rsidR="00FC693F" w:rsidRPr="0006063C" w:rsidSect="00034616">
      <w:pgSz w:w="11906" w:h="16838"/>
      <w:pgMar w:top="1077" w:right="890" w:bottom="1440" w:left="8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