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Méthode du cas pratique juridique</w:t>
      </w:r>
    </w:p>
    <w:p>
      <w:pPr>
        <w:jc w:val="center"/>
      </w:pPr>
      <w:r>
        <w:rPr>
          <w:b/>
          <w:color w:val="2D567A"/>
          <w:sz w:val="23"/>
        </w:rPr>
        <w:t>Fiche méthodologique  BTS  Culture juridique</w:t>
      </w:r>
    </w:p>
    <w:p>
      <w:pPr>
        <w:spacing w:after="200"/>
        <w:jc w:val="center"/>
      </w:pPr>
      <w:r>
        <w:t>Le cas pratique consiste à résoudre une situation concrète en appliquant une règle de droit. La réponse suit un raisonnement juridique en quatre étapes : faits qualifiés, problème de droit, règle de droit et solution.</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19"/>
        <w:gridCol w:w="2419"/>
        <w:gridCol w:w="2419"/>
        <w:gridCol w:w="2419"/>
      </w:tblGrid>
      <w:tr>
        <w:tc>
          <w:tcPr>
            <w:tcW w:type="dxa" w:w="2541"/>
            <w:vAlign w:val="center"/>
            <w:tcMar>
              <w:top w:w="110" w:type="dxa"/>
              <w:start w:w="130" w:type="dxa"/>
              <w:bottom w:w="110" w:type="dxa"/>
              <w:end w:w="130" w:type="dxa"/>
            </w:tcMar>
            <w:shd w:fill="2D567A"/>
          </w:tcPr>
          <w:p>
            <w:pPr>
              <w:spacing w:after="0" w:line="259" w:lineRule="auto"/>
              <w:jc w:val="center"/>
            </w:pPr>
            <w:r/>
            <w:r>
              <w:rPr>
                <w:rFonts w:ascii="Aptos" w:hAnsi="Aptos"/>
                <w:b/>
                <w:color w:val="FFFFFF"/>
                <w:sz w:val="20"/>
              </w:rPr>
              <w:t>1  Faits qualifiés</w:t>
            </w:r>
          </w:p>
        </w:tc>
        <w:tc>
          <w:tcPr>
            <w:tcW w:type="dxa" w:w="2541"/>
            <w:vAlign w:val="center"/>
            <w:tcMar>
              <w:top w:w="110" w:type="dxa"/>
              <w:start w:w="130" w:type="dxa"/>
              <w:bottom w:w="110" w:type="dxa"/>
              <w:end w:w="130" w:type="dxa"/>
            </w:tcMar>
            <w:shd w:fill="2D567A"/>
          </w:tcPr>
          <w:p>
            <w:pPr>
              <w:spacing w:after="0" w:line="259" w:lineRule="auto"/>
              <w:jc w:val="center"/>
            </w:pPr>
            <w:r/>
            <w:r>
              <w:rPr>
                <w:rFonts w:ascii="Aptos" w:hAnsi="Aptos"/>
                <w:b/>
                <w:color w:val="FFFFFF"/>
                <w:sz w:val="20"/>
              </w:rPr>
              <w:t>2  Problématique</w:t>
            </w:r>
          </w:p>
        </w:tc>
        <w:tc>
          <w:tcPr>
            <w:tcW w:type="dxa" w:w="2541"/>
            <w:vAlign w:val="center"/>
            <w:tcMar>
              <w:top w:w="110" w:type="dxa"/>
              <w:start w:w="130" w:type="dxa"/>
              <w:bottom w:w="110" w:type="dxa"/>
              <w:end w:w="130" w:type="dxa"/>
            </w:tcMar>
            <w:shd w:fill="2D567A"/>
          </w:tcPr>
          <w:p>
            <w:pPr>
              <w:spacing w:after="0" w:line="259" w:lineRule="auto"/>
              <w:jc w:val="center"/>
            </w:pPr>
            <w:r/>
            <w:r>
              <w:rPr>
                <w:rFonts w:ascii="Aptos" w:hAnsi="Aptos"/>
                <w:b/>
                <w:color w:val="FFFFFF"/>
                <w:sz w:val="20"/>
              </w:rPr>
              <w:t>3  Règle de droit</w:t>
            </w:r>
          </w:p>
        </w:tc>
        <w:tc>
          <w:tcPr>
            <w:tcW w:type="dxa" w:w="2541"/>
            <w:vAlign w:val="center"/>
            <w:tcMar>
              <w:top w:w="110" w:type="dxa"/>
              <w:start w:w="130" w:type="dxa"/>
              <w:bottom w:w="110" w:type="dxa"/>
              <w:end w:w="130" w:type="dxa"/>
            </w:tcMar>
            <w:shd w:fill="2D567A"/>
          </w:tcPr>
          <w:p>
            <w:pPr>
              <w:spacing w:after="0" w:line="259" w:lineRule="auto"/>
              <w:jc w:val="center"/>
            </w:pPr>
            <w:r/>
            <w:r>
              <w:rPr>
                <w:rFonts w:ascii="Aptos" w:hAnsi="Aptos"/>
                <w:b/>
                <w:color w:val="FFFFFF"/>
                <w:sz w:val="20"/>
              </w:rPr>
              <w:t>4  Solution</w:t>
            </w:r>
          </w:p>
        </w:tc>
      </w:tr>
    </w:tbl>
    <w:p>
      <w:pPr>
        <w:pStyle w:val="Heading1"/>
      </w:pPr>
      <w:r>
        <w:t>1  Rappeler les faits et les qualifier juridiquement</w:t>
      </w:r>
    </w:p>
    <w:p>
      <w:r>
        <w:t>Sélectionnez uniquement les faits utiles à la résolution. Présentez-les brièvement, dans l’ordre logique ou chronologique, puis remplacez les noms et les termes courants par leur qualification juridique.</w:t>
      </w:r>
    </w:p>
    <w:p>
      <w:pPr>
        <w:pStyle w:val="ListBullet"/>
        <w:spacing w:after="80"/>
      </w:pPr>
      <w:r>
        <w:t>Identifier les personnes, leur qualité juridique et leur relation : consommateur, professionnel, salarié, employeur, vendeur, acquéreur, débiteur, créancier…</w:t>
      </w:r>
    </w:p>
    <w:p>
      <w:pPr>
        <w:pStyle w:val="ListBullet"/>
        <w:spacing w:after="80"/>
      </w:pPr>
      <w:r>
        <w:t>Retenir les actes, événements, dates et montants qui ont une conséquence juridique.</w:t>
      </w:r>
    </w:p>
    <w:p>
      <w:pPr>
        <w:pStyle w:val="ListBullet"/>
        <w:spacing w:after="80"/>
      </w:pPr>
      <w:r>
        <w:t>Écarter les détails sans utilité pour la question posée.</w:t>
      </w:r>
    </w:p>
    <w:p>
      <w:r>
        <w:rPr>
          <w:b/>
        </w:rPr>
        <w:t xml:space="preserve">Formulation possible  </w:t>
      </w:r>
      <w:r>
        <w:t>« Un consommateur a conclu à distance un contrat avec un professionnel. »</w:t>
      </w:r>
    </w:p>
    <w:p>
      <w:r>
        <w:rPr>
          <w:b/>
        </w:rPr>
        <w:t xml:space="preserve">À éviter  </w:t>
      </w:r>
      <w:r>
        <w:t>Recopier l’énoncé ou raconter tous les faits sans les qualifier.</w:t>
      </w:r>
    </w:p>
    <w:p>
      <w:pPr>
        <w:pStyle w:val="Heading1"/>
      </w:pPr>
      <w:r>
        <w:t>2  Formuler la problématique juridique</w:t>
      </w:r>
    </w:p>
    <w:p>
      <w:r>
        <w:t>La problématique est une question générale, ouverte et juridiquement qualifiée. Elle ne cite pas les noms des personnes et ne contient pas déjà la réponse.</w:t>
      </w:r>
    </w:p>
    <w:p>
      <w:r>
        <w:rPr>
          <w:b/>
          <w:color w:val="2D567A"/>
        </w:rPr>
        <w:t xml:space="preserve">Forme attendue  </w:t>
      </w:r>
      <w:r>
        <w:rPr>
          <w:b/>
        </w:rPr>
        <w:t>« Dans quelles conditions… ? »</w:t>
      </w:r>
    </w:p>
    <w:p>
      <w:pPr>
        <w:pStyle w:val="ListBullet"/>
        <w:spacing w:after="80"/>
      </w:pPr>
      <w:r>
        <w:t>Exemple : « Dans quelles conditions un consommateur peut-il se rétracter après la conclusion d’un contrat à distance ? »</w:t>
      </w:r>
    </w:p>
    <w:p>
      <w:pPr>
        <w:pStyle w:val="ListBullet"/>
        <w:spacing w:after="80"/>
      </w:pPr>
      <w:r>
        <w:t>Si plusieurs difficultés juridiques sont distinctes, formulez une problématique pour chacune et traitez-les séparément.</w:t>
      </w:r>
    </w:p>
    <w:p>
      <w:r>
        <w:rPr>
          <w:b/>
        </w:rPr>
        <w:t xml:space="preserve">À éviter  </w:t>
      </w:r>
      <w:r>
        <w:t>« Est-ce que Léa peut annuler ? » : la question est fermée, personnalisée et insuffisamment qualifiée.</w:t>
      </w:r>
    </w:p>
    <w:p>
      <w:pPr>
        <w:pStyle w:val="Heading1"/>
      </w:pPr>
      <w:r>
        <w:t>3  Exposer la règle de droit</w:t>
      </w:r>
    </w:p>
    <w:p>
      <w:r>
        <w:t>Présentez la règle générale applicable avant de revenir aux faits. La règle est composée des connaissances du cours et des informations juridiques contenues dans les annexes.</w:t>
      </w:r>
    </w:p>
    <w:p>
      <w:pPr>
        <w:pStyle w:val="ListBullet"/>
        <w:spacing w:after="80"/>
      </w:pPr>
      <w:r>
        <w:t>Cours : notions, définitions, principes, conditions, exceptions et effets juridiques utiles.</w:t>
      </w:r>
    </w:p>
    <w:p>
      <w:pPr>
        <w:pStyle w:val="ListBullet"/>
        <w:spacing w:after="80"/>
      </w:pPr>
      <w:r>
        <w:t>Annexes : textes, décisions de justice ou documents fournis dans le sujet. Relevez seulement les éléments qui répondent à la problématique.</w:t>
      </w:r>
    </w:p>
    <w:p>
      <w:pPr>
        <w:pStyle w:val="ListBullet"/>
        <w:spacing w:after="80"/>
      </w:pPr>
      <w:r>
        <w:t>Citez la source précise lorsqu’elle est indiquée dans le sujet : article, juridiction, date ou numéro d’annexe.</w:t>
      </w:r>
    </w:p>
    <w:p>
      <w:r>
        <w:rPr>
          <w:b/>
        </w:rPr>
        <w:t xml:space="preserve">Conseil  </w:t>
      </w:r>
      <w:r>
        <w:t>Énoncez toutes les conditions nécessaires. Une règle incomplète conduit souvent à une application incomplète.</w:t>
      </w:r>
    </w:p>
    <w:p>
      <w:pPr>
        <w:pStyle w:val="Heading1"/>
      </w:pPr>
      <w:r>
        <w:t>4  Appliquer la règle et proposer la solution</w:t>
      </w:r>
    </w:p>
    <w:p>
      <w:r>
        <w:rPr>
          <w:b/>
        </w:rPr>
        <w:t xml:space="preserve">La solution commence par  </w:t>
      </w:r>
      <w:r>
        <w:rPr>
          <w:b/>
          <w:color w:val="2D567A"/>
        </w:rPr>
        <w:t>« En l’espèce, »</w:t>
      </w:r>
      <w:r>
        <w:t xml:space="preserve"> puis met en relation chaque condition de la règle avec un fait précis. Elle se termine par une conclusion claire et nuancée si une information manque.</w:t>
      </w:r>
    </w:p>
    <w:p>
      <w:pPr>
        <w:pStyle w:val="ListBullet"/>
        <w:spacing w:after="80"/>
      </w:pPr>
      <w:r>
        <w:t>Appliquer : « En l’espèce, [fait qualifié] correspond à [condition juridique], car… »</w:t>
      </w:r>
    </w:p>
    <w:p>
      <w:pPr>
        <w:pStyle w:val="ListBullet"/>
        <w:spacing w:after="80"/>
      </w:pPr>
      <w:r>
        <w:t>Argumenter : montrer concrètement pourquoi les conditions sont ou ne sont pas réunies.</w:t>
      </w:r>
    </w:p>
    <w:p>
      <w:pPr>
        <w:pStyle w:val="ListBullet"/>
        <w:spacing w:after="80"/>
      </w:pPr>
      <w:r>
        <w:t>Conclure : indiquer la conséquence juridique : « Par conséquent… », « Donc… » ou « Ainsi… »</w:t>
      </w:r>
    </w:p>
    <w:p>
      <w:pPr>
        <w:pStyle w:val="Heading1"/>
      </w:pPr>
      <w:r>
        <w:t>Le raisonnement complet en quatre questions</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1800"/>
        <w:gridCol w:w="3240"/>
        <w:gridCol w:w="4608"/>
      </w:tblGrid>
      <w:tr>
        <w:tc>
          <w:tcPr>
            <w:tcW w:type="dxa" w:w="3389"/>
            <w:vAlign w:val="center"/>
            <w:tcMar>
              <w:top w:w="110" w:type="dxa"/>
              <w:start w:w="130" w:type="dxa"/>
              <w:bottom w:w="110" w:type="dxa"/>
              <w:end w:w="130" w:type="dxa"/>
            </w:tcMar>
            <w:shd w:fill="2D567A"/>
          </w:tcPr>
          <w:p>
            <w:pPr>
              <w:spacing w:after="0" w:line="259" w:lineRule="auto"/>
            </w:pPr>
            <w:r/>
            <w:r>
              <w:rPr>
                <w:rFonts w:ascii="Aptos" w:hAnsi="Aptos"/>
                <w:b/>
                <w:color w:val="FFFFFF"/>
                <w:sz w:val="20"/>
              </w:rPr>
              <w:t>Étape</w:t>
            </w:r>
          </w:p>
        </w:tc>
        <w:tc>
          <w:tcPr>
            <w:tcW w:type="dxa" w:w="3389"/>
            <w:vAlign w:val="center"/>
            <w:tcMar>
              <w:top w:w="110" w:type="dxa"/>
              <w:start w:w="130" w:type="dxa"/>
              <w:bottom w:w="110" w:type="dxa"/>
              <w:end w:w="130" w:type="dxa"/>
            </w:tcMar>
            <w:shd w:fill="2D567A"/>
          </w:tcPr>
          <w:p>
            <w:pPr>
              <w:spacing w:after="0" w:line="259" w:lineRule="auto"/>
            </w:pPr>
            <w:r/>
            <w:r>
              <w:rPr>
                <w:rFonts w:ascii="Aptos" w:hAnsi="Aptos"/>
                <w:b/>
                <w:color w:val="FFFFFF"/>
                <w:sz w:val="20"/>
              </w:rPr>
              <w:t>Question à se poser</w:t>
            </w:r>
          </w:p>
        </w:tc>
        <w:tc>
          <w:tcPr>
            <w:tcW w:type="dxa" w:w="3389"/>
            <w:vAlign w:val="center"/>
            <w:tcMar>
              <w:top w:w="110" w:type="dxa"/>
              <w:start w:w="130" w:type="dxa"/>
              <w:bottom w:w="110" w:type="dxa"/>
              <w:end w:w="130" w:type="dxa"/>
            </w:tcMar>
            <w:shd w:fill="2D567A"/>
          </w:tcPr>
          <w:p>
            <w:pPr>
              <w:spacing w:after="0" w:line="259" w:lineRule="auto"/>
            </w:pPr>
            <w:r/>
            <w:r>
              <w:rPr>
                <w:rFonts w:ascii="Aptos" w:hAnsi="Aptos"/>
                <w:b/>
                <w:color w:val="FFFFFF"/>
                <w:sz w:val="20"/>
              </w:rPr>
              <w:t>Ce qui doit apparaître</w:t>
            </w:r>
          </w:p>
        </w:tc>
      </w:tr>
      <w:tr>
        <w:tc>
          <w:tcPr>
            <w:tcW w:type="dxa" w:w="3389"/>
            <w:vAlign w:val="center"/>
            <w:tcMar>
              <w:top w:w="110" w:type="dxa"/>
              <w:start w:w="130" w:type="dxa"/>
              <w:bottom w:w="110" w:type="dxa"/>
              <w:end w:w="130" w:type="dxa"/>
            </w:tcMar>
            <w:shd w:fill="FFFFFF"/>
          </w:tcPr>
          <w:p>
            <w:pPr>
              <w:spacing w:after="0" w:line="259" w:lineRule="auto"/>
            </w:pPr>
            <w:r/>
            <w:r>
              <w:rPr>
                <w:rFonts w:ascii="Aptos" w:hAnsi="Aptos"/>
                <w:b/>
                <w:color w:val="000000"/>
                <w:sz w:val="19"/>
              </w:rPr>
              <w:t>Faits qualifiés</w:t>
            </w:r>
          </w:p>
        </w:tc>
        <w:tc>
          <w:tcPr>
            <w:tcW w:type="dxa" w:w="3389"/>
            <w:vAlign w:val="center"/>
            <w:tcMar>
              <w:top w:w="110" w:type="dxa"/>
              <w:start w:w="130" w:type="dxa"/>
              <w:bottom w:w="110" w:type="dxa"/>
              <w:end w:w="130" w:type="dxa"/>
            </w:tcMar>
            <w:shd w:fill="FFFFFF"/>
          </w:tcPr>
          <w:p>
            <w:pPr>
              <w:spacing w:after="0" w:line="259" w:lineRule="auto"/>
            </w:pPr>
            <w:r/>
            <w:r>
              <w:rPr>
                <w:rFonts w:ascii="Aptos" w:hAnsi="Aptos"/>
                <w:b w:val="0"/>
                <w:color w:val="000000"/>
                <w:sz w:val="19"/>
              </w:rPr>
              <w:t>Qui ? Quoi ? Quand ? Quelle relation juridique ?</w:t>
            </w:r>
          </w:p>
        </w:tc>
        <w:tc>
          <w:tcPr>
            <w:tcW w:type="dxa" w:w="3389"/>
            <w:vAlign w:val="center"/>
            <w:tcMar>
              <w:top w:w="110" w:type="dxa"/>
              <w:start w:w="130" w:type="dxa"/>
              <w:bottom w:w="110" w:type="dxa"/>
              <w:end w:w="130" w:type="dxa"/>
            </w:tcMar>
            <w:shd w:fill="FFFFFF"/>
          </w:tcPr>
          <w:p>
            <w:pPr>
              <w:spacing w:after="0" w:line="259" w:lineRule="auto"/>
            </w:pPr>
            <w:r/>
            <w:r>
              <w:rPr>
                <w:rFonts w:ascii="Aptos" w:hAnsi="Aptos"/>
                <w:b w:val="0"/>
                <w:color w:val="000000"/>
                <w:sz w:val="19"/>
              </w:rPr>
              <w:t>Les faits utiles et le vocabulaire juridique.</w:t>
            </w:r>
          </w:p>
        </w:tc>
      </w:tr>
      <w:tr>
        <w:tc>
          <w:tcPr>
            <w:tcW w:type="dxa" w:w="3389"/>
            <w:vAlign w:val="center"/>
            <w:tcMar>
              <w:top w:w="110" w:type="dxa"/>
              <w:start w:w="130" w:type="dxa"/>
              <w:bottom w:w="110" w:type="dxa"/>
              <w:end w:w="130" w:type="dxa"/>
            </w:tcMar>
            <w:shd w:fill="F3F6F8"/>
          </w:tcPr>
          <w:p>
            <w:pPr>
              <w:spacing w:after="0" w:line="259" w:lineRule="auto"/>
            </w:pPr>
            <w:r/>
            <w:r>
              <w:rPr>
                <w:rFonts w:ascii="Aptos" w:hAnsi="Aptos"/>
                <w:b/>
                <w:color w:val="000000"/>
                <w:sz w:val="19"/>
              </w:rPr>
              <w:t>Problématique</w:t>
            </w:r>
          </w:p>
        </w:tc>
        <w:tc>
          <w:tcPr>
            <w:tcW w:type="dxa" w:w="3389"/>
            <w:vAlign w:val="center"/>
            <w:tcMar>
              <w:top w:w="110" w:type="dxa"/>
              <w:start w:w="130" w:type="dxa"/>
              <w:bottom w:w="110" w:type="dxa"/>
              <w:end w:w="130" w:type="dxa"/>
            </w:tcMar>
            <w:shd w:fill="F3F6F8"/>
          </w:tcPr>
          <w:p>
            <w:pPr>
              <w:spacing w:after="0" w:line="259" w:lineRule="auto"/>
            </w:pPr>
            <w:r/>
            <w:r>
              <w:rPr>
                <w:rFonts w:ascii="Aptos" w:hAnsi="Aptos"/>
                <w:b w:val="0"/>
                <w:color w:val="000000"/>
                <w:sz w:val="19"/>
              </w:rPr>
              <w:t>Quelle question de droit faut-il résoudre ?</w:t>
            </w:r>
          </w:p>
        </w:tc>
        <w:tc>
          <w:tcPr>
            <w:tcW w:type="dxa" w:w="3389"/>
            <w:vAlign w:val="center"/>
            <w:tcMar>
              <w:top w:w="110" w:type="dxa"/>
              <w:start w:w="130" w:type="dxa"/>
              <w:bottom w:w="110" w:type="dxa"/>
              <w:end w:w="130" w:type="dxa"/>
            </w:tcMar>
            <w:shd w:fill="F3F6F8"/>
          </w:tcPr>
          <w:p>
            <w:pPr>
              <w:spacing w:after="0" w:line="259" w:lineRule="auto"/>
            </w:pPr>
            <w:r/>
            <w:r>
              <w:rPr>
                <w:rFonts w:ascii="Aptos" w:hAnsi="Aptos"/>
                <w:b w:val="0"/>
                <w:color w:val="000000"/>
                <w:sz w:val="19"/>
              </w:rPr>
              <w:t>Une question générale ouverte commençant par « Dans quelles conditions… ? »</w:t>
            </w:r>
          </w:p>
        </w:tc>
      </w:tr>
      <w:tr>
        <w:tc>
          <w:tcPr>
            <w:tcW w:type="dxa" w:w="3389"/>
            <w:vAlign w:val="center"/>
            <w:tcMar>
              <w:top w:w="110" w:type="dxa"/>
              <w:start w:w="130" w:type="dxa"/>
              <w:bottom w:w="110" w:type="dxa"/>
              <w:end w:w="130" w:type="dxa"/>
            </w:tcMar>
            <w:shd w:fill="FFFFFF"/>
          </w:tcPr>
          <w:p>
            <w:pPr>
              <w:spacing w:after="0" w:line="259" w:lineRule="auto"/>
            </w:pPr>
            <w:r/>
            <w:r>
              <w:rPr>
                <w:rFonts w:ascii="Aptos" w:hAnsi="Aptos"/>
                <w:b/>
                <w:color w:val="000000"/>
                <w:sz w:val="19"/>
              </w:rPr>
              <w:t>Règle de droit</w:t>
            </w:r>
          </w:p>
        </w:tc>
        <w:tc>
          <w:tcPr>
            <w:tcW w:type="dxa" w:w="3389"/>
            <w:vAlign w:val="center"/>
            <w:tcMar>
              <w:top w:w="110" w:type="dxa"/>
              <w:start w:w="130" w:type="dxa"/>
              <w:bottom w:w="110" w:type="dxa"/>
              <w:end w:w="130" w:type="dxa"/>
            </w:tcMar>
            <w:shd w:fill="FFFFFF"/>
          </w:tcPr>
          <w:p>
            <w:pPr>
              <w:spacing w:after="0" w:line="259" w:lineRule="auto"/>
            </w:pPr>
            <w:r/>
            <w:r>
              <w:rPr>
                <w:rFonts w:ascii="Aptos" w:hAnsi="Aptos"/>
                <w:b w:val="0"/>
                <w:color w:val="000000"/>
                <w:sz w:val="19"/>
              </w:rPr>
              <w:t>Quelle règle permet de répondre ?</w:t>
            </w:r>
          </w:p>
        </w:tc>
        <w:tc>
          <w:tcPr>
            <w:tcW w:type="dxa" w:w="3389"/>
            <w:vAlign w:val="center"/>
            <w:tcMar>
              <w:top w:w="110" w:type="dxa"/>
              <w:start w:w="130" w:type="dxa"/>
              <w:bottom w:w="110" w:type="dxa"/>
              <w:end w:w="130" w:type="dxa"/>
            </w:tcMar>
            <w:shd w:fill="FFFFFF"/>
          </w:tcPr>
          <w:p>
            <w:pPr>
              <w:spacing w:after="0" w:line="259" w:lineRule="auto"/>
            </w:pPr>
            <w:r/>
            <w:r>
              <w:rPr>
                <w:rFonts w:ascii="Aptos" w:hAnsi="Aptos"/>
                <w:b w:val="0"/>
                <w:color w:val="000000"/>
                <w:sz w:val="19"/>
              </w:rPr>
              <w:t>Le cours complété par les annexes : principe, conditions, exceptions et effets.</w:t>
            </w:r>
          </w:p>
        </w:tc>
      </w:tr>
      <w:tr>
        <w:tc>
          <w:tcPr>
            <w:tcW w:type="dxa" w:w="3389"/>
            <w:vAlign w:val="center"/>
            <w:tcMar>
              <w:top w:w="110" w:type="dxa"/>
              <w:start w:w="130" w:type="dxa"/>
              <w:bottom w:w="110" w:type="dxa"/>
              <w:end w:w="130" w:type="dxa"/>
            </w:tcMar>
            <w:shd w:fill="F3F6F8"/>
          </w:tcPr>
          <w:p>
            <w:pPr>
              <w:spacing w:after="0" w:line="259" w:lineRule="auto"/>
            </w:pPr>
            <w:r/>
            <w:r>
              <w:rPr>
                <w:rFonts w:ascii="Aptos" w:hAnsi="Aptos"/>
                <w:b/>
                <w:color w:val="000000"/>
                <w:sz w:val="19"/>
              </w:rPr>
              <w:t>Solution</w:t>
            </w:r>
          </w:p>
        </w:tc>
        <w:tc>
          <w:tcPr>
            <w:tcW w:type="dxa" w:w="3389"/>
            <w:vAlign w:val="center"/>
            <w:tcMar>
              <w:top w:w="110" w:type="dxa"/>
              <w:start w:w="130" w:type="dxa"/>
              <w:bottom w:w="110" w:type="dxa"/>
              <w:end w:w="130" w:type="dxa"/>
            </w:tcMar>
            <w:shd w:fill="F3F6F8"/>
          </w:tcPr>
          <w:p>
            <w:pPr>
              <w:spacing w:after="0" w:line="259" w:lineRule="auto"/>
            </w:pPr>
            <w:r/>
            <w:r>
              <w:rPr>
                <w:rFonts w:ascii="Aptos" w:hAnsi="Aptos"/>
                <w:b w:val="0"/>
                <w:color w:val="000000"/>
                <w:sz w:val="19"/>
              </w:rPr>
              <w:t>Les conditions sont-elles remplies dans la situation ?</w:t>
            </w:r>
          </w:p>
        </w:tc>
        <w:tc>
          <w:tcPr>
            <w:tcW w:type="dxa" w:w="3389"/>
            <w:vAlign w:val="center"/>
            <w:tcMar>
              <w:top w:w="110" w:type="dxa"/>
              <w:start w:w="130" w:type="dxa"/>
              <w:bottom w:w="110" w:type="dxa"/>
              <w:end w:w="130" w:type="dxa"/>
            </w:tcMar>
            <w:shd w:fill="F3F6F8"/>
          </w:tcPr>
          <w:p>
            <w:pPr>
              <w:spacing w:after="0" w:line="259" w:lineRule="auto"/>
            </w:pPr>
            <w:r/>
            <w:r>
              <w:rPr>
                <w:rFonts w:ascii="Aptos" w:hAnsi="Aptos"/>
                <w:b w:val="0"/>
                <w:color w:val="000000"/>
                <w:sz w:val="19"/>
              </w:rPr>
              <w:t>Une réponse argumentée commençant par « En l’espèce, » puis une conclusion.</w:t>
            </w:r>
          </w:p>
        </w:tc>
      </w:tr>
    </w:tbl>
    <w:p>
      <w:pPr>
        <w:pStyle w:val="Heading1"/>
      </w:pPr>
      <w:r>
        <w:t>Exemple guidé</w:t>
      </w:r>
    </w:p>
    <w:p>
      <w:r>
        <w:rPr>
          <w:b/>
        </w:rPr>
        <w:t xml:space="preserve">Situation fictive  </w:t>
      </w:r>
      <w:r>
        <w:t>Lina commande un casque sur le site d’un professionnel. Elle le reçoit, puis souhaite revenir sur son achat quelques jours plus tard.</w:t>
      </w:r>
    </w:p>
    <w:p>
      <w:pPr>
        <w:pStyle w:val="Heading2"/>
      </w:pPr>
      <w:r>
        <w:t>1  Faits qualifiés</w:t>
      </w:r>
    </w:p>
    <w:p>
      <w:r>
        <w:t>Une consommatrice a conclu à distance un contrat de vente avec un professionnel. Après réception du bien, elle souhaite se rétracter.</w:t>
      </w:r>
    </w:p>
    <w:p>
      <w:pPr>
        <w:pStyle w:val="Heading2"/>
      </w:pPr>
      <w:r>
        <w:t>2  Problématique</w:t>
      </w:r>
    </w:p>
    <w:p>
      <w:r>
        <w:rPr>
          <w:b/>
        </w:rPr>
        <w:t>Dans quelles conditions une consommatrice peut-elle exercer son droit de rétractation après un achat conclu à distance ?</w:t>
      </w:r>
    </w:p>
    <w:p>
      <w:pPr>
        <w:pStyle w:val="Heading2"/>
      </w:pPr>
      <w:r>
        <w:t>3  Règle de droit</w:t>
      </w:r>
    </w:p>
    <w:p>
      <w:r>
        <w:t>Il faut présenter ici la règle étudiée dans le cours et les précisions apportées par les annexes : bénéficiaire du droit, type de contrat concerné, délai, point de départ, modalités d’exercice et éventuelles exceptions. Les références fournies dans le sujet doivent être citées.</w:t>
      </w:r>
    </w:p>
    <w:p>
      <w:pPr>
        <w:pStyle w:val="Heading2"/>
      </w:pPr>
      <w:r>
        <w:t>4  Solution</w:t>
      </w:r>
    </w:p>
    <w:p>
      <w:r>
        <w:rPr>
          <w:b/>
        </w:rPr>
        <w:t xml:space="preserve">En l’espèce, </w:t>
      </w:r>
      <w:r>
        <w:t>Lina agit en qualité de consommatrice et le vendeur est un professionnel. Le contrat a été conclu à distance. Il faut ensuite vérifier, à partir des dates et des annexes du sujet, que le délai applicable n’est pas expiré et qu’aucune exception ne concerne le casque. Si toutes les conditions sont réunies, elle pourra exercer son droit de rétractation selon les modalités prévues.</w:t>
      </w:r>
    </w:p>
    <w:p>
      <w:pPr>
        <w:pStyle w:val="Heading1"/>
      </w:pPr>
      <w:r>
        <w:t>Trame à recopier</w:t>
      </w:r>
    </w:p>
    <w:p>
      <w:r>
        <w:rPr>
          <w:b/>
          <w:color w:val="2D567A"/>
        </w:rPr>
        <w:t xml:space="preserve">Faits qualifiés  </w:t>
      </w:r>
      <w:r>
        <w:t>[Personne qualifiée] a [acte ou événement juridiquement qualifié]. [Autre fait utile].</w:t>
      </w:r>
    </w:p>
    <w:p>
      <w:r>
        <w:rPr>
          <w:b/>
          <w:color w:val="2D567A"/>
        </w:rPr>
        <w:t xml:space="preserve">Problématique  </w:t>
      </w:r>
      <w:r>
        <w:t>Dans quelles conditions [question générale avec les qualifications juridiques] ?</w:t>
      </w:r>
    </w:p>
    <w:p>
      <w:r>
        <w:rPr>
          <w:b/>
          <w:color w:val="2D567A"/>
        </w:rPr>
        <w:t xml:space="preserve">Règle de droit  </w:t>
      </w:r>
      <w:r>
        <w:t>Selon [le cours / le texte / l’annexe…], [principe]. Pour que [effet juridique], les conditions suivantes doivent être réunies : [conditions]. Toutefois, [exception éventuelle].</w:t>
      </w:r>
    </w:p>
    <w:p>
      <w:r>
        <w:rPr>
          <w:b/>
          <w:color w:val="2D567A"/>
        </w:rPr>
        <w:t xml:space="preserve">Solution  </w:t>
      </w:r>
      <w:r>
        <w:t>En l’espèce, [application de chaque condition aux faits]. Par conséquent, [réponse précise à la problématique].</w:t>
      </w:r>
    </w:p>
    <w:p>
      <w:pPr>
        <w:pStyle w:val="Heading1"/>
      </w:pPr>
      <w:r>
        <w:t>Vérification avant de rendre la copie</w:t>
      </w:r>
    </w:p>
    <w:p>
      <w:pPr>
        <w:spacing w:after="40"/>
      </w:pPr>
      <w:r>
        <w:t>☐  J’ai retenu uniquement les faits utiles.</w:t>
      </w:r>
    </w:p>
    <w:p>
      <w:pPr>
        <w:spacing w:after="40"/>
      </w:pPr>
      <w:r>
        <w:t>☐  J’ai utilisé des qualifications juridiques.</w:t>
      </w:r>
    </w:p>
    <w:p>
      <w:pPr>
        <w:spacing w:after="40"/>
      </w:pPr>
      <w:r>
        <w:t>☐  Ma problématique est générale, ouverte et commence par « Dans quelles conditions… ? »</w:t>
      </w:r>
    </w:p>
    <w:p>
      <w:pPr>
        <w:spacing w:after="40"/>
      </w:pPr>
      <w:r>
        <w:t>☐  Ma règle combine le cours et les annexes.</w:t>
      </w:r>
    </w:p>
    <w:p>
      <w:pPr>
        <w:spacing w:after="40"/>
      </w:pPr>
      <w:r>
        <w:t>☐  Ma solution commence par « En l’espèce, » et applique chaque condition aux faits.</w:t>
      </w:r>
    </w:p>
    <w:p>
      <w:pPr>
        <w:spacing w:after="40"/>
      </w:pPr>
      <w:r>
        <w:t>☐  Ma conclusion répond clairement à la problématique.</w:t>
      </w:r>
    </w:p>
    <w:sectPr w:rsidR="00FC693F" w:rsidRPr="0006063C" w:rsidSect="00034616">
      <w:footerReference w:type="default" r:id="rId9"/>
      <w:pgSz w:w="12240" w:h="15840"/>
      <w:pgMar w:top="835"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Méthodologie du cas pratique juridique  BTS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