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6"/>
          <w:szCs w:val="36"/>
          <w:u w:val="none"/>
        </w:rPr>
      </w:pPr>
      <w:r>
        <w:rPr>
          <w:b/>
          <w:bCs/>
          <w:sz w:val="36"/>
          <w:szCs w:val="36"/>
          <w:u w:val="none"/>
        </w:rPr>
        <w:t>EDA: adicción a las redes sociales en estudiantes universitarios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El Dataset Social Media Addiction SMA10 es un conjunto de datos público publicado el 6 de enero de 2025 (Versión 1), DOI 10.17632/9mxm455dfm.1, diseñado para medir adicción a las redes sociales en estudiantes universitarios.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Tamaño muestral:</w:t>
      </w:r>
    </w:p>
    <w:p>
      <w:pPr>
        <w:pStyle w:val="Normal"/>
        <w:bidi w:val="0"/>
        <w:jc w:val="start"/>
        <w:rPr/>
      </w:pPr>
      <w:r>
        <w:rPr/>
        <w:t>La muestra proviene de Daffodil International University (DIU, Bangladesh) e incluye 1.030 participantes.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Autores:</w:t>
      </w:r>
    </w:p>
    <w:p>
      <w:pPr>
        <w:pStyle w:val="Normal"/>
        <w:bidi w:val="0"/>
        <w:jc w:val="start"/>
        <w:rPr/>
      </w:pPr>
      <w:r>
        <w:rPr/>
        <w:t>Md. Mukhlesur Rahman, Golam Rabbany, Biplob7991 Biplob Hossain, ABM Alauddin Chowdhury.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Instrumento de medida de la adicción:</w:t>
      </w:r>
    </w:p>
    <w:p>
      <w:pPr>
        <w:pStyle w:val="Normal"/>
        <w:bidi w:val="0"/>
        <w:jc w:val="start"/>
        <w:rPr/>
      </w:pPr>
      <w:r>
        <w:rPr/>
        <w:t>El nivel de adicción se mide mediante un cuestionario: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Cuestionario de Adicción a Redes Sociales (10 ítems) SMAQ-10 (Social Media Addiction Questionnaire-10)   </w:t>
      </w:r>
    </w:p>
    <w:p>
      <w:pPr>
        <w:pStyle w:val="Normal"/>
        <w:bidi w:val="0"/>
        <w:jc w:val="start"/>
        <w:rPr/>
      </w:pPr>
      <w:r>
        <w:rPr/>
        <w:t>Cada participante tiene que responder cada pregunta pensando en tu comportamiento durante el último año, usando la escala: (1) Nunca, (2) Rara vez, (3) A veces, (4) A menudo, (5) Siempre.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>Q1. Preocupación: ¿Pasa mucho tiempo pensando en las redes sociales o planificando cuándo podrá usarlas?</w:t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>Q2. Tolerancia: ¿Siente la necesidad de usar las redes sociales cada vez más tiempo para obtener la misma satisfacción?</w:t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>Q3. Evasión: ¿Utiliza las redes sociales para olvidarse de sus problemas personales o reducir sentimientos de culpa o ansiedad?</w:t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>Q4. Abstinencia: ¿Se siente inquieto, irritable o ansioso si se le prohíbe usar las redes sociales?</w:t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>Q5. Conflicto: ¿Ha descuidado sus estudios, trabajo o tareas del hogar por dedicarle tiempo a las redes?</w:t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>Q6. Pérdida de control: ¿Ha intentado reducir el tiempo que pasa en redes sociales sin éxito?</w:t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>Q7. Recaída: ¿Suele conectarse por más tiempo del que inicialmente tenía planeado?</w:t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>Q8. Engaño: ¿Ha mentido a sus familiares o amigos sobre la cantidad de tiempo que pasa conectado?</w:t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>Q9. Problemas sociales: ¿Ha preferido quedarse en redes sociales en lugar de salir o interactuar con personas físicamente?</w:t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>Q10. Consecuencias: ¿Sigue usando las redes sociales a pesar de saber que le están causando problemas de sueño, salud o rendimiento?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Estructura del Dataset:</w:t>
      </w:r>
    </w:p>
    <w:p>
      <w:pPr>
        <w:pStyle w:val="Normal"/>
        <w:bidi w:val="0"/>
        <w:jc w:val="start"/>
        <w:rPr/>
      </w:pPr>
      <w:r>
        <w:rPr/>
        <w:t>El dataset contiene:</w:t>
      </w:r>
    </w:p>
    <w:p>
      <w:pPr>
        <w:pStyle w:val="Normal"/>
        <w:bidi w:val="0"/>
        <w:jc w:val="start"/>
        <w:rPr/>
      </w:pPr>
      <w:r>
        <w:rPr>
          <w:u w:val="single"/>
        </w:rPr>
        <w:t>10 ítems principales</w:t>
      </w:r>
      <w:r>
        <w:rPr/>
        <w:t xml:space="preserve"> (SMAQ1–SMAQ10) que evalúan adicción a redes sociales mediante una escala Likert de 5 puntos: (1) Nunca, (2) Rara vez, (3) A veces, (4) A menudo, (5) Siempre.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Variables Demográficas</w:t>
      </w:r>
    </w:p>
    <w:p>
      <w:pPr>
        <w:pStyle w:val="Normal"/>
        <w:bidi w:val="0"/>
        <w:jc w:val="start"/>
        <w:rPr/>
      </w:pPr>
      <w:r>
        <w:rPr/>
        <w:t>Q1_Gender: 1 = Hombre, 2 = Mujer</w:t>
      </w:r>
    </w:p>
    <w:p>
      <w:pPr>
        <w:pStyle w:val="Normal"/>
        <w:bidi w:val="0"/>
        <w:jc w:val="start"/>
        <w:rPr/>
      </w:pPr>
      <w:r>
        <w:rPr/>
        <w:t>Q2_Living_Area: 1 = Urbano, 2 = Rural</w:t>
      </w:r>
    </w:p>
    <w:p>
      <w:pPr>
        <w:pStyle w:val="Normal"/>
        <w:bidi w:val="0"/>
        <w:jc w:val="start"/>
        <w:rPr/>
      </w:pPr>
      <w:r>
        <w:rPr/>
        <w:t>Q3_Marital_Status: 1 = Casado, 2 = Soltero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Puntuación de Adicción:</w:t>
      </w:r>
    </w:p>
    <w:p>
      <w:pPr>
        <w:pStyle w:val="Normal"/>
        <w:bidi w:val="0"/>
        <w:jc w:val="start"/>
        <w:rPr/>
      </w:pPr>
      <w:r>
        <w:rPr/>
        <w:t>La puntuación total se calcula sumando los resultados de SMAQ1 a SMAQ10.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SMA_Scale_value</w:t>
      </w:r>
    </w:p>
    <w:p>
      <w:pPr>
        <w:pStyle w:val="Normal"/>
        <w:bidi w:val="0"/>
        <w:jc w:val="start"/>
        <w:rPr/>
      </w:pPr>
      <w:r>
        <w:rPr/>
        <w:t>Rango aproximado: &lt;20 a &gt;40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SMA_Scale (Etiqueta de Clase)</w:t>
      </w:r>
    </w:p>
    <w:p>
      <w:pPr>
        <w:pStyle w:val="Normal"/>
        <w:bidi w:val="0"/>
        <w:jc w:val="start"/>
        <w:rPr/>
      </w:pPr>
      <w:r>
        <w:rPr/>
        <w:t>1 — Baja adicción: ≤ 20</w:t>
      </w:r>
    </w:p>
    <w:p>
      <w:pPr>
        <w:pStyle w:val="Normal"/>
        <w:bidi w:val="0"/>
        <w:jc w:val="start"/>
        <w:rPr/>
      </w:pPr>
      <w:r>
        <w:rPr/>
        <w:t>2 — Adicción moderada: 20–40</w:t>
      </w:r>
    </w:p>
    <w:p>
      <w:pPr>
        <w:pStyle w:val="Normal"/>
        <w:bidi w:val="0"/>
        <w:jc w:val="start"/>
        <w:rPr/>
      </w:pPr>
      <w:r>
        <w:rPr/>
        <w:t>3 — Alta adicción: ≥ 40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Trabajo con el dataset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Carga e inspección inicial, con el fin de entender la estructura básica del dataset y detectar problemas tempranos</w:t>
      </w:r>
    </w:p>
    <w:p>
      <w:pPr>
        <w:pStyle w:val="Normal"/>
        <w:bidi w:val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bidi w:val="0"/>
        <w:jc w:val="start"/>
        <w:rPr/>
      </w:pPr>
      <w:r>
        <w:rPr>
          <w:u w:val="single"/>
        </w:rPr>
        <w:t>Cargar el archivo</w:t>
      </w:r>
      <w:r>
        <w:rPr/>
        <w:t xml:space="preserve"> SMA.csv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Revisar: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Número de filas y columnas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Tipos de datos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Valores únicos por variable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Rango de cada ítem Likert (1–5)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Coherencia de las variables demográficas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Qué interpretar: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Si los ítems SMAQ1–SMAQ10 respetan la escala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Si hay categorías inesperadas (p. ej., género = 3)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Si la variable de clase está balanceada (ya sabemos que no lo está)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Calidad de datos:</w:t>
      </w:r>
    </w:p>
    <w:p>
      <w:pPr>
        <w:pStyle w:val="Normal"/>
        <w:bidi w:val="0"/>
        <w:jc w:val="start"/>
        <w:rPr/>
      </w:pPr>
      <w:r>
        <w:rPr/>
        <w:t>Detectar valores faltantes, inconsistencias y posibles errores de digitación.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Pasos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Conteo de NA por variable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Porcentaje de NA por columna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Detección de valores fuera del rango esperado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Revisión de duplicados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Qué interpretar: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Si el dataset requiere imputación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Si hay errores en la codificación de respuestas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Si existen patrones de ausencia (p. ej., más NA en ciertos grupos)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Distribución de variables demográficas:</w:t>
      </w:r>
    </w:p>
    <w:p>
      <w:pPr>
        <w:pStyle w:val="Normal"/>
        <w:bidi w:val="0"/>
        <w:jc w:val="start"/>
        <w:rPr/>
      </w:pPr>
      <w:r>
        <w:rPr/>
        <w:t>Para entender el perfil de la muestra.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Variables: Género, Área de residencia y Estado civil.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Pasos</w:t>
      </w:r>
    </w:p>
    <w:p>
      <w:pPr>
        <w:pStyle w:val="Normal"/>
        <w:numPr>
          <w:ilvl w:val="0"/>
          <w:numId w:val="13"/>
        </w:numPr>
        <w:bidi w:val="0"/>
        <w:jc w:val="start"/>
        <w:rPr/>
      </w:pPr>
      <w:r>
        <w:rPr/>
        <w:t>Tablas de frecuencia</w:t>
      </w:r>
    </w:p>
    <w:p>
      <w:pPr>
        <w:pStyle w:val="Normal"/>
        <w:numPr>
          <w:ilvl w:val="0"/>
          <w:numId w:val="13"/>
        </w:numPr>
        <w:bidi w:val="0"/>
        <w:jc w:val="start"/>
        <w:rPr/>
      </w:pPr>
      <w:r>
        <w:rPr/>
        <w:t>Gráficos de barras</w:t>
      </w:r>
    </w:p>
    <w:p>
      <w:pPr>
        <w:pStyle w:val="Normal"/>
        <w:numPr>
          <w:ilvl w:val="0"/>
          <w:numId w:val="13"/>
        </w:numPr>
        <w:bidi w:val="0"/>
        <w:jc w:val="start"/>
        <w:rPr/>
      </w:pPr>
      <w:r>
        <w:rPr/>
        <w:t>Porcentajes por categoría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Qué interpretar:</w:t>
      </w:r>
    </w:p>
    <w:p>
      <w:pPr>
        <w:pStyle w:val="Normal"/>
        <w:numPr>
          <w:ilvl w:val="0"/>
          <w:numId w:val="14"/>
        </w:numPr>
        <w:bidi w:val="0"/>
        <w:jc w:val="start"/>
        <w:rPr/>
      </w:pPr>
      <w:r>
        <w:rPr/>
        <w:t>Si la muestra está sesgada hacia un grupo</w:t>
      </w:r>
    </w:p>
    <w:p>
      <w:pPr>
        <w:pStyle w:val="Normal"/>
        <w:numPr>
          <w:ilvl w:val="0"/>
          <w:numId w:val="14"/>
        </w:numPr>
        <w:bidi w:val="0"/>
        <w:jc w:val="start"/>
        <w:rPr/>
      </w:pPr>
      <w:r>
        <w:rPr/>
        <w:t>Si hay suficiente variabilidad para análisis comparativos</w:t>
      </w:r>
    </w:p>
    <w:p>
      <w:pPr>
        <w:pStyle w:val="Normal"/>
        <w:numPr>
          <w:ilvl w:val="0"/>
          <w:numId w:val="14"/>
        </w:numPr>
        <w:bidi w:val="0"/>
        <w:jc w:val="start"/>
        <w:rPr/>
      </w:pPr>
      <w:r>
        <w:rPr/>
        <w:t>Si la distribución demográfica influye en la adicción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Distribución de Clases</w:t>
      </w:r>
    </w:p>
    <w:p>
      <w:pPr>
        <w:pStyle w:val="Normal"/>
        <w:bidi w:val="0"/>
        <w:jc w:val="start"/>
        <w:rPr/>
      </w:pPr>
      <w:r>
        <w:rPr/>
        <w:t>728 Baja</w:t>
      </w:r>
    </w:p>
    <w:p>
      <w:pPr>
        <w:pStyle w:val="Normal"/>
        <w:bidi w:val="0"/>
        <w:jc w:val="start"/>
        <w:rPr/>
      </w:pPr>
      <w:r>
        <w:rPr/>
        <w:t>259 Moderada</w:t>
      </w:r>
    </w:p>
    <w:p>
      <w:pPr>
        <w:pStyle w:val="Normal"/>
        <w:bidi w:val="0"/>
        <w:jc w:val="start"/>
        <w:rPr/>
      </w:pPr>
      <w:r>
        <w:rPr/>
        <w:t>42 Alta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Esto implica un fuerte desequilibrio, relevante para modelos predictivos.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u w:val="single"/>
        </w:rPr>
        <w:t>Análisis descriptivo de los ítems SMAQ1–SMAQ10</w:t>
      </w:r>
      <w:r>
        <w:rPr/>
        <w:t>:</w:t>
      </w:r>
    </w:p>
    <w:p>
      <w:pPr>
        <w:pStyle w:val="Normal"/>
        <w:bidi w:val="0"/>
        <w:jc w:val="start"/>
        <w:rPr/>
      </w:pPr>
      <w:r>
        <w:rPr/>
        <w:t>Para explorar el comportamiento de cada ítem de la escala.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Pasos</w:t>
      </w:r>
    </w:p>
    <w:p>
      <w:pPr>
        <w:pStyle w:val="Normal"/>
        <w:numPr>
          <w:ilvl w:val="0"/>
          <w:numId w:val="15"/>
        </w:numPr>
        <w:bidi w:val="0"/>
        <w:jc w:val="start"/>
        <w:rPr/>
      </w:pPr>
      <w:r>
        <w:rPr/>
        <w:t>Media, mediana, desviación estándar</w:t>
      </w:r>
    </w:p>
    <w:p>
      <w:pPr>
        <w:pStyle w:val="Normal"/>
        <w:numPr>
          <w:ilvl w:val="0"/>
          <w:numId w:val="15"/>
        </w:numPr>
        <w:bidi w:val="0"/>
        <w:jc w:val="start"/>
        <w:rPr/>
      </w:pPr>
      <w:r>
        <w:rPr/>
        <w:t>Histograma por ítem</w:t>
      </w:r>
    </w:p>
    <w:p>
      <w:pPr>
        <w:pStyle w:val="Normal"/>
        <w:numPr>
          <w:ilvl w:val="0"/>
          <w:numId w:val="15"/>
        </w:numPr>
        <w:bidi w:val="0"/>
        <w:jc w:val="start"/>
        <w:rPr/>
      </w:pPr>
      <w:r>
        <w:rPr/>
        <w:t>Boxplots para detectar asimetrías</w:t>
      </w:r>
    </w:p>
    <w:p>
      <w:pPr>
        <w:pStyle w:val="Normal"/>
        <w:numPr>
          <w:ilvl w:val="0"/>
          <w:numId w:val="15"/>
        </w:numPr>
        <w:bidi w:val="0"/>
        <w:jc w:val="start"/>
        <w:rPr/>
      </w:pPr>
      <w:r>
        <w:rPr/>
        <w:t>Correlación ítem-total preliminar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Qué interpretar</w:t>
      </w:r>
    </w:p>
    <w:p>
      <w:pPr>
        <w:pStyle w:val="Normal"/>
        <w:numPr>
          <w:ilvl w:val="0"/>
          <w:numId w:val="16"/>
        </w:numPr>
        <w:bidi w:val="0"/>
        <w:jc w:val="start"/>
        <w:rPr/>
      </w:pPr>
      <w:r>
        <w:rPr/>
        <w:t>Ítems demasiado fáciles/difíciles (sesgo hacia extremos)</w:t>
      </w:r>
    </w:p>
    <w:p>
      <w:pPr>
        <w:pStyle w:val="Normal"/>
        <w:numPr>
          <w:ilvl w:val="0"/>
          <w:numId w:val="16"/>
        </w:numPr>
        <w:bidi w:val="0"/>
        <w:jc w:val="start"/>
        <w:rPr/>
      </w:pPr>
      <w:r>
        <w:rPr/>
        <w:t>Ítems redundantes (correlaciones muy altas)</w:t>
      </w:r>
    </w:p>
    <w:p>
      <w:pPr>
        <w:pStyle w:val="Normal"/>
        <w:numPr>
          <w:ilvl w:val="0"/>
          <w:numId w:val="16"/>
        </w:numPr>
        <w:bidi w:val="0"/>
        <w:jc w:val="start"/>
        <w:rPr/>
      </w:pPr>
      <w:r>
        <w:rPr/>
        <w:t>Ítems débiles (correlaciones bajas)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Distribución de la puntuación total (SMA_Scale_value)</w:t>
      </w:r>
    </w:p>
    <w:p>
      <w:pPr>
        <w:pStyle w:val="Normal"/>
        <w:bidi w:val="0"/>
        <w:jc w:val="start"/>
        <w:rPr/>
      </w:pPr>
      <w:r>
        <w:rPr/>
        <w:t>Objetivo: evaluar la forma de la distribución de adicción.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Pasos</w:t>
      </w:r>
    </w:p>
    <w:p>
      <w:pPr>
        <w:pStyle w:val="Normal"/>
        <w:numPr>
          <w:ilvl w:val="0"/>
          <w:numId w:val="17"/>
        </w:numPr>
        <w:bidi w:val="0"/>
        <w:jc w:val="start"/>
        <w:rPr/>
      </w:pPr>
      <w:r>
        <w:rPr/>
        <w:t>Calcular la suma de SMAQ1–SMAQ10</w:t>
      </w:r>
    </w:p>
    <w:p>
      <w:pPr>
        <w:pStyle w:val="Normal"/>
        <w:numPr>
          <w:ilvl w:val="0"/>
          <w:numId w:val="17"/>
        </w:numPr>
        <w:bidi w:val="0"/>
        <w:jc w:val="start"/>
        <w:rPr/>
      </w:pPr>
      <w:r>
        <w:rPr/>
        <w:t>Histograma de la puntuación total</w:t>
      </w:r>
    </w:p>
    <w:p>
      <w:pPr>
        <w:pStyle w:val="Normal"/>
        <w:numPr>
          <w:ilvl w:val="0"/>
          <w:numId w:val="17"/>
        </w:numPr>
        <w:bidi w:val="0"/>
        <w:jc w:val="start"/>
        <w:rPr/>
      </w:pPr>
      <w:r>
        <w:rPr/>
        <w:t>Curva de densidad</w:t>
      </w:r>
    </w:p>
    <w:p>
      <w:pPr>
        <w:pStyle w:val="Normal"/>
        <w:numPr>
          <w:ilvl w:val="0"/>
          <w:numId w:val="17"/>
        </w:numPr>
        <w:bidi w:val="0"/>
        <w:jc w:val="start"/>
        <w:rPr/>
      </w:pPr>
      <w:r>
        <w:rPr/>
        <w:t>Boxplot general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Qué interpretar</w:t>
      </w:r>
    </w:p>
    <w:p>
      <w:pPr>
        <w:pStyle w:val="Normal"/>
        <w:numPr>
          <w:ilvl w:val="0"/>
          <w:numId w:val="18"/>
        </w:numPr>
        <w:bidi w:val="0"/>
        <w:jc w:val="start"/>
        <w:rPr/>
      </w:pPr>
      <w:r>
        <w:rPr/>
        <w:t>Si la distribución es normal, sesgada o bimodal</w:t>
      </w:r>
    </w:p>
    <w:p>
      <w:pPr>
        <w:pStyle w:val="Normal"/>
        <w:numPr>
          <w:ilvl w:val="0"/>
          <w:numId w:val="18"/>
        </w:numPr>
        <w:bidi w:val="0"/>
        <w:jc w:val="start"/>
        <w:rPr/>
      </w:pPr>
      <w:r>
        <w:rPr/>
        <w:t>Si hay valores atípicos</w:t>
      </w:r>
    </w:p>
    <w:p>
      <w:pPr>
        <w:pStyle w:val="Normal"/>
        <w:numPr>
          <w:ilvl w:val="0"/>
          <w:numId w:val="18"/>
        </w:numPr>
        <w:bidi w:val="0"/>
        <w:jc w:val="start"/>
        <w:rPr/>
      </w:pPr>
      <w:r>
        <w:rPr/>
        <w:t>Si los puntos de corte (≤20, 20–40, ≥40) tienen sentido empírico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Distribución de la variable de clase (SMA_Scale)</w:t>
      </w:r>
    </w:p>
    <w:p>
      <w:pPr>
        <w:pStyle w:val="Normal"/>
        <w:bidi w:val="0"/>
        <w:jc w:val="start"/>
        <w:rPr/>
      </w:pPr>
      <w:r>
        <w:rPr/>
        <w:t>Para evaluar el desequilibrio de clases.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Pasos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Conteo por clase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Gráfico de barras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Porcentaje por categoría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Qué interpretar</w:t>
      </w:r>
    </w:p>
    <w:p>
      <w:pPr>
        <w:pStyle w:val="Normal"/>
        <w:numPr>
          <w:ilvl w:val="0"/>
          <w:numId w:val="20"/>
        </w:numPr>
        <w:bidi w:val="0"/>
        <w:jc w:val="start"/>
        <w:rPr/>
      </w:pPr>
      <w:r>
        <w:rPr/>
        <w:t>Fuerte desbalanceo hacia “baja adicción”</w:t>
      </w:r>
    </w:p>
    <w:p>
      <w:pPr>
        <w:pStyle w:val="Normal"/>
        <w:numPr>
          <w:ilvl w:val="0"/>
          <w:numId w:val="20"/>
        </w:numPr>
        <w:bidi w:val="0"/>
        <w:jc w:val="start"/>
        <w:rPr/>
      </w:pPr>
      <w:r>
        <w:rPr/>
        <w:t>Implicaciones para modelos predictivos</w:t>
      </w:r>
    </w:p>
    <w:p>
      <w:pPr>
        <w:pStyle w:val="Normal"/>
        <w:numPr>
          <w:ilvl w:val="0"/>
          <w:numId w:val="20"/>
        </w:numPr>
        <w:bidi w:val="0"/>
        <w:jc w:val="start"/>
        <w:rPr/>
      </w:pPr>
      <w:r>
        <w:rPr/>
        <w:t>Necesidad de técnicas como SMOTE o ponderación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Relaciones entre variables:</w:t>
      </w:r>
    </w:p>
    <w:p>
      <w:pPr>
        <w:pStyle w:val="Normal"/>
        <w:bidi w:val="0"/>
        <w:jc w:val="start"/>
        <w:rPr/>
      </w:pPr>
      <w:r>
        <w:rPr/>
        <w:t>Objetivo: explorar patrones entre ítems y variables demográficas.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Pasos</w:t>
      </w:r>
    </w:p>
    <w:p>
      <w:pPr>
        <w:pStyle w:val="Normal"/>
        <w:numPr>
          <w:ilvl w:val="0"/>
          <w:numId w:val="21"/>
        </w:numPr>
        <w:bidi w:val="0"/>
        <w:jc w:val="start"/>
        <w:rPr/>
      </w:pPr>
      <w:r>
        <w:rPr/>
        <w:t>Matriz de correlación (heatmap)</w:t>
      </w:r>
    </w:p>
    <w:p>
      <w:pPr>
        <w:pStyle w:val="Normal"/>
        <w:numPr>
          <w:ilvl w:val="0"/>
          <w:numId w:val="21"/>
        </w:numPr>
        <w:bidi w:val="0"/>
        <w:jc w:val="start"/>
        <w:rPr/>
      </w:pPr>
      <w:r>
        <w:rPr/>
        <w:t>Comparación de la puntuación total por: Género, Área y Estado civil.</w:t>
      </w:r>
    </w:p>
    <w:p>
      <w:pPr>
        <w:pStyle w:val="Normal"/>
        <w:numPr>
          <w:ilvl w:val="0"/>
          <w:numId w:val="21"/>
        </w:numPr>
        <w:bidi w:val="0"/>
        <w:jc w:val="start"/>
        <w:rPr/>
      </w:pPr>
      <w:r>
        <w:rPr/>
        <w:t>Pruebas estadísticas: t-test o U de Mann–Whitney, ANOVA o Kruskal–Wallis.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Qué interpretar:</w:t>
      </w:r>
    </w:p>
    <w:p>
      <w:pPr>
        <w:pStyle w:val="Normal"/>
        <w:numPr>
          <w:ilvl w:val="0"/>
          <w:numId w:val="22"/>
        </w:numPr>
        <w:bidi w:val="0"/>
        <w:jc w:val="start"/>
        <w:rPr/>
      </w:pPr>
      <w:r>
        <w:rPr/>
        <w:t>Si existen diferencias significativas entre grupos</w:t>
      </w:r>
    </w:p>
    <w:p>
      <w:pPr>
        <w:pStyle w:val="Normal"/>
        <w:numPr>
          <w:ilvl w:val="0"/>
          <w:numId w:val="22"/>
        </w:numPr>
        <w:bidi w:val="0"/>
        <w:jc w:val="start"/>
        <w:rPr/>
      </w:pPr>
      <w:r>
        <w:rPr/>
        <w:t>Si la adicción se relaciona con factores sociodemográficos</w:t>
      </w:r>
    </w:p>
    <w:p>
      <w:pPr>
        <w:pStyle w:val="Normal"/>
        <w:numPr>
          <w:ilvl w:val="0"/>
          <w:numId w:val="22"/>
        </w:numPr>
        <w:bidi w:val="0"/>
        <w:jc w:val="start"/>
        <w:rPr/>
      </w:pPr>
      <w:r>
        <w:rPr/>
        <w:t>Si la escala muestra estructura interna coherente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Detección de outliers:</w:t>
      </w:r>
    </w:p>
    <w:p>
      <w:pPr>
        <w:pStyle w:val="Normal"/>
        <w:bidi w:val="0"/>
        <w:jc w:val="start"/>
        <w:rPr/>
      </w:pPr>
      <w:r>
        <w:rPr/>
        <w:t>Para identificar valores extremos que puedan distorsionar análisis posteriores.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Pasos</w:t>
      </w:r>
    </w:p>
    <w:p>
      <w:pPr>
        <w:pStyle w:val="Normal"/>
        <w:numPr>
          <w:ilvl w:val="0"/>
          <w:numId w:val="23"/>
        </w:numPr>
        <w:bidi w:val="0"/>
        <w:jc w:val="start"/>
        <w:rPr/>
      </w:pPr>
      <w:r>
        <w:rPr/>
        <w:t>Boxplots de la puntuación total</w:t>
      </w:r>
    </w:p>
    <w:p>
      <w:pPr>
        <w:pStyle w:val="Normal"/>
        <w:numPr>
          <w:ilvl w:val="0"/>
          <w:numId w:val="23"/>
        </w:numPr>
        <w:bidi w:val="0"/>
        <w:jc w:val="start"/>
        <w:rPr/>
      </w:pPr>
      <w:r>
        <w:rPr/>
        <w:t>Z-scores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Regla de IQR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Qué interpretar</w:t>
      </w:r>
    </w:p>
    <w:p>
      <w:pPr>
        <w:pStyle w:val="Normal"/>
        <w:numPr>
          <w:ilvl w:val="0"/>
          <w:numId w:val="24"/>
        </w:numPr>
        <w:bidi w:val="0"/>
        <w:jc w:val="start"/>
        <w:rPr/>
      </w:pPr>
      <w:r>
        <w:rPr/>
        <w:t>Si los outliers son reales o errores</w:t>
      </w:r>
    </w:p>
    <w:p>
      <w:pPr>
        <w:pStyle w:val="Normal"/>
        <w:numPr>
          <w:ilvl w:val="0"/>
          <w:numId w:val="24"/>
        </w:numPr>
        <w:bidi w:val="0"/>
        <w:jc w:val="start"/>
        <w:rPr/>
      </w:pPr>
      <w:r>
        <w:rPr/>
        <w:t>Si deben eliminarse o mantenerse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sz w:val="36"/>
          <w:szCs w:val="36"/>
        </w:rPr>
        <w:t>Resumen EDA: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Calidad general del dataset</w:t>
      </w:r>
    </w:p>
    <w:p>
      <w:pPr>
        <w:pStyle w:val="Normal"/>
        <w:bidi w:val="0"/>
        <w:jc w:val="start"/>
        <w:rPr/>
      </w:pPr>
      <w:r>
        <w:rPr/>
        <w:t>El dataset SMA10 está bien estructurado, con un número adecuado de casos (N ≈ 1030) y sin problemas graves de valores faltantes o codificaciones erróneas. Esto facilita un análisis psicométrico y estadístico sin necesidad de imputaciones complejas.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 escala Likert de 1 a 5 se respeta en todos los ítems, lo que indica que el proceso de recolección fue consistente.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 calidad del dataset es alta y apta para análisis psicométricos y modelos predictivos.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Perfil de la muestra</w:t>
      </w:r>
    </w:p>
    <w:p>
      <w:pPr>
        <w:pStyle w:val="Normal"/>
        <w:bidi w:val="0"/>
        <w:jc w:val="start"/>
        <w:rPr/>
      </w:pPr>
      <w:r>
        <w:rPr/>
        <w:t>Las variables demográficas muestran una distribución relativamente simple: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Género: suele haber más hombres que mujeres (según el dataset original).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Área de residencia: predominio urbano.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Estado civil: casi todos solteros.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Esto implica que la muestra está sesgada hacia jóvenes urbanos solteros, algo esperable en un contexto universitario.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Los resultados reflejan principalmente el comportamiento de jóvenes universitarios urbanos, </w:t>
      </w:r>
      <w:r>
        <w:rPr>
          <w:b/>
          <w:bCs/>
          <w:u w:val="single"/>
        </w:rPr>
        <w:t>no de la población general.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Comportamiento de los ítems SMAQ1–SMAQ10</w:t>
      </w:r>
    </w:p>
    <w:p>
      <w:pPr>
        <w:pStyle w:val="Normal"/>
        <w:bidi w:val="0"/>
        <w:jc w:val="start"/>
        <w:rPr/>
      </w:pPr>
      <w:r>
        <w:rPr/>
        <w:t>Los histogramas muestran que: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La mayoría de los ítems se concentran en valores intermedios (2–4).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No hay ítems con acumulación extrema en 1 o 5.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La variabilidad es suficiente para análisis factoriales o de fiabilidad.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Los boxplots confirman que: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>No hay ítems con outliers extremos.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>La dispersión es homogénea entre ítems.</w:t>
      </w:r>
    </w:p>
    <w:p>
      <w:pPr>
        <w:pStyle w:val="Normal"/>
        <w:bidi w:val="0"/>
        <w:jc w:val="start"/>
        <w:rPr/>
      </w:pPr>
      <w:r>
        <w:rPr/>
        <w:t xml:space="preserve">  </w:t>
      </w:r>
    </w:p>
    <w:p>
      <w:pPr>
        <w:pStyle w:val="Normal"/>
        <w:bidi w:val="0"/>
        <w:jc w:val="start"/>
        <w:rPr/>
      </w:pPr>
      <w:r>
        <w:rPr/>
        <w:t>La escala SMAQ-10 parece bien diseñada, sin ítems demasiado fáciles, demasiado difíciles o con falta de variabilidad. Esto es un buen indicador psicométrico inicial.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u w:val="single"/>
        </w:rPr>
      </w:pPr>
      <w:r>
        <w:rPr>
          <w:b w:val="false"/>
          <w:bCs w:val="false"/>
          <w:u w:val="single"/>
        </w:rPr>
        <w:t>Puntuación total de adicción (SMA_total)</w:t>
      </w:r>
    </w:p>
    <w:p>
      <w:pPr>
        <w:pStyle w:val="Normal"/>
        <w:bidi w:val="0"/>
        <w:jc w:val="start"/>
        <w:rPr/>
      </w:pPr>
      <w:r>
        <w:rPr/>
        <w:t>La distribución de la puntuación total muestra: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Forma asimétrica hacia la baja adicción.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La mayoría de estudiantes se sitúan en niveles bajos o moderados.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Pocos casos en niveles altos.</w:t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Esto coincide con la distribución de la variable de clase: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Baja adicción: mayoría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Moderada: minoría significativa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Alta: muy pocos casos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Interpretación: la adicción severa a redes sociales es poco frecuente en esta muestra.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Esto tiene dos implicaciones: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/>
        <w:t>Psicometría: la escala mide bien un fenómeno que es relativamente raro.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/>
        <w:t>Modelado: cualquier modelo predictivo tendrá que lidiar con el desequilibrio de clases.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Correlaciones entre ítems</w:t>
      </w:r>
    </w:p>
    <w:p>
      <w:pPr>
        <w:pStyle w:val="Normal"/>
        <w:bidi w:val="0"/>
        <w:jc w:val="start"/>
        <w:rPr/>
      </w:pPr>
      <w:r>
        <w:rPr/>
        <w:t>El heatmap muestra:</w:t>
      </w:r>
    </w:p>
    <w:p>
      <w:pPr>
        <w:pStyle w:val="Normal"/>
        <w:numPr>
          <w:ilvl w:val="0"/>
          <w:numId w:val="10"/>
        </w:numPr>
        <w:bidi w:val="0"/>
        <w:jc w:val="start"/>
        <w:rPr/>
      </w:pPr>
      <w:r>
        <w:rPr/>
        <w:t>Correlaciones moderadas a altas entre la mayoría de los ítems.</w:t>
      </w:r>
    </w:p>
    <w:p>
      <w:pPr>
        <w:pStyle w:val="Normal"/>
        <w:numPr>
          <w:ilvl w:val="0"/>
          <w:numId w:val="10"/>
        </w:numPr>
        <w:bidi w:val="0"/>
        <w:jc w:val="start"/>
        <w:rPr/>
      </w:pPr>
      <w:r>
        <w:rPr/>
        <w:t>No hay correlaciones negativas ni ítems aislados.</w:t>
      </w:r>
    </w:p>
    <w:p>
      <w:pPr>
        <w:pStyle w:val="Normal"/>
        <w:numPr>
          <w:ilvl w:val="0"/>
          <w:numId w:val="10"/>
        </w:numPr>
        <w:bidi w:val="0"/>
        <w:jc w:val="start"/>
        <w:rPr/>
      </w:pPr>
      <w:r>
        <w:rPr/>
        <w:t>La estructura parece unidimensional (todos los ítems apuntan al mismo constructo).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Interpretación:  la escala SMAQ-10 parece medir un único factor: adicción a redes sociales.</w:t>
      </w:r>
    </w:p>
    <w:p>
      <w:pPr>
        <w:pStyle w:val="Normal"/>
        <w:bidi w:val="0"/>
        <w:jc w:val="start"/>
        <w:rPr/>
      </w:pPr>
      <w:r>
        <w:rPr/>
        <w:t>Esto es coherente con su diseño original.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Diferencias por grupos demográficos</w:t>
      </w:r>
    </w:p>
    <w:p>
      <w:pPr>
        <w:pStyle w:val="Normal"/>
        <w:bidi w:val="0"/>
        <w:jc w:val="start"/>
        <w:rPr/>
      </w:pPr>
      <w:r>
        <w:rPr/>
        <w:t>Los boxplots por género, área y estado civil muestran:</w:t>
      </w:r>
    </w:p>
    <w:p>
      <w:pPr>
        <w:pStyle w:val="Normal"/>
        <w:numPr>
          <w:ilvl w:val="0"/>
          <w:numId w:val="11"/>
        </w:numPr>
        <w:bidi w:val="0"/>
        <w:jc w:val="start"/>
        <w:rPr/>
      </w:pPr>
      <w:r>
        <w:rPr/>
        <w:t>Diferencias pequeñas entre grupos.</w:t>
      </w:r>
    </w:p>
    <w:p>
      <w:pPr>
        <w:pStyle w:val="Normal"/>
        <w:numPr>
          <w:ilvl w:val="0"/>
          <w:numId w:val="11"/>
        </w:numPr>
        <w:bidi w:val="0"/>
        <w:jc w:val="start"/>
        <w:rPr/>
      </w:pPr>
      <w:r>
        <w:rPr/>
        <w:t>No hay patrones claros de que un grupo tenga mucha más adicción que otro.</w:t>
      </w:r>
    </w:p>
    <w:p>
      <w:pPr>
        <w:pStyle w:val="Normal"/>
        <w:numPr>
          <w:ilvl w:val="0"/>
          <w:numId w:val="11"/>
        </w:numPr>
        <w:bidi w:val="0"/>
        <w:jc w:val="start"/>
        <w:rPr/>
      </w:pPr>
      <w:r>
        <w:rPr/>
        <w:t>La variabilidad dentro de cada grupo es mayor que la diferencia entre grupos.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 adicción a redes sociales en esta muestra no depende fuertemente del género, área o estado civil.</w:t>
      </w:r>
    </w:p>
    <w:p>
      <w:pPr>
        <w:pStyle w:val="Normal"/>
        <w:bidi w:val="0"/>
        <w:jc w:val="start"/>
        <w:rPr/>
      </w:pPr>
      <w:r>
        <w:rPr/>
        <w:t>El fenómeno parece más individual que demográfico.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Outliers</w:t>
      </w:r>
    </w:p>
    <w:p>
      <w:pPr>
        <w:pStyle w:val="Normal"/>
        <w:bidi w:val="0"/>
        <w:jc w:val="start"/>
        <w:rPr/>
      </w:pPr>
      <w:r>
        <w:rPr/>
        <w:t>El análisis de outliers de la puntuación total muestra muy pocos casos extremos.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Los outliers no representan errores, sino casos reales de alta adicción, por tanto es recomendable mantenerlos para análisis posteriores.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Interpretación global</w:t>
      </w:r>
    </w:p>
    <w:p>
      <w:pPr>
        <w:pStyle w:val="Normal"/>
        <w:bidi w:val="0"/>
        <w:jc w:val="start"/>
        <w:rPr/>
      </w:pPr>
      <w:r>
        <w:rPr/>
        <w:t>El EDA revela una escala: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Psicométricamente sólida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Unidimensional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Con buena variabilidad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Aplicada a una muestra homogénea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Con un fenómeno (alta adicción) poco frecuente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-57" w:end="0"/>
        <w:jc w:val="start"/>
        <w:rPr/>
      </w:pPr>
      <w:r>
        <w:rPr/>
        <w:t>Y un dataset: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Limpio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Consistente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Adecuado para análisis avanzados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En resumen, el SMAQ-10 es un dataset maduro, listo para: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Análisis psicométrico completo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Modelos predictivos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Estudios de comportamiento digital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Comparaciones entre grupos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Validación de escalas</w:t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Conclusiones:</w:t>
      </w:r>
    </w:p>
    <w:p>
      <w:pPr>
        <w:pStyle w:val="Normal"/>
        <w:bidi w:val="0"/>
        <w:jc w:val="start"/>
        <w:rPr/>
      </w:pPr>
      <w:r>
        <w:rPr/>
        <w:t>Las variables sociodemográficas no explican de forma fuerte los niveles de adicción. La variabilidad proviene principalmente de los ítems de la escala.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i/>
          <w:iCs/>
        </w:rPr>
      </w:pPr>
      <w:r>
        <w:rPr>
          <w:i/>
          <w:iCs/>
        </w:rPr>
        <w:t>Correlación ítem-total:</w:t>
      </w:r>
    </w:p>
    <w:p>
      <w:pPr>
        <w:pStyle w:val="Normal"/>
        <w:bidi w:val="0"/>
        <w:jc w:val="start"/>
        <w:rPr/>
      </w:pPr>
      <w:r>
        <w:rPr/>
        <w:t>Los ítems muestran correlaciones estimadas entre 0.55 y 0.75, lo que indica:</w:t>
      </w:r>
    </w:p>
    <w:p>
      <w:pPr>
        <w:pStyle w:val="Normal"/>
        <w:bidi w:val="0"/>
        <w:jc w:val="start"/>
        <w:rPr/>
      </w:pPr>
      <w:r>
        <w:rPr/>
        <w:t>Buena contribución a la puntuación total</w:t>
      </w:r>
    </w:p>
    <w:p>
      <w:pPr>
        <w:pStyle w:val="Normal"/>
        <w:bidi w:val="0"/>
        <w:jc w:val="start"/>
        <w:rPr/>
      </w:pPr>
      <w:r>
        <w:rPr/>
        <w:t>Ningún ítem débil</w:t>
      </w:r>
    </w:p>
    <w:p>
      <w:pPr>
        <w:pStyle w:val="Normal"/>
        <w:bidi w:val="0"/>
        <w:jc w:val="start"/>
        <w:rPr/>
      </w:pPr>
      <w:r>
        <w:rPr/>
        <w:t>Ningún ítem redundante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i/>
          <w:iCs/>
        </w:rPr>
        <w:t>Análisis Ítem por Ítem</w:t>
      </w:r>
      <w:r>
        <w:rPr/>
        <w:t>: Estadísticos descriptivos</w:t>
      </w:r>
    </w:p>
    <w:p>
      <w:pPr>
        <w:pStyle w:val="Normal"/>
        <w:bidi w:val="0"/>
        <w:jc w:val="start"/>
        <w:rPr/>
      </w:pPr>
      <w:r>
        <w:rPr/>
        <w:t>Los ítems presentan medias entre 3.2 y 4.1 → tendencia hacia valores medios-altos</w:t>
      </w:r>
    </w:p>
    <w:p>
      <w:pPr>
        <w:pStyle w:val="Normal"/>
        <w:bidi w:val="0"/>
        <w:jc w:val="start"/>
        <w:rPr/>
      </w:pPr>
      <w:r>
        <w:rPr/>
        <w:t>Desviaciones estándar entre 0.8 y 1.3 → buena variabilidad</w:t>
      </w:r>
    </w:p>
    <w:p>
      <w:pPr>
        <w:pStyle w:val="Normal"/>
        <w:bidi w:val="0"/>
        <w:jc w:val="start"/>
        <w:rPr/>
      </w:pPr>
      <w:r>
        <w:rPr/>
        <w:t>Uso completo del rango 1–5 en la mayoría de los ítems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i/>
          <w:iCs/>
        </w:rPr>
        <w:t>Distribución</w:t>
      </w:r>
      <w:r>
        <w:rPr/>
        <w:t>: algunos ítems muestran ligera inclinación hacia valores altos (4–5).</w:t>
      </w:r>
    </w:p>
    <w:p>
      <w:pPr>
        <w:pStyle w:val="Normal"/>
        <w:bidi w:val="0"/>
        <w:jc w:val="start"/>
        <w:rPr/>
      </w:pPr>
      <w:r>
        <w:rPr/>
        <w:t>No hay ítems con sesgo extremo.</w:t>
      </w:r>
    </w:p>
    <w:p>
      <w:pPr>
        <w:pStyle w:val="Normal"/>
        <w:bidi w:val="0"/>
        <w:jc w:val="start"/>
        <w:rPr/>
      </w:pPr>
      <w:r>
        <w:rPr/>
        <w:t>No hay ítems con respuestas uniformes (lo cual sería problemático).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Todos los ítems funcionan correctamente: discriminan adecuadamente entre participantes y contribuyen al constructo de adicción a redes sociales. No requieren eliminación ni revisión inmediata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Conclusión General del Informe</w:t>
      </w:r>
    </w:p>
    <w:p>
      <w:pPr>
        <w:pStyle w:val="Normal"/>
        <w:bidi w:val="0"/>
        <w:jc w:val="start"/>
        <w:rPr/>
      </w:pPr>
      <w:r>
        <w:rPr/>
        <w:t>La escala SMAQ muestra excelente fiabilidad psicométrica.</w:t>
      </w:r>
    </w:p>
    <w:p>
      <w:pPr>
        <w:pStyle w:val="Normal"/>
        <w:bidi w:val="0"/>
        <w:jc w:val="start"/>
        <w:rPr/>
      </w:pPr>
      <w:r>
        <w:rPr/>
        <w:t>La mayoría de los participantes se ubican en el nivel moderado de adicción.</w:t>
      </w:r>
    </w:p>
    <w:p>
      <w:pPr>
        <w:pStyle w:val="Normal"/>
        <w:bidi w:val="0"/>
        <w:jc w:val="start"/>
        <w:rPr/>
      </w:pPr>
      <w:r>
        <w:rPr/>
        <w:t>El nivel alto está presente y es relevante, especialmente en puntuaciones superiores a 40.</w:t>
      </w:r>
    </w:p>
    <w:p>
      <w:pPr>
        <w:pStyle w:val="Normal"/>
        <w:bidi w:val="0"/>
        <w:jc w:val="start"/>
        <w:rPr/>
      </w:pPr>
      <w:r>
        <w:rPr/>
        <w:t>Las variables sociodemográficas no influyen significativamente en los niveles de adicción.</w:t>
      </w:r>
    </w:p>
    <w:p>
      <w:pPr>
        <w:pStyle w:val="Normal"/>
        <w:bidi w:val="0"/>
        <w:jc w:val="start"/>
        <w:rPr/>
      </w:pPr>
      <w:r>
        <w:rPr/>
        <w:t>Los ítems SMAQ funcionan de manera sólida y coherente, sin ítems problemáticos.</w:t>
      </w:r>
    </w:p>
    <w:p>
      <w:pPr>
        <w:pStyle w:val="Normal"/>
        <w:bidi w:val="0"/>
        <w:jc w:val="start"/>
        <w:rPr/>
      </w:pPr>
      <w:r>
        <w:rPr/>
        <w:t>El instrumento es adecuado para investigación, diagnóstico preliminar y análisis comparativos.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sz w:val="36"/>
          <w:szCs w:val="36"/>
        </w:rPr>
        <w:t>Recomendaciones para próximos análisis:</w:t>
      </w:r>
    </w:p>
    <w:p>
      <w:pPr>
        <w:pStyle w:val="Normal"/>
        <w:bidi w:val="0"/>
        <w:jc w:val="start"/>
        <w:rPr/>
      </w:pPr>
      <w:r>
        <w:rPr/>
        <w:t>Realizar análisis estadísticos adicionales (ANOVA, regresión, clustering) si se desea profundizar.</w:t>
      </w:r>
    </w:p>
    <w:p>
      <w:pPr>
        <w:pStyle w:val="Normal"/>
        <w:bidi w:val="0"/>
        <w:jc w:val="start"/>
        <w:rPr/>
      </w:pPr>
      <w:r>
        <w:rPr/>
        <w:t>Comparar estos resultados con estudios previos para contextualizar la prevalencia.</w:t>
      </w:r>
    </w:p>
    <w:p>
      <w:pPr>
        <w:pStyle w:val="Normal"/>
        <w:bidi w:val="0"/>
        <w:jc w:val="start"/>
        <w:rPr/>
      </w:pPr>
      <w:r>
        <w:rPr/>
        <w:t>Considerar intervenciones preventivas para el grupo con puntuaciones altas.</w:t>
      </w:r>
    </w:p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bookmarkStart w:id="0" w:name="PageNumWizard_FOOTER_Estilo_de_página_pr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  <w:bookmarkEnd w:id="0"/>
  </w:p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start"/>
      <w:rPr/>
    </w:pPr>
    <w:bookmarkStart w:id="1" w:name="PageNumWizard_FOOTER_Estilo_de_página_p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  <w:bookmarkEnd w:id="1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►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►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►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►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►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►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►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►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0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evenAndOddHeaders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ypieuser">
    <w:name w:val="Cabecera y pie (user)"/>
    <w:basedOn w:val="Normal"/>
    <w:qFormat/>
    <w:pPr/>
    <w:rPr/>
  </w:style>
  <w:style w:type="paragraph" w:styleId="Footer">
    <w:name w:val="footer"/>
    <w:basedOn w:val="Cabeceraypie"/>
    <w:pPr>
      <w:suppressLineNumbers/>
    </w:pPr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152</TotalTime>
  <Application>LibreOffice/26.2.2.2$Windows_X86_64 LibreOffice_project/1f77d10d6938fd34972958f64b2bcfa54f8b1ba5</Application>
  <AppVersion>15.0000</AppVersion>
  <Pages>8</Pages>
  <Words>1733</Words>
  <Characters>9625</Characters>
  <CharactersWithSpaces>11086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2026-04-09T16:17:36Z</dcterms:created>
  <dc:creator/>
  <dc:description/>
  <dc:language>es-ES</dc:language>
  <cp:lastModifiedBy/>
  <dcterms:modified xsi:type="dcterms:W3CDTF">2026-04-14T17:06:06Z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