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22C" w:rsidRDefault="0011422C" w:rsidP="0011422C">
      <w:pPr>
        <w:rPr>
          <w:rFonts w:cstheme="minorHAnsi"/>
          <w:b/>
          <w:color w:val="FFFFFF" w:themeColor="background1"/>
          <w:sz w:val="36"/>
          <w:szCs w:val="36"/>
        </w:rPr>
      </w:pPr>
    </w:p>
    <w:p w:rsidR="004517EE" w:rsidRDefault="00146620" w:rsidP="00146620">
      <w:pPr>
        <w:spacing w:before="360" w:after="120" w:line="240" w:lineRule="auto"/>
        <w:jc w:val="center"/>
        <w:rPr>
          <w:rFonts w:ascii="Calibri" w:hAnsi="Calibri"/>
        </w:rPr>
        <w:sectPr w:rsidR="004517EE" w:rsidSect="0011422C">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146620">
        <w:rPr>
          <w:rFonts w:ascii="Calibri" w:hAnsi="Calibri"/>
          <w:b/>
          <w:color w:val="FFFFFF"/>
          <w:sz w:val="36"/>
          <w:szCs w:val="36"/>
          <w:highlight w:val="darkGray"/>
        </w:rPr>
        <w:t>¿Qué es un préstamo hipotecario?</w:t>
      </w:r>
    </w:p>
    <w:p w:rsidR="00194BDA" w:rsidRDefault="004517EE" w:rsidP="005872D4">
      <w:pPr>
        <w:spacing w:after="0" w:line="240" w:lineRule="auto"/>
        <w:jc w:val="both"/>
        <w:rPr>
          <w:rFonts w:ascii="Calibri" w:hAnsi="Calibri"/>
          <w:sz w:val="24"/>
          <w:szCs w:val="24"/>
        </w:rPr>
      </w:pPr>
      <w:r w:rsidRPr="00CB29DD">
        <w:rPr>
          <w:rFonts w:ascii="Calibri" w:hAnsi="Calibri"/>
          <w:sz w:val="24"/>
          <w:szCs w:val="24"/>
        </w:rPr>
        <w:lastRenderedPageBreak/>
        <w:t>El préstamo hipotecario que le concede su enti</w:t>
      </w:r>
      <w:r w:rsidRPr="00CB29DD">
        <w:rPr>
          <w:rFonts w:ascii="Calibri" w:hAnsi="Calibri"/>
          <w:sz w:val="24"/>
          <w:szCs w:val="24"/>
        </w:rPr>
        <w:softHyphen/>
        <w:t>dad es el que le permite hacer suya la vivienda deseada. Ése es su fin específico: facilitar el ac</w:t>
      </w:r>
      <w:r w:rsidRPr="00CB29DD">
        <w:rPr>
          <w:rFonts w:ascii="Calibri" w:hAnsi="Calibri"/>
          <w:sz w:val="24"/>
          <w:szCs w:val="24"/>
        </w:rPr>
        <w:softHyphen/>
        <w:t>ceso a la vivienda.</w:t>
      </w:r>
      <w:r w:rsidR="00194BDA">
        <w:rPr>
          <w:rFonts w:ascii="Calibri" w:hAnsi="Calibri"/>
          <w:sz w:val="24"/>
          <w:szCs w:val="24"/>
        </w:rPr>
        <w:t xml:space="preserve"> </w:t>
      </w:r>
    </w:p>
    <w:p w:rsidR="005872D4" w:rsidRDefault="004517EE" w:rsidP="005872D4">
      <w:pPr>
        <w:spacing w:after="0" w:line="240" w:lineRule="auto"/>
        <w:jc w:val="both"/>
        <w:rPr>
          <w:rFonts w:ascii="Calibri" w:hAnsi="Calibri"/>
          <w:sz w:val="24"/>
          <w:szCs w:val="24"/>
        </w:rPr>
      </w:pPr>
      <w:r w:rsidRPr="00CB29DD">
        <w:rPr>
          <w:rFonts w:ascii="Calibri" w:hAnsi="Calibri"/>
          <w:sz w:val="24"/>
          <w:szCs w:val="24"/>
        </w:rPr>
        <w:lastRenderedPageBreak/>
        <w:t>Su principal caracterís</w:t>
      </w:r>
      <w:r w:rsidRPr="00CB29DD">
        <w:rPr>
          <w:rFonts w:ascii="Calibri" w:hAnsi="Calibri"/>
          <w:sz w:val="24"/>
          <w:szCs w:val="24"/>
        </w:rPr>
        <w:softHyphen/>
        <w:t>tica, y de ahí el nombre de hipote</w:t>
      </w:r>
      <w:r w:rsidRPr="00CB29DD">
        <w:rPr>
          <w:rFonts w:ascii="Calibri" w:hAnsi="Calibri"/>
          <w:sz w:val="24"/>
          <w:szCs w:val="24"/>
        </w:rPr>
        <w:softHyphen/>
        <w:t>cario, es que, además de la garantía personal, el inmue</w:t>
      </w:r>
      <w:r w:rsidRPr="00CB29DD">
        <w:rPr>
          <w:rFonts w:ascii="Calibri" w:hAnsi="Calibri"/>
          <w:sz w:val="24"/>
          <w:szCs w:val="24"/>
        </w:rPr>
        <w:softHyphen/>
        <w:t>ble queda afectado como garantía del pago del préstamo. Pero, preci</w:t>
      </w:r>
      <w:r w:rsidRPr="00CB29DD">
        <w:rPr>
          <w:rFonts w:ascii="Calibri" w:hAnsi="Calibri"/>
          <w:sz w:val="24"/>
          <w:szCs w:val="24"/>
        </w:rPr>
        <w:softHyphen/>
        <w:t>sa</w:t>
      </w:r>
      <w:r w:rsidRPr="00CB29DD">
        <w:rPr>
          <w:rFonts w:ascii="Calibri" w:hAnsi="Calibri"/>
          <w:sz w:val="24"/>
          <w:szCs w:val="24"/>
        </w:rPr>
        <w:softHyphen/>
        <w:t xml:space="preserve">mente este hecho es lo que hace posible que </w:t>
      </w:r>
      <w:r w:rsidRPr="00CB29DD">
        <w:rPr>
          <w:rFonts w:ascii="Calibri" w:hAnsi="Calibri"/>
          <w:sz w:val="24"/>
          <w:szCs w:val="24"/>
        </w:rPr>
        <w:lastRenderedPageBreak/>
        <w:t>los présta</w:t>
      </w:r>
      <w:r w:rsidRPr="00CB29DD">
        <w:rPr>
          <w:rFonts w:ascii="Calibri" w:hAnsi="Calibri"/>
          <w:sz w:val="24"/>
          <w:szCs w:val="24"/>
        </w:rPr>
        <w:softHyphen/>
        <w:t>mos hipoteca</w:t>
      </w:r>
      <w:r w:rsidRPr="00CB29DD">
        <w:rPr>
          <w:rFonts w:ascii="Calibri" w:hAnsi="Calibri"/>
          <w:sz w:val="24"/>
          <w:szCs w:val="24"/>
        </w:rPr>
        <w:softHyphen/>
        <w:t>rios tengan ti</w:t>
      </w:r>
      <w:r w:rsidRPr="00CB29DD">
        <w:rPr>
          <w:rFonts w:ascii="Calibri" w:hAnsi="Calibri"/>
          <w:sz w:val="24"/>
          <w:szCs w:val="24"/>
        </w:rPr>
        <w:softHyphen/>
        <w:t>pos de interés más baratos que otras modalidades de préstamos con menor ga</w:t>
      </w:r>
      <w:r w:rsidRPr="00CB29DD">
        <w:rPr>
          <w:rFonts w:ascii="Calibri" w:hAnsi="Calibri"/>
          <w:sz w:val="24"/>
          <w:szCs w:val="24"/>
        </w:rPr>
        <w:softHyphen/>
        <w:t>rantía. La importan</w:t>
      </w:r>
      <w:r w:rsidRPr="00CB29DD">
        <w:rPr>
          <w:rFonts w:ascii="Calibri" w:hAnsi="Calibri"/>
          <w:sz w:val="24"/>
          <w:szCs w:val="24"/>
        </w:rPr>
        <w:softHyphen/>
        <w:t>cia de la inversión tam</w:t>
      </w:r>
      <w:r w:rsidRPr="00CB29DD">
        <w:rPr>
          <w:rFonts w:ascii="Calibri" w:hAnsi="Calibri"/>
          <w:sz w:val="24"/>
          <w:szCs w:val="24"/>
        </w:rPr>
        <w:softHyphen/>
        <w:t xml:space="preserve">bién hace que el plazo sea más largo </w:t>
      </w:r>
      <w:r w:rsidR="005872D4">
        <w:rPr>
          <w:rFonts w:ascii="Calibri" w:hAnsi="Calibri"/>
          <w:sz w:val="24"/>
          <w:szCs w:val="24"/>
        </w:rPr>
        <w:t>para la mayor facilidad de pago.</w:t>
      </w:r>
    </w:p>
    <w:p w:rsidR="00194BDA" w:rsidRDefault="00194BDA" w:rsidP="005872D4">
      <w:pPr>
        <w:spacing w:after="0" w:line="240" w:lineRule="auto"/>
        <w:jc w:val="both"/>
        <w:rPr>
          <w:rFonts w:ascii="Calibri" w:hAnsi="Calibri"/>
          <w:sz w:val="24"/>
          <w:szCs w:val="24"/>
        </w:rPr>
        <w:sectPr w:rsidR="00194BD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num="3" w:sep="1" w:space="709"/>
          <w:docGrid w:linePitch="360"/>
        </w:sectPr>
      </w:pPr>
    </w:p>
    <w:p w:rsidR="002C759A" w:rsidRDefault="002C759A" w:rsidP="005872D4">
      <w:pPr>
        <w:jc w:val="center"/>
        <w:rPr>
          <w:rFonts w:ascii="Calibri" w:hAnsi="Calibri"/>
        </w:rPr>
        <w:sectPr w:rsidR="002C759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ep="1" w:space="1134"/>
          <w:docGrid w:linePitch="360"/>
        </w:sectPr>
      </w:pPr>
    </w:p>
    <w:p w:rsidR="00194BDA" w:rsidRDefault="005872D4" w:rsidP="005872D4">
      <w:pPr>
        <w:jc w:val="center"/>
        <w:rPr>
          <w:rFonts w:ascii="Calibri" w:hAnsi="Calibri"/>
          <w:b/>
          <w:color w:val="FFFFFF"/>
          <w:sz w:val="36"/>
          <w:szCs w:val="36"/>
        </w:rPr>
      </w:pPr>
      <w:r w:rsidRPr="005872D4">
        <w:rPr>
          <w:rFonts w:ascii="Calibri" w:hAnsi="Calibri"/>
          <w:b/>
          <w:color w:val="FFFFFF"/>
          <w:sz w:val="36"/>
          <w:szCs w:val="36"/>
          <w:highlight w:val="darkGray"/>
        </w:rPr>
        <w:lastRenderedPageBreak/>
        <w:t xml:space="preserve">Cómo elegir el tipo </w:t>
      </w:r>
      <w:r>
        <w:rPr>
          <w:rFonts w:ascii="Calibri" w:hAnsi="Calibri"/>
          <w:b/>
          <w:color w:val="FFFFFF"/>
          <w:sz w:val="36"/>
          <w:szCs w:val="36"/>
          <w:highlight w:val="darkGray"/>
        </w:rPr>
        <w:t>d</w:t>
      </w:r>
      <w:r w:rsidRPr="005872D4">
        <w:rPr>
          <w:rFonts w:ascii="Calibri" w:hAnsi="Calibri"/>
          <w:b/>
          <w:color w:val="FFFFFF"/>
          <w:sz w:val="36"/>
          <w:szCs w:val="36"/>
          <w:highlight w:val="darkGray"/>
        </w:rPr>
        <w:t>e préstamo que más le interesa</w:t>
      </w:r>
    </w:p>
    <w:tbl>
      <w:tblPr>
        <w:tblStyle w:val="Tablaconcuadrcula"/>
        <w:tblW w:w="0" w:type="auto"/>
        <w:tblLook w:val="0600" w:firstRow="0" w:lastRow="0" w:firstColumn="0" w:lastColumn="0" w:noHBand="1" w:noVBand="1"/>
      </w:tblPr>
      <w:tblGrid>
        <w:gridCol w:w="3398"/>
        <w:gridCol w:w="3398"/>
        <w:gridCol w:w="3398"/>
      </w:tblGrid>
      <w:tr w:rsidR="00194BDA" w:rsidTr="007B7491">
        <w:tc>
          <w:tcPr>
            <w:tcW w:w="3398" w:type="dxa"/>
            <w:tcBorders>
              <w:top w:val="single" w:sz="36" w:space="0" w:color="auto"/>
              <w:bottom w:val="nil"/>
              <w:right w:val="single" w:sz="4" w:space="0" w:color="auto"/>
            </w:tcBorders>
          </w:tcPr>
          <w:p w:rsidR="00194BDA" w:rsidRDefault="00194BDA" w:rsidP="005872D4">
            <w:pPr>
              <w:jc w:val="center"/>
              <w:rPr>
                <w:rFonts w:ascii="Calibri" w:hAnsi="Calibri"/>
              </w:rPr>
            </w:pPr>
            <w:r w:rsidRPr="006D4362">
              <w:rPr>
                <w:rFonts w:ascii="Calibri" w:hAnsi="Calibri"/>
                <w:b/>
                <w:sz w:val="28"/>
                <w:szCs w:val="28"/>
              </w:rPr>
              <w:t>Importe</w:t>
            </w:r>
          </w:p>
        </w:tc>
        <w:tc>
          <w:tcPr>
            <w:tcW w:w="3398" w:type="dxa"/>
            <w:tcBorders>
              <w:top w:val="single" w:sz="36" w:space="0" w:color="auto"/>
              <w:left w:val="single" w:sz="4" w:space="0" w:color="auto"/>
              <w:bottom w:val="nil"/>
              <w:right w:val="single" w:sz="4" w:space="0" w:color="auto"/>
            </w:tcBorders>
          </w:tcPr>
          <w:p w:rsidR="00194BDA" w:rsidRDefault="00194BDA" w:rsidP="005872D4">
            <w:pPr>
              <w:jc w:val="center"/>
              <w:rPr>
                <w:rFonts w:ascii="Calibri" w:hAnsi="Calibri"/>
              </w:rPr>
            </w:pPr>
            <w:r w:rsidRPr="006D4362">
              <w:rPr>
                <w:rFonts w:ascii="Calibri" w:hAnsi="Calibri"/>
                <w:b/>
                <w:sz w:val="28"/>
                <w:szCs w:val="28"/>
              </w:rPr>
              <w:t>Ingresos</w:t>
            </w:r>
          </w:p>
        </w:tc>
        <w:tc>
          <w:tcPr>
            <w:tcW w:w="3398" w:type="dxa"/>
            <w:tcBorders>
              <w:top w:val="single" w:sz="36" w:space="0" w:color="auto"/>
              <w:left w:val="single" w:sz="4" w:space="0" w:color="auto"/>
              <w:bottom w:val="nil"/>
            </w:tcBorders>
          </w:tcPr>
          <w:p w:rsidR="00194BDA" w:rsidRDefault="00194BDA" w:rsidP="005872D4">
            <w:pPr>
              <w:jc w:val="center"/>
              <w:rPr>
                <w:rFonts w:ascii="Calibri" w:hAnsi="Calibri"/>
              </w:rPr>
            </w:pPr>
            <w:r w:rsidRPr="006D4362">
              <w:rPr>
                <w:rFonts w:ascii="Calibri" w:hAnsi="Calibri"/>
                <w:b/>
                <w:sz w:val="28"/>
                <w:szCs w:val="28"/>
              </w:rPr>
              <w:t>Plazo de amortización</w:t>
            </w:r>
          </w:p>
        </w:tc>
      </w:tr>
      <w:tr w:rsidR="00194BDA" w:rsidTr="007B7491">
        <w:trPr>
          <w:cantSplit/>
          <w:trHeight w:val="4460"/>
        </w:trPr>
        <w:tc>
          <w:tcPr>
            <w:tcW w:w="3398" w:type="dxa"/>
            <w:tcBorders>
              <w:top w:val="nil"/>
              <w:bottom w:val="single" w:sz="36" w:space="0" w:color="auto"/>
              <w:right w:val="single" w:sz="4" w:space="0" w:color="auto"/>
            </w:tcBorders>
            <w:textDirection w:val="btLr"/>
            <w:vAlign w:val="center"/>
          </w:tcPr>
          <w:p w:rsidR="0089567E" w:rsidRPr="0089567E" w:rsidRDefault="0089567E" w:rsidP="0089567E">
            <w:pPr>
              <w:ind w:left="113" w:right="113"/>
              <w:jc w:val="both"/>
              <w:rPr>
                <w:rFonts w:ascii="Calibri" w:hAnsi="Calibri"/>
                <w:sz w:val="18"/>
                <w:szCs w:val="18"/>
              </w:rPr>
            </w:pPr>
            <w:r w:rsidRPr="0089567E">
              <w:rPr>
                <w:rFonts w:ascii="Calibri" w:hAnsi="Calibri"/>
                <w:sz w:val="18"/>
                <w:szCs w:val="18"/>
              </w:rPr>
              <w:t>Para conocer exactamente el importe del préstamo que usted podrá conseguir debe tener en cuenta dos aspectos. En primer lugar, el valor de tasación de la vivienda.</w:t>
            </w:r>
          </w:p>
          <w:p w:rsidR="00194BDA" w:rsidRPr="006D4362" w:rsidRDefault="0089567E" w:rsidP="0089567E">
            <w:pPr>
              <w:ind w:left="113" w:right="113"/>
              <w:jc w:val="both"/>
              <w:rPr>
                <w:rFonts w:ascii="Calibri" w:hAnsi="Calibri"/>
                <w:b/>
                <w:sz w:val="28"/>
                <w:szCs w:val="28"/>
              </w:rPr>
            </w:pPr>
            <w:r w:rsidRPr="0089567E">
              <w:rPr>
                <w:rFonts w:ascii="Calibri" w:hAnsi="Calibri"/>
                <w:sz w:val="18"/>
                <w:szCs w:val="18"/>
              </w:rPr>
              <w:t>A través de una sociedad de tasación autorizada usted sabrá cual es la valoración del inmueble y si la cantidad que le pide el comprador se ajusta a los valores del mercado. La tasación de la vivienda es, por tanto, otra forma de aumentar tanto su seguridad como la de la entidad financiera que, si usted lo desea, personalmente puede encargar a una sociedad que lleve a cabo la operación.</w:t>
            </w:r>
          </w:p>
        </w:tc>
        <w:tc>
          <w:tcPr>
            <w:tcW w:w="3398" w:type="dxa"/>
            <w:tcBorders>
              <w:top w:val="nil"/>
              <w:left w:val="single" w:sz="4" w:space="0" w:color="auto"/>
              <w:bottom w:val="single" w:sz="36" w:space="0" w:color="auto"/>
              <w:right w:val="single" w:sz="4" w:space="0" w:color="auto"/>
            </w:tcBorders>
          </w:tcPr>
          <w:p w:rsidR="00194BDA" w:rsidRPr="006D4362" w:rsidRDefault="00194BDA" w:rsidP="005872D4">
            <w:pPr>
              <w:jc w:val="center"/>
              <w:rPr>
                <w:rFonts w:ascii="Calibri" w:hAnsi="Calibri"/>
                <w:b/>
                <w:sz w:val="28"/>
                <w:szCs w:val="28"/>
              </w:rPr>
            </w:pPr>
          </w:p>
        </w:tc>
        <w:tc>
          <w:tcPr>
            <w:tcW w:w="3398" w:type="dxa"/>
            <w:tcBorders>
              <w:top w:val="nil"/>
              <w:left w:val="single" w:sz="4" w:space="0" w:color="auto"/>
              <w:bottom w:val="single" w:sz="36" w:space="0" w:color="auto"/>
            </w:tcBorders>
          </w:tcPr>
          <w:p w:rsidR="00194BDA" w:rsidRPr="006D4362" w:rsidRDefault="00194BDA" w:rsidP="005872D4">
            <w:pPr>
              <w:jc w:val="center"/>
              <w:rPr>
                <w:rFonts w:ascii="Calibri" w:hAnsi="Calibri"/>
                <w:b/>
                <w:sz w:val="28"/>
                <w:szCs w:val="28"/>
              </w:rPr>
            </w:pPr>
          </w:p>
        </w:tc>
      </w:tr>
    </w:tbl>
    <w:p w:rsidR="00582EC3" w:rsidRDefault="00582EC3" w:rsidP="005872D4">
      <w:pPr>
        <w:jc w:val="center"/>
        <w:rPr>
          <w:rFonts w:ascii="Calibri" w:hAnsi="Calibri"/>
        </w:rPr>
      </w:pPr>
    </w:p>
    <w:p w:rsidR="00582EC3" w:rsidRDefault="00582EC3" w:rsidP="008C435A">
      <w:pPr>
        <w:pBdr>
          <w:top w:val="single" w:sz="4" w:space="1" w:color="auto"/>
          <w:bottom w:val="single" w:sz="4" w:space="1" w:color="auto"/>
        </w:pBdr>
        <w:jc w:val="center"/>
        <w:rPr>
          <w:sz w:val="28"/>
          <w:szCs w:val="28"/>
        </w:rPr>
      </w:pPr>
      <w:r w:rsidRPr="00582EC3">
        <w:rPr>
          <w:sz w:val="28"/>
          <w:szCs w:val="28"/>
        </w:rPr>
        <w:t>Llegó la hora de firmar las escrituras de compraventa y del préstamo hipotecario.</w:t>
      </w:r>
    </w:p>
    <w:p w:rsidR="008C435A" w:rsidRDefault="008C435A" w:rsidP="008C435A">
      <w:pPr>
        <w:pStyle w:val="Prrafodelista"/>
        <w:numPr>
          <w:ilvl w:val="0"/>
          <w:numId w:val="5"/>
        </w:numPr>
        <w:rPr>
          <w:b/>
        </w:rPr>
      </w:pPr>
      <w:r>
        <w:rPr>
          <w:b/>
        </w:rPr>
        <w:t>En general</w:t>
      </w:r>
    </w:p>
    <w:p w:rsidR="008C435A" w:rsidRPr="008C435A" w:rsidRDefault="008C435A" w:rsidP="008C435A">
      <w:pPr>
        <w:pStyle w:val="Prrafodelista"/>
        <w:numPr>
          <w:ilvl w:val="1"/>
          <w:numId w:val="5"/>
        </w:numPr>
        <w:rPr>
          <w:b/>
        </w:rPr>
      </w:pPr>
      <w:r>
        <w:rPr>
          <w:rFonts w:ascii="Calibri" w:hAnsi="Calibri"/>
        </w:rPr>
        <w:t>F</w:t>
      </w:r>
      <w:r w:rsidRPr="00134CCB">
        <w:rPr>
          <w:rFonts w:ascii="Calibri" w:hAnsi="Calibri"/>
        </w:rPr>
        <w:t>otocopia del NIF/CIF del solicitante o solicitantes</w:t>
      </w:r>
    </w:p>
    <w:p w:rsidR="008C435A" w:rsidRPr="008C435A" w:rsidRDefault="008C435A" w:rsidP="008C435A">
      <w:pPr>
        <w:pStyle w:val="Prrafodelista"/>
        <w:numPr>
          <w:ilvl w:val="1"/>
          <w:numId w:val="5"/>
        </w:numPr>
        <w:rPr>
          <w:b/>
        </w:rPr>
      </w:pPr>
      <w:r>
        <w:rPr>
          <w:rFonts w:ascii="Calibri" w:hAnsi="Calibri"/>
        </w:rPr>
        <w:t>C</w:t>
      </w:r>
      <w:r w:rsidRPr="00134CCB">
        <w:rPr>
          <w:rFonts w:ascii="Calibri" w:hAnsi="Calibri"/>
        </w:rPr>
        <w:t>opia de la escritura del bien inmueble a hipotecar</w:t>
      </w:r>
    </w:p>
    <w:p w:rsidR="008C435A" w:rsidRPr="008C435A" w:rsidRDefault="008C435A" w:rsidP="008C435A">
      <w:pPr>
        <w:pStyle w:val="Prrafodelista"/>
        <w:numPr>
          <w:ilvl w:val="1"/>
          <w:numId w:val="5"/>
        </w:numPr>
        <w:rPr>
          <w:b/>
        </w:rPr>
      </w:pPr>
      <w:r>
        <w:rPr>
          <w:rFonts w:ascii="Calibri" w:hAnsi="Calibri"/>
        </w:rPr>
        <w:t>V</w:t>
      </w:r>
      <w:r w:rsidRPr="00134CCB">
        <w:rPr>
          <w:rFonts w:ascii="Calibri" w:hAnsi="Calibri"/>
        </w:rPr>
        <w:t>erificación o certificación registral</w:t>
      </w:r>
    </w:p>
    <w:p w:rsidR="008C435A" w:rsidRPr="00186CF5" w:rsidRDefault="008C435A" w:rsidP="008C435A">
      <w:pPr>
        <w:pStyle w:val="Prrafodelista"/>
        <w:numPr>
          <w:ilvl w:val="0"/>
          <w:numId w:val="5"/>
        </w:numPr>
        <w:rPr>
          <w:b/>
        </w:rPr>
      </w:pPr>
      <w:r w:rsidRPr="00186CF5">
        <w:rPr>
          <w:rFonts w:ascii="Calibri" w:hAnsi="Calibri"/>
          <w:b/>
        </w:rPr>
        <w:t>Trabajador por cuenta ajena:</w:t>
      </w:r>
    </w:p>
    <w:p w:rsidR="008C435A" w:rsidRPr="008C435A" w:rsidRDefault="008C435A" w:rsidP="008C435A">
      <w:pPr>
        <w:pStyle w:val="Prrafodelista"/>
        <w:numPr>
          <w:ilvl w:val="1"/>
          <w:numId w:val="5"/>
        </w:numPr>
        <w:rPr>
          <w:b/>
        </w:rPr>
      </w:pPr>
      <w:r>
        <w:rPr>
          <w:rFonts w:ascii="Calibri" w:hAnsi="Calibri"/>
        </w:rPr>
        <w:t>Últimas nóminas</w:t>
      </w:r>
    </w:p>
    <w:p w:rsidR="008C435A" w:rsidRPr="008C435A" w:rsidRDefault="008C435A" w:rsidP="008C435A">
      <w:pPr>
        <w:pStyle w:val="Prrafodelista"/>
        <w:numPr>
          <w:ilvl w:val="1"/>
          <w:numId w:val="5"/>
        </w:numPr>
        <w:rPr>
          <w:b/>
        </w:rPr>
      </w:pPr>
      <w:r>
        <w:rPr>
          <w:rFonts w:ascii="Calibri" w:hAnsi="Calibri"/>
        </w:rPr>
        <w:t>Última declaración de la renta</w:t>
      </w:r>
    </w:p>
    <w:p w:rsidR="008C435A" w:rsidRPr="008C435A" w:rsidRDefault="008C435A" w:rsidP="008C435A">
      <w:pPr>
        <w:pStyle w:val="Prrafodelista"/>
        <w:numPr>
          <w:ilvl w:val="1"/>
          <w:numId w:val="5"/>
        </w:numPr>
        <w:rPr>
          <w:b/>
        </w:rPr>
      </w:pPr>
      <w:r>
        <w:rPr>
          <w:rFonts w:ascii="Calibri" w:hAnsi="Calibri"/>
        </w:rPr>
        <w:t>Otros justificantes de ingresos, si los hay</w:t>
      </w:r>
      <w:bookmarkStart w:id="0" w:name="_GoBack"/>
      <w:r w:rsidR="00784642" w:rsidRPr="003568C0">
        <w:rPr>
          <w:rFonts w:ascii="Calibri" w:hAnsi="Calibri"/>
          <w:position w:val="-70"/>
        </w:rPr>
        <w:object w:dxaOrig="392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61.25pt;height:54pt" o:ole="" o:bordertopcolor="this" o:borderleftcolor="this" o:borderbottomcolor="this" o:borderrightcolor="this" o:allowoverlap="f">
            <v:imagedata r:id="rId6" o:title=""/>
            <w10:bordertop type="single" width="4"/>
            <w10:borderleft type="single" width="4"/>
            <w10:borderbottom type="single" width="4"/>
            <w10:borderright type="single" width="4"/>
          </v:shape>
          <o:OLEObject Type="Embed" ProgID="Equation.3" ShapeID="_x0000_i1113" DrawAspect="Content" ObjectID="_1635159087" r:id="rId7"/>
        </w:object>
      </w:r>
      <w:bookmarkEnd w:id="0"/>
    </w:p>
    <w:p w:rsidR="008C435A" w:rsidRPr="00186CF5" w:rsidRDefault="008C435A" w:rsidP="008C435A">
      <w:pPr>
        <w:pStyle w:val="Prrafodelista"/>
        <w:numPr>
          <w:ilvl w:val="0"/>
          <w:numId w:val="5"/>
        </w:numPr>
        <w:rPr>
          <w:b/>
        </w:rPr>
      </w:pPr>
      <w:r w:rsidRPr="00186CF5">
        <w:rPr>
          <w:rFonts w:ascii="Calibri" w:hAnsi="Calibri"/>
          <w:b/>
        </w:rPr>
        <w:t>Trabajador por cuenta propia:</w:t>
      </w:r>
    </w:p>
    <w:p w:rsidR="008C435A" w:rsidRPr="00186CF5" w:rsidRDefault="00186CF5" w:rsidP="008C435A">
      <w:pPr>
        <w:pStyle w:val="Prrafodelista"/>
        <w:numPr>
          <w:ilvl w:val="1"/>
          <w:numId w:val="5"/>
        </w:numPr>
      </w:pPr>
      <w:r w:rsidRPr="00186CF5">
        <w:t>Última declaración de la renta</w:t>
      </w:r>
    </w:p>
    <w:p w:rsidR="00186CF5" w:rsidRPr="00186CF5" w:rsidRDefault="00186CF5" w:rsidP="008C435A">
      <w:pPr>
        <w:pStyle w:val="Prrafodelista"/>
        <w:numPr>
          <w:ilvl w:val="1"/>
          <w:numId w:val="5"/>
        </w:numPr>
      </w:pPr>
      <w:r w:rsidRPr="00186CF5">
        <w:t>Pagos fraccionados de renta del año en curso</w:t>
      </w:r>
    </w:p>
    <w:p w:rsidR="00582EC3" w:rsidRPr="003568C0" w:rsidRDefault="00186CF5" w:rsidP="003568C0">
      <w:pPr>
        <w:pStyle w:val="Prrafodelista"/>
        <w:numPr>
          <w:ilvl w:val="1"/>
          <w:numId w:val="5"/>
        </w:numPr>
      </w:pPr>
      <w:r w:rsidRPr="00186CF5">
        <w:t>Última declaración anual del IVA</w:t>
      </w:r>
    </w:p>
    <w:sectPr w:rsidR="00582EC3" w:rsidRPr="003568C0" w:rsidSect="003568C0">
      <w:type w:val="continuous"/>
      <w:pgSz w:w="11906" w:h="16838"/>
      <w:pgMar w:top="851" w:right="851" w:bottom="851"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4569F"/>
    <w:multiLevelType w:val="hybridMultilevel"/>
    <w:tmpl w:val="5BD202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A371C2"/>
    <w:multiLevelType w:val="hybridMultilevel"/>
    <w:tmpl w:val="D0527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887A23"/>
    <w:multiLevelType w:val="multilevel"/>
    <w:tmpl w:val="FFBECC1A"/>
    <w:lvl w:ilvl="0">
      <w:start w:val="1"/>
      <w:numFmt w:val="decimal"/>
      <w:suff w:val="nothing"/>
      <w:lvlText w:val="%1.-"/>
      <w:lvlJc w:val="left"/>
      <w:pPr>
        <w:ind w:left="0" w:firstLine="567"/>
      </w:pPr>
      <w:rPr>
        <w:rFonts w:hint="default"/>
      </w:rPr>
    </w:lvl>
    <w:lvl w:ilvl="1">
      <w:start w:val="1"/>
      <w:numFmt w:val="cardinalText"/>
      <w:lvlText w:val="%2-"/>
      <w:lvlJc w:val="left"/>
      <w:pPr>
        <w:tabs>
          <w:tab w:val="num" w:pos="1418"/>
        </w:tabs>
        <w:ind w:left="2835" w:hanging="141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3271BBF"/>
    <w:multiLevelType w:val="multilevel"/>
    <w:tmpl w:val="27D0D572"/>
    <w:lvl w:ilvl="0">
      <w:start w:val="1"/>
      <w:numFmt w:val="decimal"/>
      <w:suff w:val="nothing"/>
      <w:lvlText w:val="%1.-"/>
      <w:lvlJc w:val="left"/>
      <w:pPr>
        <w:ind w:left="0" w:firstLine="567"/>
      </w:pPr>
      <w:rPr>
        <w:rFonts w:ascii="Cambria Math" w:hAnsi="Cambria Math" w:hint="default"/>
      </w:rPr>
    </w:lvl>
    <w:lvl w:ilvl="1">
      <w:start w:val="1"/>
      <w:numFmt w:val="cardinalText"/>
      <w:lvlText w:val="%2-"/>
      <w:lvlJc w:val="left"/>
      <w:pPr>
        <w:tabs>
          <w:tab w:val="num" w:pos="1418"/>
        </w:tabs>
        <w:ind w:left="2835" w:hanging="1417"/>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7C4B1CE0"/>
    <w:multiLevelType w:val="multilevel"/>
    <w:tmpl w:val="FFBECC1A"/>
    <w:lvl w:ilvl="0">
      <w:start w:val="1"/>
      <w:numFmt w:val="decimal"/>
      <w:suff w:val="nothing"/>
      <w:lvlText w:val="%1.-"/>
      <w:lvlJc w:val="left"/>
      <w:pPr>
        <w:ind w:left="0" w:firstLine="567"/>
      </w:pPr>
      <w:rPr>
        <w:rFonts w:hint="default"/>
      </w:rPr>
    </w:lvl>
    <w:lvl w:ilvl="1">
      <w:start w:val="1"/>
      <w:numFmt w:val="cardinalText"/>
      <w:lvlText w:val="%2-"/>
      <w:lvlJc w:val="left"/>
      <w:pPr>
        <w:tabs>
          <w:tab w:val="num" w:pos="1418"/>
        </w:tabs>
        <w:ind w:left="2835" w:hanging="141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0D"/>
    <w:rsid w:val="0011422C"/>
    <w:rsid w:val="00146620"/>
    <w:rsid w:val="00186CF5"/>
    <w:rsid w:val="00194BDA"/>
    <w:rsid w:val="002C759A"/>
    <w:rsid w:val="003568C0"/>
    <w:rsid w:val="00394E9F"/>
    <w:rsid w:val="004517EE"/>
    <w:rsid w:val="00582EC3"/>
    <w:rsid w:val="005872D4"/>
    <w:rsid w:val="006445D4"/>
    <w:rsid w:val="00784642"/>
    <w:rsid w:val="007B7491"/>
    <w:rsid w:val="0087160D"/>
    <w:rsid w:val="0089567E"/>
    <w:rsid w:val="008A295F"/>
    <w:rsid w:val="008C34B1"/>
    <w:rsid w:val="008C435A"/>
    <w:rsid w:val="00935AE9"/>
    <w:rsid w:val="00AA6CED"/>
    <w:rsid w:val="00BA2E8B"/>
    <w:rsid w:val="00CB29DD"/>
    <w:rsid w:val="00E429C5"/>
    <w:rsid w:val="00E82574"/>
    <w:rsid w:val="00FF7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95CF"/>
  <w15:chartTrackingRefBased/>
  <w15:docId w15:val="{A5B42094-AC28-4347-9725-71A383BE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1422C"/>
    <w:rPr>
      <w:sz w:val="16"/>
      <w:szCs w:val="16"/>
    </w:rPr>
  </w:style>
  <w:style w:type="paragraph" w:styleId="Textocomentario">
    <w:name w:val="annotation text"/>
    <w:basedOn w:val="Normal"/>
    <w:link w:val="TextocomentarioCar"/>
    <w:uiPriority w:val="99"/>
    <w:semiHidden/>
    <w:unhideWhenUsed/>
    <w:rsid w:val="001142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422C"/>
    <w:rPr>
      <w:sz w:val="20"/>
      <w:szCs w:val="20"/>
    </w:rPr>
  </w:style>
  <w:style w:type="paragraph" w:styleId="Asuntodelcomentario">
    <w:name w:val="annotation subject"/>
    <w:basedOn w:val="Textocomentario"/>
    <w:next w:val="Textocomentario"/>
    <w:link w:val="AsuntodelcomentarioCar"/>
    <w:uiPriority w:val="99"/>
    <w:semiHidden/>
    <w:unhideWhenUsed/>
    <w:rsid w:val="0011422C"/>
    <w:rPr>
      <w:b/>
      <w:bCs/>
    </w:rPr>
  </w:style>
  <w:style w:type="character" w:customStyle="1" w:styleId="AsuntodelcomentarioCar">
    <w:name w:val="Asunto del comentario Car"/>
    <w:basedOn w:val="TextocomentarioCar"/>
    <w:link w:val="Asuntodelcomentario"/>
    <w:uiPriority w:val="99"/>
    <w:semiHidden/>
    <w:rsid w:val="0011422C"/>
    <w:rPr>
      <w:b/>
      <w:bCs/>
      <w:sz w:val="20"/>
      <w:szCs w:val="20"/>
    </w:rPr>
  </w:style>
  <w:style w:type="paragraph" w:styleId="Textodeglobo">
    <w:name w:val="Balloon Text"/>
    <w:basedOn w:val="Normal"/>
    <w:link w:val="TextodegloboCar"/>
    <w:uiPriority w:val="99"/>
    <w:semiHidden/>
    <w:unhideWhenUsed/>
    <w:rsid w:val="001142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22C"/>
    <w:rPr>
      <w:rFonts w:ascii="Segoe UI" w:hAnsi="Segoe UI" w:cs="Segoe UI"/>
      <w:sz w:val="18"/>
      <w:szCs w:val="18"/>
    </w:rPr>
  </w:style>
  <w:style w:type="table" w:styleId="Tablaconcuadrcula">
    <w:name w:val="Table Grid"/>
    <w:basedOn w:val="Tablanormal"/>
    <w:uiPriority w:val="39"/>
    <w:rsid w:val="0089567E"/>
    <w:pPr>
      <w:spacing w:after="0" w:line="240" w:lineRule="auto"/>
    </w:pPr>
    <w:tblPr>
      <w:tblBorders>
        <w:top w:val="single" w:sz="36" w:space="0" w:color="auto"/>
        <w:bottom w:val="single" w:sz="36" w:space="0" w:color="auto"/>
      </w:tblBorders>
    </w:tblPr>
    <w:tcPr>
      <w:shd w:val="clear" w:color="auto" w:fill="auto"/>
    </w:tcPr>
  </w:style>
  <w:style w:type="paragraph" w:styleId="Citadestacada">
    <w:name w:val="Intense Quote"/>
    <w:basedOn w:val="Normal"/>
    <w:next w:val="Normal"/>
    <w:link w:val="CitadestacadaCar"/>
    <w:uiPriority w:val="30"/>
    <w:qFormat/>
    <w:rsid w:val="00582E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582EC3"/>
    <w:rPr>
      <w:i/>
      <w:iCs/>
      <w:color w:val="5B9BD5" w:themeColor="accent1"/>
    </w:rPr>
  </w:style>
  <w:style w:type="paragraph" w:styleId="Prrafodelista">
    <w:name w:val="List Paragraph"/>
    <w:basedOn w:val="Normal"/>
    <w:uiPriority w:val="34"/>
    <w:qFormat/>
    <w:rsid w:val="008C435A"/>
    <w:pPr>
      <w:ind w:left="720"/>
      <w:contextualSpacing/>
    </w:pPr>
  </w:style>
  <w:style w:type="character" w:styleId="Textodelmarcadordeposicin">
    <w:name w:val="Placeholder Text"/>
    <w:basedOn w:val="Fuentedeprrafopredeter"/>
    <w:uiPriority w:val="99"/>
    <w:semiHidden/>
    <w:rsid w:val="00186C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83DA7C-2BCB-45F3-9C35-5E804406AD64}">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A8EF-8C99-41E6-B0A6-5861B749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7</cp:revision>
  <dcterms:created xsi:type="dcterms:W3CDTF">2019-11-12T10:39:00Z</dcterms:created>
  <dcterms:modified xsi:type="dcterms:W3CDTF">2019-11-13T13:05:00Z</dcterms:modified>
</cp:coreProperties>
</file>