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MAMANI, ALVARO CRISTIAN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745BF">
        <w:rPr>
          <w:b/>
        </w:rPr>
        <w:t xml:space="preserve">20-35.826.734-4 </w:t>
      </w:r>
      <w:r>
        <w:t>con domicilio en</w:t>
      </w:r>
      <w:r w:rsidR="00A745BF">
        <w:t xml:space="preserve"> Tamborcito de </w:t>
      </w:r>
      <w:proofErr w:type="spellStart"/>
      <w:r w:rsidR="00A745BF">
        <w:t>Tacuari</w:t>
      </w:r>
      <w:proofErr w:type="spellEnd"/>
      <w:r w:rsidR="00A745BF">
        <w:t xml:space="preserve"> N° 411, La Quiaca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lastRenderedPageBreak/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5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605"/>
        <w:gridCol w:w="1842"/>
        <w:gridCol w:w="1842"/>
      </w:tblGrid>
      <w:tr w:rsidR="00453468" w:rsidTr="0038308E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453468" w:rsidTr="0038308E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14.500,00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5" w:type="dxa"/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14.000,00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5" w:type="dxa"/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5.700,00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1.870,00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1.700,00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3.300,00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1.600,00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1.650,00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400,00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4.200,00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2.850,00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4.200,00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2.800,00 </w:t>
            </w:r>
          </w:p>
        </w:tc>
      </w:tr>
      <w:tr w:rsidR="00453468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2.350,00 </w:t>
            </w:r>
          </w:p>
        </w:tc>
      </w:tr>
      <w:tr w:rsidR="00453468" w:rsidTr="0038308E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453468" w:rsidRDefault="00453468" w:rsidP="00453468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605" w:type="dxa"/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453468" w:rsidRDefault="00453468" w:rsidP="00453468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2.750,00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62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3.100,00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3.800,00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19.140,00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19.140,00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1.980,00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45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2.700,00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7.500,00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3.100,00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700,00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F2525B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69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1.900,00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9.000,00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453468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Default="00453468" w:rsidP="00453468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468" w:rsidRPr="00B052A6" w:rsidRDefault="00453468" w:rsidP="0045346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53468" w:rsidRDefault="00453468" w:rsidP="004534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2.900,00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5838"/>
        <w:gridCol w:w="2203"/>
      </w:tblGrid>
      <w:tr w:rsidR="00A745BF" w:rsidTr="00A745BF">
        <w:trPr>
          <w:trHeight w:val="300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5BF" w:rsidRDefault="00A745B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N° 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18 "Gral. </w:t>
            </w:r>
            <w:proofErr w:type="spellStart"/>
            <w:r>
              <w:rPr>
                <w:rFonts w:ascii="Calibri" w:hAnsi="Calibri" w:cs="Calibri"/>
                <w:color w:val="000000"/>
              </w:rPr>
              <w:t>Rondeau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Catalina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80 "Vicente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Lopez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Planes"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Cangrejillos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416 "</w:t>
            </w:r>
            <w:proofErr w:type="spellStart"/>
            <w:r>
              <w:rPr>
                <w:rFonts w:ascii="Calibri" w:hAnsi="Calibri" w:cs="Calibri"/>
                <w:color w:val="000000"/>
              </w:rPr>
              <w:t>Soberania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Nacional"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Cerro Colorado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81 "12 de Octubre"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Chalguamayoc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317 "Malvinas Argentinas"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Chocoite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446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Cholacor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10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291 "Wolf </w:t>
            </w:r>
            <w:proofErr w:type="spellStart"/>
            <w:r>
              <w:rPr>
                <w:rFonts w:ascii="Calibri" w:hAnsi="Calibri" w:cs="Calibri"/>
                <w:color w:val="000000"/>
              </w:rPr>
              <w:t>Scholnik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Condor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de Educación Técnica Nº 1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Frontera Nº 1 "Gral. Belgrano"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300 "Martin Miguel de </w:t>
            </w:r>
            <w:proofErr w:type="spellStart"/>
            <w:r>
              <w:rPr>
                <w:rFonts w:ascii="Calibri" w:hAnsi="Calibri" w:cs="Calibri"/>
                <w:color w:val="000000"/>
              </w:rPr>
              <w:t>Guemes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 de Agua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N° 17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61 "Hermana Stella Maris </w:t>
            </w:r>
            <w:proofErr w:type="spellStart"/>
            <w:r>
              <w:rPr>
                <w:rFonts w:ascii="Calibri" w:hAnsi="Calibri" w:cs="Calibri"/>
                <w:color w:val="000000"/>
              </w:rPr>
              <w:t>Ilming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Pumahuasi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42 "Fray Mamerto </w:t>
            </w:r>
            <w:proofErr w:type="spellStart"/>
            <w:r>
              <w:rPr>
                <w:rFonts w:ascii="Calibri" w:hAnsi="Calibri" w:cs="Calibri"/>
                <w:color w:val="000000"/>
              </w:rPr>
              <w:t>Esquiu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Sansana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Sur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Suripujio</w:t>
            </w:r>
            <w:proofErr w:type="spellEnd"/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Frontera Nº 2 "Rosario </w:t>
            </w:r>
            <w:proofErr w:type="spellStart"/>
            <w:r>
              <w:rPr>
                <w:rFonts w:ascii="Calibri" w:hAnsi="Calibri" w:cs="Calibri"/>
                <w:color w:val="000000"/>
              </w:rPr>
              <w:t>Wayar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Chico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440 "Batalla de Quera"</w:t>
            </w:r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  <w:tr w:rsidR="00A745BF" w:rsidTr="00A745BF">
        <w:trPr>
          <w:trHeight w:val="300"/>
        </w:trPr>
        <w:tc>
          <w:tcPr>
            <w:tcW w:w="127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8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Maternal </w:t>
            </w:r>
            <w:proofErr w:type="spellStart"/>
            <w:r>
              <w:rPr>
                <w:rFonts w:ascii="Calibri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745BF" w:rsidRDefault="00A74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D0" w:rsidRDefault="006365D0" w:rsidP="00363EFE">
      <w:pPr>
        <w:spacing w:after="0" w:line="240" w:lineRule="auto"/>
      </w:pPr>
      <w:r>
        <w:separator/>
      </w:r>
    </w:p>
  </w:endnote>
  <w:endnote w:type="continuationSeparator" w:id="0">
    <w:p w:rsidR="006365D0" w:rsidRDefault="006365D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inline distT="0" distB="0" distL="0" distR="0" wp14:anchorId="045ED8F2" wp14:editId="5A517A17">
          <wp:extent cx="1412949" cy="97819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201" cy="1010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D0" w:rsidRDefault="006365D0" w:rsidP="00363EFE">
      <w:pPr>
        <w:spacing w:after="0" w:line="240" w:lineRule="auto"/>
      </w:pPr>
      <w:r>
        <w:separator/>
      </w:r>
    </w:p>
  </w:footnote>
  <w:footnote w:type="continuationSeparator" w:id="0">
    <w:p w:rsidR="006365D0" w:rsidRDefault="006365D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5C649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8DD6-117A-48D7-9BF5-635B5E83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1975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4</cp:revision>
  <cp:lastPrinted>2024-04-09T13:56:00Z</cp:lastPrinted>
  <dcterms:created xsi:type="dcterms:W3CDTF">2024-04-12T14:52:00Z</dcterms:created>
  <dcterms:modified xsi:type="dcterms:W3CDTF">2024-04-12T14:58:00Z</dcterms:modified>
</cp:coreProperties>
</file>