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200"/>
        <w:jc w:val="center"/>
      </w:pPr>
      <w:r>
        <w:rPr>
          <w:b/>
          <w:bCs/>
          <w:color w:val="1F4E78"/>
          <w:sz w:val="40"/>
          <w:szCs w:val="40"/>
        </w:rPr>
        <w:t xml:space="preserve">MEDICIÓN DE CALIDAD DEL PRODUCTO SOFTWARE</w:t>
      </w:r>
    </w:p>
    <w:p>
      <w:pPr>
        <w:spacing w:after="200"/>
        <w:jc w:val="center"/>
      </w:pPr>
      <w:r>
        <w:rPr>
          <w:b/>
          <w:bCs/>
          <w:color w:val="2E75B6"/>
          <w:sz w:val="32"/>
          <w:szCs w:val="32"/>
        </w:rPr>
        <w:t xml:space="preserve">ISO/IEC 25023</w:t>
      </w:r>
    </w:p>
    <w:p>
      <w:pPr>
        <w:pBdr>
          <w:bottom w:val="single" w:color="2E75B6" w:sz="8" w:space="6"/>
        </w:pBdr>
        <w:spacing w:after="600"/>
        <w:jc w:val="center"/>
      </w:pPr>
      <w:r>
        <w:rPr>
          <w:color w:val="404040"/>
          <w:sz w:val="24"/>
          <w:szCs w:val="24"/>
        </w:rPr>
        <w:t xml:space="preserve">Interoperabilidad (Tabla 8)  ·  Tolerancia a fallos (Tabla 17)</w:t>
      </w:r>
    </w:p>
    <w:p>
      <w:pPr>
        <w:spacing w:after="100"/>
        <w:jc w:val="center"/>
      </w:pPr>
      <w:r>
        <w:rPr>
          <w:sz w:val="22"/>
          <w:szCs w:val="22"/>
        </w:rPr>
        <w:t xml:space="preserve">Sistema bajo prueba: Sistema de Restaurantes de Tingo María</w:t>
      </w:r>
    </w:p>
    <w:p>
      <w:pPr>
        <w:spacing w:after="100"/>
        <w:jc w:val="center"/>
      </w:pPr>
      <w:r>
        <w:rPr>
          <w:color w:val="595959"/>
          <w:sz w:val="20"/>
          <w:szCs w:val="20"/>
        </w:rPr>
        <w:t xml:space="preserve">Backend Spring Boot 3.2 (Java 21) · Frontend Next.js 14 · PostgreSQL 16 + PostGIS · Docker Compose</w:t>
      </w:r>
    </w:p>
    <w:p>
      <w:pPr>
        <w:spacing w:after="700"/>
        <w:jc w:val="center"/>
      </w:pPr>
      <w:r>
        <w:rPr>
          <w:sz w:val="22"/>
          <w:szCs w:val="22"/>
        </w:rPr>
        <w:t xml:space="preserve">Curso: Integración de Sistemas de Software — IX Ciclo, UNAS</w:t>
      </w:r>
    </w:p>
    <w:p>
      <w:pPr>
        <w:jc w:val="center"/>
      </w:pPr>
      <w:r>
        <w:rPr>
          <w:b/>
          <w:bCs/>
          <w:sz w:val="22"/>
          <w:szCs w:val="22"/>
        </w:rPr>
        <w:t xml:space="preserve">Fecha de medición: 04 de julio de 2026</w:t>
      </w:r>
    </w:p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Introducción</w:t>
      </w:r>
    </w:p>
    <w:p>
      <w:pPr>
        <w:spacing w:after="140"/>
        <w:jc w:val="both"/>
      </w:pPr>
      <w:r>
        <w:t xml:space="preserve">Este informe documenta la medición de dos subcaracterísticas de calidad del producto software definidas en ISO/IEC 25010 y operacionalizadas mediante las medidas de ISO/IEC 25023, aplicadas al Sistema de Restaurantes de Tingo María. El sistema forma parte del ecosistema turístico de la ciudad y expone una API REST que consumen los demás sistemas del ecosistema (Eventos, Hoteles, Turismo y Transporte).</w:t>
      </w:r>
    </w:p>
    <w:p>
      <w:pPr>
        <w:spacing w:after="140"/>
        <w:jc w:val="both"/>
      </w:pPr>
      <w:r>
        <w:t xml:space="preserve">Todas las medidas de la norma siguen la forma X = A/B, salvo RFt-3-S, que es un tiempo promedio X = Σ(Ai−Bi)/n. Los resultados completos —con fórmulas vivas que se recalculan al editar los datos— están en el libro Excel adjunto: ISO25023-Mediciones-Interoperabilidad-ToleranciaFallos.xlsx.</w:t>
      </w:r>
    </w:p>
    <w:p>
      <w:pPr>
        <w:pStyle w:val="Heading2"/>
      </w:pPr>
      <w:r>
        <w:t xml:space="preserve">1.1 Objetivo</w:t>
      </w:r>
    </w:p>
    <w:p>
      <w:pPr>
        <w:spacing w:after="140"/>
        <w:jc w:val="both"/>
      </w:pPr>
      <w:r>
        <w:t xml:space="preserve">Cuantificar, con las funciones de medición oficiales de ISO/IEC 25023, el nivel de interoperabilidad y de tolerancia a fallos del sistema, dejando evidencia reproducible (scripts, CSV y criterios documentados) que permita repetir la medición en cualquier momento.</w:t>
      </w:r>
    </w:p>
    <w:p>
      <w:pPr>
        <w:pStyle w:val="Heading2"/>
      </w:pPr>
      <w:r>
        <w:t xml:space="preserve">1.2 Alcance y selección de subcaracterísticas</w:t>
      </w:r>
    </w:p>
    <w:p>
      <w:pPr>
        <w:spacing w:after="140"/>
        <w:jc w:val="both"/>
      </w:pPr>
      <w:r>
        <w:t xml:space="preserve">El sistema fue preparado para medir tres subcaracterísticas. De ellas se eligieron las dos más accesibles de medir: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48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Subcaracterística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¿Se midió?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Compatibilidad → Interoperabilidad (Tabla 8)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Script 100 % automatizado, ~30 segundos, sin intervención manual; evidencia por cada ítem probado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Fiabilidad → Tolerancia a fallos (Tabla 17)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Script 100 % automatizado, ~1 minuto; 12 casos de fallo con veredicto y latencia registrados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Fiabilidad → Disponibilidad (Tabla 16)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Requiere ventana de monitoreo de 10 minutos y provocar una avería controlada con Docker en otra terminal — la menos accesible</w:t>
            </w:r>
          </w:p>
        </w:tc>
      </w:tr>
    </w:tbl>
    <w:p>
      <w:pPr>
        <w:pStyle w:val="Heading1"/>
        <w:pageBreakBefore/>
      </w:pPr>
      <w:r>
        <w:t xml:space="preserve">2. Metodología y herramientas</w:t>
      </w:r>
    </w:p>
    <w:p>
      <w:pPr>
        <w:pStyle w:val="Heading2"/>
      </w:pPr>
      <w:r>
        <w:t xml:space="preserve">2.1 Herramientas e instrumentos</w:t>
      </w:r>
    </w:p>
    <w:p>
      <w:pPr>
        <w:spacing w:after="140"/>
        <w:jc w:val="both"/>
      </w:pPr>
      <w:r>
        <w:t xml:space="preserve">No se instaló ninguna herramienta externa (JMeter, Postman, etc.): toda la medición corre con lo que trae Windows más Docker, lo que garantiza que cualquier integrante del equipo pueda reproducirla.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Versión / detalle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 qué se usó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Windows PowerShell 5.1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Incluido en Windows 11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Motor de los scripts de medición (mediciones-iso25023/scripts/*.ps1)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Invoke-WebRequest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Cmdlet nativo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Cliente HTTP de todas las pruebas: actúa como el “sistema externo” que consume la API; captura estado, cuerpo y cabeceras incluso en respuestas 4xx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System.Diagnostics.Stopwatch (.NET)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Nativo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Medición de latencias en milisegundos (Ai − Bi de RFt-3-S)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Docker Desktop / Compose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local (docker-compose.yml)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Levantar el sistema bajo prueba e inventariar componentes y réplicas para RFt-2-S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Spring Boot Actuator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/actuator/health (público)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Verificación “el sistema sigue UP” tras la batería de fallos (RFt-1-G)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OpenAPI / Swagger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/v3/api-docs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Verificación del contrato intercambiable (CIn-1-G)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Export-Csv (UTF-8)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Cmdlet nativo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Generación de los CSV de resultados/ que alimentan el Excel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Entorno de medición</w:t>
      </w:r>
    </w:p>
    <w:p>
      <w:pPr>
        <w:spacing w:after="140"/>
        <w:jc w:val="both"/>
      </w:pPr>
      <w:r>
        <w:t xml:space="preserve">Entorno local con Docker Compose, URL base http://localhost:8080/api, con los tres contenedores levantados (postgres con PostGIS, backend Spring Boot y frontend Next.js). Credenciales del seed para el login JWT de las pruebas autenticadas.</w:t>
      </w:r>
    </w:p>
    <w:p>
      <w:pPr>
        <w:pStyle w:val="Heading2"/>
      </w:pPr>
      <w:r>
        <w:t xml:space="preserve">2.3 Base técnica que habilita cada medición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Interoperabilidad: endpoints de integración /v1/integration/** (IntegrationController, rol SYSTEM_INTEGRATION/ADMIN), contrato OpenAPI 3 en /v3/api-docs, envelope JSON ApiResponse, autenticación JWT Bearer y CORS.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Tolerancia a fallos: GlobalExceptionHandler (respuestas de error controladas con envelope y errorCode), validación Jakarta en los DTO de request y restart: unless-stopped en los contenedores.</w:t>
      </w:r>
    </w:p>
    <w:p>
      <w:pPr>
        <w:pStyle w:val="Heading1"/>
        <w:pageBreakBefore/>
      </w:pPr>
      <w:r>
        <w:t xml:space="preserve">3. Medición 1 — Interoperabilidad (Tabla 8)</w:t>
      </w:r>
    </w:p>
    <w:p>
      <w:pPr>
        <w:pStyle w:val="Heading2"/>
      </w:pPr>
      <w:r>
        <w:t xml:space="preserve">3.1 Definición</w:t>
      </w:r>
    </w:p>
    <w:p>
      <w:pPr>
        <w:spacing w:after="140"/>
        <w:jc w:val="both"/>
      </w:pPr>
      <w:r>
        <w:t xml:space="preserve">Grado en que el sistema puede intercambiar información con otros sistemas y usar la información intercambiada. En este proyecto los “otros sistemas” son los del ecosistema turístico de Tingo María, que consumen la API a través de /v1/integration/**.</w:t>
      </w:r>
    </w:p>
    <w:p>
      <w:pPr>
        <w:pStyle w:val="Heading2"/>
      </w:pPr>
      <w:r>
        <w:t xml:space="preserve">3.2 Procedimiento</w:t>
      </w:r>
    </w:p>
    <w:p>
      <w:pPr>
        <w:spacing w:after="140"/>
        <w:jc w:val="both"/>
      </w:pPr>
      <w:r>
        <w:t xml:space="preserve">El script medir-interoperabilidad.ps1 actúa como un cliente externo real: hace login JWT con la cuenta admin del seed, consume los tres endpoints de integración, descarga el contrato OpenAPI y ejecuta un preflight CORS. Cada ítem cuenta para A solo si la respuesta cumple el criterio documentado en docs/interoperabilidad.md (estado HTTP esperado, JSON válido y campos del envelope presentes). B es la cantidad de ítems especificados: 3 por medida.</w:t>
      </w:r>
    </w:p>
    <w:p>
      <w:pPr>
        <w:pStyle w:val="Heading2"/>
      </w:pPr>
      <w:r>
        <w:t xml:space="preserve">3.3 Qué se probó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560"/>
        <w:gridCol w:w="2700"/>
        <w:gridCol w:w="1800"/>
      </w:tblGrid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Medida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Ítems especificados (B = 3)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Caso de prueba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CIn-1-G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JSON envelope ApiResponse; contrato OpenAPI 3; JWT (RFC 7519)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/v1/restaurants; GET /v3/api-docs; login → accessToken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3/3 INTERCAMBIABLE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CIn-2-G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HTTP/1.1 (REST); Bearer JWT (RFC 6750); CORS (preflight)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 sobre HTTP; 200 con token y 401/403 sin token; Access-Control-Allow-Origin presente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3/3 SOPORTADO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CIn-3-S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interfaces de IntegrationController: catálogo, disponibilidad por restaurante, restaurantes cerca de evento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/v1/integration/restaurants, .../{id}/availability, .../near-event/{eventId}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3/3 FUNCIONAL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800"/>
        <w:gridCol w:w="800"/>
        <w:gridCol w:w="800"/>
        <w:gridCol w:w="900"/>
        <w:gridCol w:w="1760"/>
      </w:tblGrid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la medida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Evaluación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CIn-1-G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Intercambiabilidad de formatos de datos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CIn-2-G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Suficiencia del protocolo de intercambio de datos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CIn-3-S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Adecuación de interfaces externas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</w:tr>
    </w:tbl>
    <w:p>
      <w:pPr>
        <w:spacing w:after="120"/>
      </w:pPr>
    </w:p>
    <w:p>
      <w:pPr>
        <w:spacing w:after="140"/>
        <w:jc w:val="both"/>
      </w:pPr>
      <w:r>
        <w:t xml:space="preserve">Las tres medidas alcanzan X = 1.0: el 100 % de los formatos, protocolos e interfaces que el sistema declara como intercambiables funcionan realmente al ser consumidos por un cliente externo. La evidencia por ítem está en resultados/interoperabilidad_detalle.csv y en la hoja “Datos Interoperabilidad” del Excel.</w:t>
      </w:r>
    </w:p>
    <w:p>
      <w:pPr>
        <w:pStyle w:val="Heading1"/>
        <w:pageBreakBefore/>
      </w:pPr>
      <w:r>
        <w:t xml:space="preserve">4. Medición 2 — Tolerancia a fallos (Tabla 17)</w:t>
      </w:r>
    </w:p>
    <w:p>
      <w:pPr>
        <w:pStyle w:val="Heading2"/>
      </w:pPr>
      <w:r>
        <w:t xml:space="preserve">4.1 Definición</w:t>
      </w:r>
    </w:p>
    <w:p>
      <w:pPr>
        <w:spacing w:after="140"/>
        <w:jc w:val="both"/>
      </w:pPr>
      <w:r>
        <w:t xml:space="preserve">Grado en que el sistema opera según lo previsto a pesar de la presencia de fallos. La base técnica es el GlobalExceptionHandler: toda condición de error conocida se traduce en una respuesta HTTP controlada con el envelope ApiResponse (success=false, message, errorCode) en lugar de propagar la excepción como un 500 sin formato.</w:t>
      </w:r>
    </w:p>
    <w:p>
      <w:pPr>
        <w:pStyle w:val="Heading2"/>
      </w:pPr>
      <w:r>
        <w:t xml:space="preserve">4.2 RFt-1-G — Evitación de fallos</w:t>
      </w:r>
    </w:p>
    <w:p>
      <w:pPr>
        <w:spacing w:after="140"/>
        <w:jc w:val="both"/>
      </w:pPr>
      <w:r>
        <w:t xml:space="preserve">El script medir-tolerancia-fallos.ps1 inyecta 12 casos de patrón de fallo por HTTP: JSON malformado, violación de validación, credenciales incorrectas, recurso inexistente, UUID inválido, ruta inexistente, acceso sin autenticación, token corrupto, método HTTP no soportado, Content-Type incorrecto, parámetro fuera de rango y cuerpo vacío. Un fallo se considera EVITADO si el sistema responde con un estado controlado 4xx —nunca 5xx ni desconexión— y sigue operativo después.</w:t>
      </w:r>
    </w:p>
    <w:p>
      <w:pPr>
        <w:spacing w:after="140"/>
        <w:jc w:val="both"/>
        <w:rPr>
          <w:b/>
          <w:bCs/>
        </w:rPr>
      </w:pPr>
      <w:r>
        <w:rPr>
          <w:b/>
          <w:bCs/>
        </w:rPr>
        <w:t xml:space="preserve">Resultado: los 12 casos fueron evitados (A = 12, B = 12, X = 1.0) y el healthcheck final confirmó que el servicio siguió UP tras la batería.</w:t>
      </w:r>
    </w:p>
    <w:p>
      <w:pPr>
        <w:pStyle w:val="Heading2"/>
      </w:pPr>
      <w:r>
        <w:t xml:space="preserve">4.3 RFt-2-S — Redundancia de componentes</w:t>
      </w:r>
    </w:p>
    <w:p>
      <w:pPr>
        <w:spacing w:after="140"/>
        <w:jc w:val="both"/>
      </w:pPr>
      <w:r>
        <w:t xml:space="preserve">El inventario real de servicios se obtuvo vía Docker Compose. En el entorno local cada componente (postgres, backend, frontend) corre con una sola instancia: A = 0, B = 3, X = 0 — el valor honesto para un despliegue de instancia única. El mecanismo restart: unless-stopped aporta recuperación automática pero no es redundancia. En producción, Neon (BD replicada gestionada) y Vercel (frontend multi-nodo) sí son redundantes, mientras Render free mantiene una sola instancia del backend: A = 2, B = 3, X ≈ 0.67.</w:t>
      </w:r>
    </w:p>
    <w:p>
      <w:pPr>
        <w:pStyle w:val="Heading2"/>
      </w:pPr>
      <w:r>
        <w:t xml:space="preserve">4.4 RFt-3-S — Tiempo medio de notificación de fallo</w:t>
      </w:r>
    </w:p>
    <w:p>
      <w:pPr>
        <w:spacing w:after="140"/>
        <w:jc w:val="both"/>
      </w:pPr>
      <w:r>
        <w:t xml:space="preserve">Para cada caso de RFt-1-G se registró Bi (instante de envío de la petición anómala) y Ai (instante en que el sistema devuelve la respuesta de error con su errorCode), midiendo Ai − Bi con Stopwatch. La suma de latencias fue 1.524 s sobre n = 12 casos: X = 0.127 s. El sistema notifica sus fallos al consumidor en un promedio de 127 milisegundos, muy cerca del 0 ideal, porque la notificación es síncrona vía HTTP.</w:t>
      </w:r>
    </w:p>
    <w:p>
      <w:pPr>
        <w:pStyle w:val="Heading2"/>
      </w:pPr>
      <w:r>
        <w:t xml:space="preserve">4.5 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00"/>
        <w:gridCol w:w="1100"/>
        <w:gridCol w:w="900"/>
        <w:gridCol w:w="1000"/>
        <w:gridCol w:w="1460"/>
      </w:tblGrid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la medida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Entorno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RFt-1-G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Evitación de fallos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Local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RFt-2-S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Redundancia de componentes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Local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RFt-2-S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Redundancia de componentes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0.67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Producción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RFt-3-S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Tiempo medio de notificación de fallo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Σ = 1.524 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 = 12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0.127 s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Local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4.6 Hallazgo: la medición detectó y guió una mejora real</w:t>
      </w:r>
    </w:p>
    <w:p>
      <w:pPr>
        <w:spacing w:after="140"/>
        <w:jc w:val="both"/>
      </w:pPr>
      <w:r>
        <w:t xml:space="preserve">La primera corrida de RFt-1-G dio X = 0.5: seis patrones de fallo (JSON malformado, UUID inválido, método no soportado, Content-Type incorrecto, page=-1 y cuerpo vacío) devolvían 500 porque caían en el manejador genérico de excepciones. Se corrigió agregando seis @ExceptionHandler específicos al GlobalExceptionHandler (códigos MALFORMED_BODY, INVALID_PARAMETER_TYPE, MISSING_PARAMETER, METHOD_NOT_ALLOWED, UNSUPPORTED_MEDIA_TYPE, INVALID_ARGUMENT), se reconstruyó la imagen del backend y la re-medición dio X = 1.0. Esto evidencia que el instrumento de medición sirve: detectó una deficiencia concreta del producto y guió su corrección.</w:t>
      </w:r>
    </w:p>
    <w:p>
      <w:pPr>
        <w:pStyle w:val="Heading1"/>
        <w:pageBreakBefore/>
      </w:pPr>
      <w:r>
        <w:t xml:space="preserve">5. Resumen consolidado de 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3400"/>
        <w:gridCol w:w="1000"/>
        <w:gridCol w:w="2060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Característica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Medida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Evaluación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Interoperabilidad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CIn-1-G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Intercambiabilidad de formatos de datos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Interoperabilidad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CIn-2-G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Suficiencia del protocolo de intercambio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Interoperabilidad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CIn-3-S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Adecuación de interfaces externas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Tolerancia a fallos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RFt-1-G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Evitación de fallos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Tolerancia a fallos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RFt-2-S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Redundancia de componentes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 (local) / 0.67 (prod)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CUMPLE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Tolerancia a fallos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RFt-3-S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Tiempo medio de notificación de fallo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0.127 s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</w:tr>
    </w:tbl>
    <w:p>
      <w:pPr>
        <w:spacing w:after="120"/>
      </w:pPr>
    </w:p>
    <w:p>
      <w:pPr>
        <w:spacing w:after="140"/>
        <w:jc w:val="both"/>
      </w:pPr>
      <w:r>
        <w:t xml:space="preserve">Criterio de evaluación (mismo semáforo del Excel): CUMPLE si X ≥ 0.9, PARCIAL si X ≥ 0.7, NO CUMPLE si X &lt; 0.7. Para RFt-3-S (menor = mejor): CUMPLE si X ≤ 1 s.</w:t>
      </w:r>
    </w:p>
    <w:p>
      <w:pPr>
        <w:pStyle w:val="Heading2"/>
      </w:pPr>
      <w:r>
        <w:t xml:space="preserve">5.1 Reproducibilidad</w:t>
      </w:r>
    </w:p>
    <w:p>
      <w:pPr>
        <w:spacing w:after="140"/>
        <w:jc w:val="both"/>
      </w:pPr>
      <w:r>
        <w:t xml:space="preserve">Cualquier integrante del equipo puede repetir la medición desde la raíz del repositorio, con el stack levantado (docker compose up -d):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powershell -ExecutionPolicy Bypass -File .\mediciones-iso25023\scripts\medir-interoperabilidad.ps1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powershell -ExecutionPolicy Bypass -File .\mediciones-iso25023\scripts\medir-tolerancia-fallos.ps1</w:t>
      </w:r>
    </w:p>
    <w:p>
      <w:pPr>
        <w:spacing w:after="140"/>
        <w:jc w:val="both"/>
      </w:pPr>
      <w:r>
        <w:t xml:space="preserve">Los scripts recalculan A, B y X y regeneran los CSV de mediciones-iso25023/resultados/. Los criterios de decisión están en mediciones-iso25023/docs/ y la metodología completa en METODOLOGIA.md.</w:t>
      </w:r>
    </w:p>
    <w:p>
      <w:pPr>
        <w:pStyle w:val="Heading2"/>
      </w:pPr>
      <w:r>
        <w:t xml:space="preserve">5.2 Limitaciones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RFt-2-S local da 0 por diseño del despliegue (una instancia por servicio); el valor de producción se reporta aparte y Render free sigue siendo un punto único de fallo del backend.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Las latencias de RFt-3-S se midieron en localhost; sobre una red real serían mayores, aunque la notificación seguiría siendo síncrona.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resultados corresponden a la medición del 04/07/2026; al evolucionar el sistema deben re-ejecutarse los scripts.</w:t>
      </w:r>
    </w:p>
    <w:p>
      <w:pPr>
        <w:pStyle w:val="Heading2"/>
      </w:pPr>
      <w:r>
        <w:t xml:space="preserve">5.3 Conclusiones</w:t>
      </w:r>
    </w:p>
    <w:p>
      <w:pPr>
        <w:spacing w:after="140"/>
        <w:jc w:val="both"/>
      </w:pPr>
      <w:r>
        <w:t xml:space="preserve">El sistema demuestra interoperabilidad plena (X = 1.0 en las tres medidas de la Tabla 8) y una tolerancia a fallos sólida en el plano del software (RFt-1-G = 1.0; notificación de fallos en 0.127 s), con la redundancia de componentes como principal oportunidad de mejora en infraestructura. El proceso además validó la utilidad del instrumento de medición: RFt-1-G detectó seis respuestas 500 no controladas que fueron corregidas antes de la medición final.</w:t>
      </w:r>
    </w:p>
    <w:p>
      <w:pPr>
        <w:pStyle w:val="Heading2"/>
      </w:pPr>
      <w:r>
        <w:t xml:space="preserve">5.4 Archivos entregables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ISO25023-Mediciones-Interoperabilidad-ToleranciaFallos.xlsx — libro con el Resumen en formato de las Tablas 8 y 17 (fórmulas vivas) y 3 hojas de datos editables.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mediciones-iso25023/resultados/*.csv — datos crudos generados por los scripts.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mediciones-iso25023/METODOLOGIA.md y docs/*.md — metodología y criterios de decisión.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Medición ISO/IEC 25023 — Sistema de Restaurantes de Tingo María   ·  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2"/>
      </w:pBdr>
      <w:spacing w:after="180" w:before="30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2026-07-04T21:40:12.152Z</dcterms:created>
  <dcterms:modified xsi:type="dcterms:W3CDTF">2026-07-04T21:40:12.153Z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