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8C1FCA" w14:textId="762643E5" w:rsidR="00B52E87" w:rsidRPr="00B52E87" w:rsidRDefault="00B52E87" w:rsidP="00B52E87">
      <w:pPr>
        <w:jc w:val="both"/>
        <w:rPr>
          <w:rFonts w:ascii="Times New Roman" w:hAnsi="Times New Roman" w:cs="Times New Roman"/>
          <w:b/>
          <w:bCs/>
          <w:lang w:val="es-CR"/>
        </w:rPr>
      </w:pPr>
      <w:r w:rsidRPr="00B52E87">
        <w:rPr>
          <w:rFonts w:ascii="Times New Roman" w:hAnsi="Times New Roman" w:cs="Times New Roman"/>
          <w:b/>
          <w:bCs/>
          <w:lang w:val="es-CR"/>
        </w:rPr>
        <w:t>Tema</w:t>
      </w:r>
    </w:p>
    <w:p w14:paraId="675D8993" w14:textId="3507AD7D" w:rsidR="00B52E87" w:rsidRPr="00C823BD" w:rsidRDefault="00B52E87" w:rsidP="00B52E87">
      <w:pPr>
        <w:jc w:val="both"/>
        <w:rPr>
          <w:rFonts w:ascii="Times New Roman" w:hAnsi="Times New Roman" w:cs="Times New Roman"/>
          <w:b/>
          <w:bCs/>
          <w:lang w:val="es-CR"/>
        </w:rPr>
      </w:pPr>
      <w:r w:rsidRPr="00C823BD">
        <w:rPr>
          <w:rFonts w:ascii="Times New Roman" w:hAnsi="Times New Roman" w:cs="Times New Roman"/>
          <w:b/>
          <w:bCs/>
          <w:lang w:val="es-CR"/>
        </w:rPr>
        <w:t>Evaluación del riesgo de crédito corporativo en la industria aeronáutica: análisis de la capacidad de compra y gestión del riesgo mediante indicadores financieros, rating crediticio y políticas de gobernanza.</w:t>
      </w:r>
    </w:p>
    <w:p w14:paraId="13C892A9" w14:textId="029773A6" w:rsidR="00B52E87" w:rsidRPr="00B52E87" w:rsidRDefault="00B52E87" w:rsidP="00B52E87">
      <w:pPr>
        <w:jc w:val="both"/>
        <w:rPr>
          <w:rFonts w:ascii="Times New Roman" w:hAnsi="Times New Roman" w:cs="Times New Roman"/>
          <w:b/>
          <w:bCs/>
          <w:lang w:val="es-CR"/>
        </w:rPr>
      </w:pPr>
      <w:r w:rsidRPr="00B52E87">
        <w:rPr>
          <w:rFonts w:ascii="Times New Roman" w:hAnsi="Times New Roman" w:cs="Times New Roman"/>
          <w:b/>
          <w:bCs/>
          <w:lang w:val="es-CR"/>
        </w:rPr>
        <w:t>Objetivo del trabajo</w:t>
      </w:r>
    </w:p>
    <w:p w14:paraId="29AAEFB7" w14:textId="073C559D" w:rsidR="00B52E87" w:rsidRPr="00B52E87" w:rsidRDefault="00B52E87" w:rsidP="00B52E87">
      <w:pPr>
        <w:jc w:val="both"/>
        <w:rPr>
          <w:rFonts w:ascii="Times New Roman" w:hAnsi="Times New Roman" w:cs="Times New Roman"/>
          <w:lang w:val="es-CR"/>
        </w:rPr>
      </w:pPr>
      <w:r w:rsidRPr="00B52E87">
        <w:rPr>
          <w:rFonts w:ascii="Times New Roman" w:hAnsi="Times New Roman" w:cs="Times New Roman"/>
          <w:lang w:val="es-CR"/>
        </w:rPr>
        <w:t>El objetivo de este trabajo es analizar cómo se puede evaluar el riesgo de crédito de una empresa del sector aeronáutico desde la perspectiva de una institución que otorga crédito, ya sea un banco o una empresa que mantiene relaciones comerciales con clientes corporativos.</w:t>
      </w:r>
    </w:p>
    <w:p w14:paraId="2D59F560" w14:textId="30AD2541" w:rsidR="00B52E87" w:rsidRPr="00B52E87" w:rsidRDefault="00B52E87" w:rsidP="00B52E87">
      <w:pPr>
        <w:jc w:val="both"/>
        <w:rPr>
          <w:rFonts w:ascii="Times New Roman" w:hAnsi="Times New Roman" w:cs="Times New Roman"/>
          <w:lang w:val="es-CR"/>
        </w:rPr>
      </w:pPr>
      <w:r w:rsidRPr="00B52E87">
        <w:rPr>
          <w:rFonts w:ascii="Times New Roman" w:hAnsi="Times New Roman" w:cs="Times New Roman"/>
          <w:lang w:val="es-CR"/>
        </w:rPr>
        <w:t>Para ello se buscará analizar la capacidad de pago de la empresa utilizando indicadores financieros relevantes y, a partir de estos, identificar los riesgos principales asociados al negocio. Más allá del análisis puramente financiero, la idea es integrar estos resultados dentro de un marco más amplio de gestión del riesgo de crédito, considerando aspectos como gobernanza, políticas de crédito, mecanismos de mitigación y monitoreo.</w:t>
      </w:r>
    </w:p>
    <w:p w14:paraId="4FDEE27F" w14:textId="7D7B0871" w:rsidR="00B52E87" w:rsidRPr="00B52E87" w:rsidRDefault="00B52E87" w:rsidP="00B52E87">
      <w:pPr>
        <w:jc w:val="both"/>
        <w:rPr>
          <w:rFonts w:ascii="Times New Roman" w:hAnsi="Times New Roman" w:cs="Times New Roman"/>
          <w:lang w:val="es-CR"/>
        </w:rPr>
      </w:pPr>
      <w:r w:rsidRPr="00B52E87">
        <w:rPr>
          <w:rFonts w:ascii="Times New Roman" w:hAnsi="Times New Roman" w:cs="Times New Roman"/>
          <w:lang w:val="es-CR"/>
        </w:rPr>
        <w:t>De esta forma, el trabajo pretende mostrar cómo el análisis financiero se conecta con el proceso completo de gestión de riesgo utilizado en la práctica por instituciones financieras.</w:t>
      </w:r>
    </w:p>
    <w:p w14:paraId="12BE6F38" w14:textId="73FFBFD6" w:rsidR="00B52E87" w:rsidRPr="00B52E87" w:rsidRDefault="00B52E87" w:rsidP="00B52E87">
      <w:pPr>
        <w:jc w:val="both"/>
        <w:rPr>
          <w:rFonts w:ascii="Times New Roman" w:hAnsi="Times New Roman" w:cs="Times New Roman"/>
          <w:b/>
          <w:bCs/>
          <w:lang w:val="es-CR"/>
        </w:rPr>
      </w:pPr>
      <w:r w:rsidRPr="00B52E87">
        <w:rPr>
          <w:rFonts w:ascii="Times New Roman" w:hAnsi="Times New Roman" w:cs="Times New Roman"/>
          <w:b/>
          <w:bCs/>
          <w:lang w:val="es-CR"/>
        </w:rPr>
        <w:t>Empresa seleccionada</w:t>
      </w:r>
    </w:p>
    <w:p w14:paraId="345E8476" w14:textId="356F62D0" w:rsidR="00B52E87" w:rsidRPr="00B52E87" w:rsidRDefault="00B52E87" w:rsidP="00B52E87">
      <w:pPr>
        <w:jc w:val="both"/>
        <w:rPr>
          <w:rFonts w:ascii="Times New Roman" w:hAnsi="Times New Roman" w:cs="Times New Roman"/>
          <w:lang w:val="es-CR"/>
        </w:rPr>
      </w:pPr>
      <w:r w:rsidRPr="00B52E87">
        <w:rPr>
          <w:rFonts w:ascii="Times New Roman" w:hAnsi="Times New Roman" w:cs="Times New Roman"/>
          <w:lang w:val="es-CR"/>
        </w:rPr>
        <w:t>El análisis se realizará utilizando información financiera pública de Delta Air Lines, una de las aerolíneas más grandes del mundo.</w:t>
      </w:r>
    </w:p>
    <w:p w14:paraId="5DB48D76" w14:textId="0D2E98F6" w:rsidR="00B52E87" w:rsidRPr="00B52E87" w:rsidRDefault="00B52E87" w:rsidP="00B52E87">
      <w:pPr>
        <w:jc w:val="both"/>
        <w:rPr>
          <w:rFonts w:ascii="Times New Roman" w:hAnsi="Times New Roman" w:cs="Times New Roman"/>
          <w:lang w:val="es-CR"/>
        </w:rPr>
      </w:pPr>
      <w:r w:rsidRPr="00B52E87">
        <w:rPr>
          <w:rFonts w:ascii="Times New Roman" w:hAnsi="Times New Roman" w:cs="Times New Roman"/>
          <w:lang w:val="es-CR"/>
        </w:rPr>
        <w:t>La elección de esta empresa responde principalmente a la disponibilidad de información financiera detallada y a su relevancia dentro de la industria aeronáutica. Además, el sector de las aerolíneas presenta características financieras particulares que lo hacen interesante para el análisis de riesgo de crédito, como altos niveles de inversión en activos, estructuras de deuda importantes y una fuerte sensibilidad al ciclo económico.</w:t>
      </w:r>
    </w:p>
    <w:p w14:paraId="111139FF" w14:textId="00502D27" w:rsidR="00B52E87" w:rsidRPr="00B52E87" w:rsidRDefault="00B52E87" w:rsidP="00B52E87">
      <w:pPr>
        <w:jc w:val="both"/>
        <w:rPr>
          <w:rFonts w:ascii="Times New Roman" w:hAnsi="Times New Roman" w:cs="Times New Roman"/>
          <w:lang w:val="es-CR"/>
        </w:rPr>
      </w:pPr>
      <w:r w:rsidRPr="00B52E87">
        <w:rPr>
          <w:rFonts w:ascii="Times New Roman" w:hAnsi="Times New Roman" w:cs="Times New Roman"/>
          <w:lang w:val="es-CR"/>
        </w:rPr>
        <w:t>Estas características permiten analizar de manera más clara cómo diferentes factores financieros y del entorno pueden afectar la capacidad de pago de una empresa.</w:t>
      </w:r>
    </w:p>
    <w:p w14:paraId="2FFDEC2C" w14:textId="4FAECF36" w:rsidR="00B52E87" w:rsidRPr="00B52E87" w:rsidRDefault="00B52E87" w:rsidP="00B52E87">
      <w:pPr>
        <w:jc w:val="both"/>
        <w:rPr>
          <w:rFonts w:ascii="Times New Roman" w:hAnsi="Times New Roman" w:cs="Times New Roman"/>
          <w:b/>
          <w:bCs/>
          <w:lang w:val="es-CR"/>
        </w:rPr>
      </w:pPr>
      <w:r w:rsidRPr="00B52E87">
        <w:rPr>
          <w:rFonts w:ascii="Times New Roman" w:hAnsi="Times New Roman" w:cs="Times New Roman"/>
          <w:b/>
          <w:bCs/>
          <w:lang w:val="es-CR"/>
        </w:rPr>
        <w:t>Marco de trabajo</w:t>
      </w:r>
    </w:p>
    <w:p w14:paraId="6BC240E1" w14:textId="3EF6B946" w:rsidR="00680133" w:rsidRPr="00680133" w:rsidRDefault="00680133" w:rsidP="00680133">
      <w:pPr>
        <w:jc w:val="both"/>
        <w:rPr>
          <w:rFonts w:ascii="Times New Roman" w:hAnsi="Times New Roman" w:cs="Times New Roman"/>
          <w:lang w:val="es-CR"/>
        </w:rPr>
      </w:pPr>
      <w:r w:rsidRPr="00680133">
        <w:rPr>
          <w:rFonts w:ascii="Times New Roman" w:hAnsi="Times New Roman" w:cs="Times New Roman"/>
          <w:lang w:val="es-CR"/>
        </w:rPr>
        <w:t>El trabajo seguirá un enfoque similar al proceso que normalmente utilizan las instituciones financieras para evaluar el riesgo de crédito corporativo.</w:t>
      </w:r>
    </w:p>
    <w:p w14:paraId="163FD720" w14:textId="77777777" w:rsidR="00680133" w:rsidRPr="00680133" w:rsidRDefault="00680133" w:rsidP="00680133">
      <w:pPr>
        <w:jc w:val="both"/>
        <w:rPr>
          <w:rFonts w:ascii="Times New Roman" w:hAnsi="Times New Roman" w:cs="Times New Roman"/>
          <w:lang w:val="es-CR"/>
        </w:rPr>
      </w:pPr>
      <w:r w:rsidRPr="00680133">
        <w:rPr>
          <w:rFonts w:ascii="Times New Roman" w:hAnsi="Times New Roman" w:cs="Times New Roman"/>
          <w:lang w:val="es-CR"/>
        </w:rPr>
        <w:t>En primer lugar, se realizará una breve revisión de la industria aeronáutica con el fin de entender sus principales características y riesgos estructurales.</w:t>
      </w:r>
    </w:p>
    <w:p w14:paraId="2A2CA2F2" w14:textId="77777777" w:rsidR="00680133" w:rsidRPr="00680133" w:rsidRDefault="00680133" w:rsidP="00680133">
      <w:pPr>
        <w:jc w:val="both"/>
        <w:rPr>
          <w:rFonts w:ascii="Times New Roman" w:hAnsi="Times New Roman" w:cs="Times New Roman"/>
          <w:lang w:val="es-CR"/>
        </w:rPr>
      </w:pPr>
    </w:p>
    <w:p w14:paraId="30798C63" w14:textId="1A2E7AD0" w:rsidR="00680133" w:rsidRPr="00680133" w:rsidRDefault="00680133" w:rsidP="00680133">
      <w:pPr>
        <w:jc w:val="both"/>
        <w:rPr>
          <w:rFonts w:ascii="Times New Roman" w:hAnsi="Times New Roman" w:cs="Times New Roman"/>
          <w:lang w:val="es-CR"/>
        </w:rPr>
      </w:pPr>
      <w:r w:rsidRPr="00680133">
        <w:rPr>
          <w:rFonts w:ascii="Times New Roman" w:hAnsi="Times New Roman" w:cs="Times New Roman"/>
          <w:lang w:val="es-CR"/>
        </w:rPr>
        <w:lastRenderedPageBreak/>
        <w:t>Posteriormente, se analizará el modelo de negocio de Delta Air Lines y su posición dentro del sector, lo cual permitirá entender mejor las fuentes de ingresos de la empresa y los factores que influyen en su desempeño.</w:t>
      </w:r>
    </w:p>
    <w:p w14:paraId="4F21D977" w14:textId="042A42E0" w:rsidR="00680133" w:rsidRPr="00680133" w:rsidRDefault="00680133" w:rsidP="00680133">
      <w:pPr>
        <w:jc w:val="both"/>
        <w:rPr>
          <w:rFonts w:ascii="Times New Roman" w:hAnsi="Times New Roman" w:cs="Times New Roman"/>
          <w:lang w:val="es-CR"/>
        </w:rPr>
      </w:pPr>
      <w:r w:rsidRPr="00680133">
        <w:rPr>
          <w:rFonts w:ascii="Times New Roman" w:hAnsi="Times New Roman" w:cs="Times New Roman"/>
          <w:lang w:val="es-CR"/>
        </w:rPr>
        <w:t>Luego se llevará a cabo un análisis financiero utilizando indicadores relevantes como liquidez, apalancamiento, cobertura de intereses y rentabilidad. Estos indicadores permitirán evaluar la capacidad de la empresa para cumplir con sus obligaciones financieras.</w:t>
      </w:r>
    </w:p>
    <w:p w14:paraId="786629EC" w14:textId="371C4FB5" w:rsidR="00680133" w:rsidRDefault="00680133" w:rsidP="00680133">
      <w:pPr>
        <w:jc w:val="both"/>
        <w:rPr>
          <w:rFonts w:ascii="Times New Roman" w:hAnsi="Times New Roman" w:cs="Times New Roman"/>
          <w:lang w:val="es-CR"/>
        </w:rPr>
      </w:pPr>
      <w:r w:rsidRPr="00680133">
        <w:rPr>
          <w:rFonts w:ascii="Times New Roman" w:hAnsi="Times New Roman" w:cs="Times New Roman"/>
          <w:lang w:val="es-CR"/>
        </w:rPr>
        <w:t>Desde la perspectiva del riesgo de crédito, este análisis también se puede interpretar utilizando el marco conceptual de pérdida esperada, comúnmente utilizado en gestión de riesgo y en los modelos regulatorios asociados a Basilea. Este enfoque plantea que el riesgo de una exposición crediticia puede analizarse a través de tres componentes principales</w:t>
      </w:r>
      <w:r>
        <w:rPr>
          <w:rFonts w:ascii="Times New Roman" w:hAnsi="Times New Roman" w:cs="Times New Roman"/>
          <w:lang w:val="es-CR"/>
        </w:rPr>
        <w:t>, vistos en clase</w:t>
      </w:r>
      <w:r w:rsidRPr="00680133">
        <w:rPr>
          <w:rFonts w:ascii="Times New Roman" w:hAnsi="Times New Roman" w:cs="Times New Roman"/>
          <w:lang w:val="es-CR"/>
        </w:rPr>
        <w:t>:</w:t>
      </w:r>
    </w:p>
    <w:p w14:paraId="1CF7C853" w14:textId="2915DC98" w:rsidR="00680133" w:rsidRPr="00680133" w:rsidRDefault="00680133" w:rsidP="00680133">
      <w:pPr>
        <w:jc w:val="both"/>
        <w:rPr>
          <w:rFonts w:ascii="Times New Roman" w:hAnsi="Times New Roman" w:cs="Times New Roman"/>
          <w:lang w:val="es-CR"/>
        </w:rPr>
      </w:pPr>
      <m:oMathPara>
        <m:oMath>
          <m:r>
            <w:rPr>
              <w:rFonts w:ascii="Cambria Math" w:hAnsi="Cambria Math" w:cs="Times New Roman"/>
              <w:lang w:val="es-CR"/>
            </w:rPr>
            <m:t>EL=PD x LGD x EAD</m:t>
          </m:r>
        </m:oMath>
      </m:oMathPara>
    </w:p>
    <w:p w14:paraId="347369DD" w14:textId="19F3F47A" w:rsidR="00680133" w:rsidRPr="00680133" w:rsidRDefault="00680133" w:rsidP="00680133">
      <w:pPr>
        <w:jc w:val="both"/>
        <w:rPr>
          <w:rFonts w:ascii="Times New Roman" w:hAnsi="Times New Roman" w:cs="Times New Roman"/>
          <w:lang w:val="es-CR"/>
        </w:rPr>
      </w:pPr>
      <w:r w:rsidRPr="00680133">
        <w:rPr>
          <w:rFonts w:ascii="Times New Roman" w:hAnsi="Times New Roman" w:cs="Times New Roman"/>
          <w:lang w:val="es-CR"/>
        </w:rPr>
        <w:t>Donde</w:t>
      </w:r>
      <w:r>
        <w:rPr>
          <w:rFonts w:ascii="Times New Roman" w:hAnsi="Times New Roman" w:cs="Times New Roman"/>
          <w:lang w:val="es-CR"/>
        </w:rPr>
        <w:t xml:space="preserve">: </w:t>
      </w:r>
      <w:r w:rsidRPr="00680133">
        <w:rPr>
          <w:rFonts w:ascii="Times New Roman" w:hAnsi="Times New Roman" w:cs="Times New Roman"/>
          <w:lang w:val="es-CR"/>
        </w:rPr>
        <w:t>PD (probabilidad de incumplimiento) está relacionada con la solidez financiera y la capacidad de pago de la empresa, LGD (severidad de pérdida) depende de los mecanismos de mitigación o garantías disponibles, y EAD (exposición al momento del incumplimiento) está asociada al nivel de crédito otorgado.</w:t>
      </w:r>
    </w:p>
    <w:p w14:paraId="07F95A54" w14:textId="4A654B28" w:rsidR="00680133" w:rsidRPr="00680133" w:rsidRDefault="00680133" w:rsidP="00680133">
      <w:pPr>
        <w:jc w:val="both"/>
        <w:rPr>
          <w:rFonts w:ascii="Times New Roman" w:hAnsi="Times New Roman" w:cs="Times New Roman"/>
          <w:lang w:val="es-CR"/>
        </w:rPr>
      </w:pPr>
      <w:r w:rsidRPr="00680133">
        <w:rPr>
          <w:rFonts w:ascii="Times New Roman" w:hAnsi="Times New Roman" w:cs="Times New Roman"/>
          <w:lang w:val="es-CR"/>
        </w:rPr>
        <w:t>En el contexto de este trabajo, el análisis financiero contribuirá principalmente a evaluar los factores que afectan la probabilidad de incumplimiento, mientras que las políticas de crédito y los mecanismos de mitigación permitirán discutir aspectos relacionados con la severidad de pérdida y el control de la exposición crediticia.</w:t>
      </w:r>
    </w:p>
    <w:p w14:paraId="630A3345" w14:textId="77777777" w:rsidR="00680133" w:rsidRDefault="00680133" w:rsidP="00680133">
      <w:pPr>
        <w:jc w:val="both"/>
        <w:rPr>
          <w:rFonts w:ascii="Times New Roman" w:hAnsi="Times New Roman" w:cs="Times New Roman"/>
          <w:lang w:val="es-CR"/>
        </w:rPr>
      </w:pPr>
      <w:r w:rsidRPr="00680133">
        <w:rPr>
          <w:rFonts w:ascii="Times New Roman" w:hAnsi="Times New Roman" w:cs="Times New Roman"/>
          <w:lang w:val="es-CR"/>
        </w:rPr>
        <w:t>A partir de este análisis se buscará identificar los principales riesgos asociados a la empresa y al sector. Finalmente, estos resultados se interpretarán desde la perspectiva de la gestión del riesgo de crédito, proponiendo posibles políticas de crédito, mecanismos de mitigación del riesgo y estrategias de monitoreo.</w:t>
      </w:r>
    </w:p>
    <w:p w14:paraId="4F4A8D6B" w14:textId="2B011187" w:rsidR="00B52E87" w:rsidRPr="00B52E87" w:rsidRDefault="00B52E87" w:rsidP="00680133">
      <w:pPr>
        <w:jc w:val="both"/>
        <w:rPr>
          <w:rFonts w:ascii="Times New Roman" w:hAnsi="Times New Roman" w:cs="Times New Roman"/>
          <w:b/>
          <w:bCs/>
          <w:lang w:val="es-CR"/>
        </w:rPr>
      </w:pPr>
      <w:r w:rsidRPr="00B52E87">
        <w:rPr>
          <w:rFonts w:ascii="Times New Roman" w:hAnsi="Times New Roman" w:cs="Times New Roman"/>
          <w:b/>
          <w:bCs/>
          <w:lang w:val="es-CR"/>
        </w:rPr>
        <w:t>Alcance esperado del trabajo</w:t>
      </w:r>
    </w:p>
    <w:p w14:paraId="20F8C5A7" w14:textId="33B00F0B" w:rsidR="00180091" w:rsidRDefault="00B52E87" w:rsidP="00B52E87">
      <w:pPr>
        <w:jc w:val="both"/>
        <w:rPr>
          <w:rFonts w:ascii="Times New Roman" w:hAnsi="Times New Roman" w:cs="Times New Roman"/>
          <w:lang w:val="es-CR"/>
        </w:rPr>
      </w:pPr>
      <w:r w:rsidRPr="00B52E87">
        <w:rPr>
          <w:rFonts w:ascii="Times New Roman" w:hAnsi="Times New Roman" w:cs="Times New Roman"/>
          <w:lang w:val="es-CR"/>
        </w:rPr>
        <w:t>El trabajo busca mostrar de forma práctica cómo el análisis financiero puede integrarse dentro de un proceso más amplio de gestión del riesgo de crédito. En particular, se pretende ilustrar cómo una institución podría evaluar la capacidad de compra de una empresa, identificar riesgos relevantes y establecer mecanismos de control dentro de un marco de gobernanza.</w:t>
      </w:r>
    </w:p>
    <w:p w14:paraId="043DD6E4" w14:textId="77777777" w:rsidR="00180091" w:rsidRDefault="00180091">
      <w:pPr>
        <w:rPr>
          <w:rFonts w:ascii="Times New Roman" w:hAnsi="Times New Roman" w:cs="Times New Roman"/>
          <w:lang w:val="es-CR"/>
        </w:rPr>
      </w:pPr>
      <w:r>
        <w:rPr>
          <w:rFonts w:ascii="Times New Roman" w:hAnsi="Times New Roman" w:cs="Times New Roman"/>
          <w:lang w:val="es-CR"/>
        </w:rPr>
        <w:br w:type="page"/>
      </w:r>
    </w:p>
    <w:p w14:paraId="54935851" w14:textId="77777777" w:rsidR="00B440F1" w:rsidRDefault="00B440F1" w:rsidP="00B52E87">
      <w:pPr>
        <w:jc w:val="both"/>
        <w:rPr>
          <w:rFonts w:ascii="Times New Roman" w:hAnsi="Times New Roman" w:cs="Times New Roman"/>
          <w:lang w:val="es-CR"/>
        </w:rPr>
      </w:pPr>
    </w:p>
    <w:p w14:paraId="74C871B7" w14:textId="77777777" w:rsidR="00180091" w:rsidRDefault="00180091" w:rsidP="00B52E87">
      <w:pPr>
        <w:jc w:val="both"/>
        <w:rPr>
          <w:rFonts w:ascii="Times New Roman" w:hAnsi="Times New Roman" w:cs="Times New Roman"/>
          <w:lang w:val="es-CR"/>
        </w:rPr>
      </w:pPr>
    </w:p>
    <w:p w14:paraId="341D1B34" w14:textId="541C65C6" w:rsidR="00180091" w:rsidRPr="00180091" w:rsidRDefault="00180091" w:rsidP="00180091">
      <w:pPr>
        <w:jc w:val="both"/>
        <w:rPr>
          <w:rFonts w:ascii="Times New Roman" w:hAnsi="Times New Roman" w:cs="Times New Roman"/>
          <w:b/>
          <w:bCs/>
          <w:lang w:val="es-CR"/>
        </w:rPr>
      </w:pPr>
      <w:r w:rsidRPr="00180091">
        <w:rPr>
          <w:rFonts w:ascii="Times New Roman" w:hAnsi="Times New Roman" w:cs="Times New Roman"/>
          <w:b/>
          <w:bCs/>
          <w:lang w:val="es-CR"/>
        </w:rPr>
        <w:t>Políticas de gobernanza del riesgo de crédito</w:t>
      </w:r>
    </w:p>
    <w:p w14:paraId="0B264883" w14:textId="3C9A20CD" w:rsidR="00180091" w:rsidRPr="00180091" w:rsidRDefault="00180091" w:rsidP="00180091">
      <w:pPr>
        <w:jc w:val="both"/>
        <w:rPr>
          <w:rFonts w:ascii="Times New Roman" w:hAnsi="Times New Roman" w:cs="Times New Roman"/>
          <w:lang w:val="es-CR"/>
        </w:rPr>
      </w:pPr>
      <w:r>
        <w:rPr>
          <w:rFonts w:ascii="Times New Roman" w:hAnsi="Times New Roman" w:cs="Times New Roman"/>
          <w:lang w:val="es-CR"/>
        </w:rPr>
        <w:t>Un ejemplo de la estructura estaría vinculada a la forma que se vieron en clase de e</w:t>
      </w:r>
      <w:r w:rsidRPr="00180091">
        <w:rPr>
          <w:rFonts w:ascii="Times New Roman" w:hAnsi="Times New Roman" w:cs="Times New Roman"/>
          <w:lang w:val="es-CR"/>
        </w:rPr>
        <w:t>stas políticas</w:t>
      </w:r>
      <w:r>
        <w:rPr>
          <w:rFonts w:ascii="Times New Roman" w:hAnsi="Times New Roman" w:cs="Times New Roman"/>
          <w:lang w:val="es-CR"/>
        </w:rPr>
        <w:t xml:space="preserve">, que </w:t>
      </w:r>
      <w:r w:rsidRPr="00180091">
        <w:rPr>
          <w:rFonts w:ascii="Times New Roman" w:hAnsi="Times New Roman" w:cs="Times New Roman"/>
          <w:lang w:val="es-CR"/>
        </w:rPr>
        <w:t>generalmente se estructuran alrededor de tres conceptos fundamentales: apetito de riesgo, tolerancia al riesgo y capacidad de exposición.</w:t>
      </w:r>
    </w:p>
    <w:p w14:paraId="75F1263E" w14:textId="77777777" w:rsidR="00180091" w:rsidRPr="00D96990" w:rsidRDefault="00180091" w:rsidP="00180091">
      <w:pPr>
        <w:jc w:val="both"/>
        <w:rPr>
          <w:rFonts w:ascii="Times New Roman" w:hAnsi="Times New Roman" w:cs="Times New Roman"/>
          <w:b/>
          <w:bCs/>
          <w:lang w:val="es-CR"/>
        </w:rPr>
      </w:pPr>
      <w:r w:rsidRPr="00D96990">
        <w:rPr>
          <w:rFonts w:ascii="Times New Roman" w:hAnsi="Times New Roman" w:cs="Times New Roman"/>
          <w:b/>
          <w:bCs/>
          <w:lang w:val="es-CR"/>
        </w:rPr>
        <w:t xml:space="preserve">Determinando: </w:t>
      </w:r>
    </w:p>
    <w:p w14:paraId="7D72148E" w14:textId="4C4C9849" w:rsidR="00180091" w:rsidRPr="00180091" w:rsidRDefault="00180091" w:rsidP="00180091">
      <w:pPr>
        <w:jc w:val="both"/>
        <w:rPr>
          <w:rFonts w:ascii="Times New Roman" w:hAnsi="Times New Roman" w:cs="Times New Roman"/>
          <w:lang w:val="es-CR"/>
        </w:rPr>
      </w:pPr>
      <w:r w:rsidRPr="00180091">
        <w:rPr>
          <w:rFonts w:ascii="Times New Roman" w:hAnsi="Times New Roman" w:cs="Times New Roman"/>
          <w:lang w:val="es-CR"/>
        </w:rPr>
        <w:t>El apetito de riesgo</w:t>
      </w:r>
      <w:r>
        <w:rPr>
          <w:rFonts w:ascii="Times New Roman" w:hAnsi="Times New Roman" w:cs="Times New Roman"/>
          <w:lang w:val="es-CR"/>
        </w:rPr>
        <w:t xml:space="preserve"> sería el </w:t>
      </w:r>
      <w:r w:rsidRPr="00180091">
        <w:rPr>
          <w:rFonts w:ascii="Times New Roman" w:hAnsi="Times New Roman" w:cs="Times New Roman"/>
          <w:lang w:val="es-CR"/>
        </w:rPr>
        <w:t>nivel de riesgo que una institución está dispuesta a asumir dentro de su estrategia de negocio. En el contexto del crédito corporativo, esto implica definir qué tipo de empresas, sectores o perfiles financieros son aceptables dentro de la cartera de crédito.</w:t>
      </w:r>
    </w:p>
    <w:p w14:paraId="2CE6BF84" w14:textId="4CF1681E" w:rsidR="00180091" w:rsidRPr="00180091" w:rsidRDefault="00180091" w:rsidP="00180091">
      <w:pPr>
        <w:jc w:val="both"/>
        <w:rPr>
          <w:rFonts w:ascii="Times New Roman" w:hAnsi="Times New Roman" w:cs="Times New Roman"/>
          <w:lang w:val="es-CR"/>
        </w:rPr>
      </w:pPr>
      <w:r w:rsidRPr="00180091">
        <w:rPr>
          <w:rFonts w:ascii="Times New Roman" w:hAnsi="Times New Roman" w:cs="Times New Roman"/>
          <w:lang w:val="es-CR"/>
        </w:rPr>
        <w:t>La tolerancia al riesg</w:t>
      </w:r>
      <w:r>
        <w:rPr>
          <w:rFonts w:ascii="Times New Roman" w:hAnsi="Times New Roman" w:cs="Times New Roman"/>
          <w:lang w:val="es-CR"/>
        </w:rPr>
        <w:t>o</w:t>
      </w:r>
      <w:r w:rsidRPr="00180091">
        <w:rPr>
          <w:rFonts w:ascii="Times New Roman" w:hAnsi="Times New Roman" w:cs="Times New Roman"/>
          <w:lang w:val="es-CR"/>
        </w:rPr>
        <w:t xml:space="preserve"> define los límites dentro de los cuales la institución está dispuesta a aceptar posibles deterioros en la calidad crediticia de una contraparte antes de tomar medidas correctivas. Esto puede incluir límites relacionados con indicadores financieros, niveles de endeudamiento o deterioro en la rentabilidad.</w:t>
      </w:r>
    </w:p>
    <w:p w14:paraId="687CEF8C" w14:textId="680EA355" w:rsidR="00180091" w:rsidRPr="00180091" w:rsidRDefault="00180091" w:rsidP="00180091">
      <w:pPr>
        <w:jc w:val="both"/>
        <w:rPr>
          <w:rFonts w:ascii="Times New Roman" w:hAnsi="Times New Roman" w:cs="Times New Roman"/>
          <w:lang w:val="es-CR"/>
        </w:rPr>
      </w:pPr>
      <w:r>
        <w:rPr>
          <w:rFonts w:ascii="Times New Roman" w:hAnsi="Times New Roman" w:cs="Times New Roman"/>
          <w:lang w:val="es-CR"/>
        </w:rPr>
        <w:t xml:space="preserve"> Y de último, la </w:t>
      </w:r>
      <w:r w:rsidRPr="00180091">
        <w:rPr>
          <w:rFonts w:ascii="Times New Roman" w:hAnsi="Times New Roman" w:cs="Times New Roman"/>
          <w:lang w:val="es-CR"/>
        </w:rPr>
        <w:t xml:space="preserve">capacidad de exposición </w:t>
      </w:r>
      <w:r>
        <w:rPr>
          <w:rFonts w:ascii="Times New Roman" w:hAnsi="Times New Roman" w:cs="Times New Roman"/>
          <w:lang w:val="es-CR"/>
        </w:rPr>
        <w:t xml:space="preserve">refiriéndose </w:t>
      </w:r>
      <w:r w:rsidRPr="00180091">
        <w:rPr>
          <w:rFonts w:ascii="Times New Roman" w:hAnsi="Times New Roman" w:cs="Times New Roman"/>
          <w:lang w:val="es-CR"/>
        </w:rPr>
        <w:t>al monto máximo de crédito que la institución puede otorgar a una contraparte considerando su perfil de riesgo, su capacidad de pago y los límites internos de concentración de riesgo</w:t>
      </w:r>
      <w:r>
        <w:rPr>
          <w:rFonts w:ascii="Times New Roman" w:hAnsi="Times New Roman" w:cs="Times New Roman"/>
          <w:lang w:val="es-CR"/>
        </w:rPr>
        <w:t>.</w:t>
      </w:r>
    </w:p>
    <w:p w14:paraId="194DEC53" w14:textId="22053E73" w:rsidR="00180091" w:rsidRPr="00180091" w:rsidRDefault="00180091" w:rsidP="00180091">
      <w:pPr>
        <w:jc w:val="both"/>
        <w:rPr>
          <w:rFonts w:ascii="Times New Roman" w:hAnsi="Times New Roman" w:cs="Times New Roman"/>
          <w:lang w:val="es-CR"/>
        </w:rPr>
      </w:pPr>
      <w:r w:rsidRPr="00180091">
        <w:rPr>
          <w:rFonts w:ascii="Times New Roman" w:hAnsi="Times New Roman" w:cs="Times New Roman"/>
          <w:lang w:val="es-CR"/>
        </w:rPr>
        <w:t xml:space="preserve">A partir de </w:t>
      </w:r>
      <w:r>
        <w:rPr>
          <w:rFonts w:ascii="Times New Roman" w:hAnsi="Times New Roman" w:cs="Times New Roman"/>
          <w:lang w:val="es-CR"/>
        </w:rPr>
        <w:t>estos conceptos, se podría establecer la política de la siguiente forma:</w:t>
      </w:r>
    </w:p>
    <w:p w14:paraId="120CD3FA" w14:textId="550957FF" w:rsidR="00180091" w:rsidRPr="00180091" w:rsidRDefault="00180091" w:rsidP="00180091">
      <w:pPr>
        <w:jc w:val="both"/>
        <w:rPr>
          <w:rFonts w:ascii="Times New Roman" w:hAnsi="Times New Roman" w:cs="Times New Roman"/>
          <w:b/>
          <w:bCs/>
          <w:lang w:val="es-CR"/>
        </w:rPr>
      </w:pPr>
      <w:r w:rsidRPr="00180091">
        <w:rPr>
          <w:rFonts w:ascii="Times New Roman" w:hAnsi="Times New Roman" w:cs="Times New Roman"/>
          <w:b/>
          <w:bCs/>
          <w:lang w:val="es-CR"/>
        </w:rPr>
        <w:t>1. Definición de apetito de riesgo</w:t>
      </w:r>
    </w:p>
    <w:p w14:paraId="02FB1908" w14:textId="6281C2A0" w:rsidR="00180091" w:rsidRPr="00180091" w:rsidRDefault="00180091" w:rsidP="00180091">
      <w:pPr>
        <w:jc w:val="both"/>
        <w:rPr>
          <w:rFonts w:ascii="Times New Roman" w:hAnsi="Times New Roman" w:cs="Times New Roman"/>
          <w:lang w:val="es-CR"/>
        </w:rPr>
      </w:pPr>
      <w:r w:rsidRPr="00180091">
        <w:rPr>
          <w:rFonts w:ascii="Times New Roman" w:hAnsi="Times New Roman" w:cs="Times New Roman"/>
          <w:lang w:val="es-CR"/>
        </w:rPr>
        <w:t>La institución debe definir el nivel de exposición que está dispuesta a asumir frente a empresas del sector aeronáutico, considerando su perfil de riesgo y la volatilidad del sector.</w:t>
      </w:r>
    </w:p>
    <w:p w14:paraId="5D4CA2C5" w14:textId="27147108" w:rsidR="00180091" w:rsidRPr="00180091" w:rsidRDefault="00180091" w:rsidP="00180091">
      <w:pPr>
        <w:jc w:val="both"/>
        <w:rPr>
          <w:rFonts w:ascii="Times New Roman" w:hAnsi="Times New Roman" w:cs="Times New Roman"/>
          <w:b/>
          <w:bCs/>
          <w:lang w:val="es-CR"/>
        </w:rPr>
      </w:pPr>
      <w:r w:rsidRPr="00180091">
        <w:rPr>
          <w:rFonts w:ascii="Times New Roman" w:hAnsi="Times New Roman" w:cs="Times New Roman"/>
          <w:b/>
          <w:bCs/>
          <w:lang w:val="es-CR"/>
        </w:rPr>
        <w:t>2. Límites de crédito</w:t>
      </w:r>
    </w:p>
    <w:p w14:paraId="76155FD0" w14:textId="564111E0" w:rsidR="00180091" w:rsidRPr="00180091" w:rsidRDefault="00180091" w:rsidP="00180091">
      <w:pPr>
        <w:jc w:val="both"/>
        <w:rPr>
          <w:rFonts w:ascii="Times New Roman" w:hAnsi="Times New Roman" w:cs="Times New Roman"/>
          <w:lang w:val="es-CR"/>
        </w:rPr>
      </w:pPr>
      <w:r w:rsidRPr="00180091">
        <w:rPr>
          <w:rFonts w:ascii="Times New Roman" w:hAnsi="Times New Roman" w:cs="Times New Roman"/>
          <w:lang w:val="es-CR"/>
        </w:rPr>
        <w:t>Se establecerían límites de crédito máximos para cada contraparte con el fin de evitar concentraciones excesivas de riesgo dentro de la cartera.</w:t>
      </w:r>
    </w:p>
    <w:p w14:paraId="6640756F" w14:textId="2F7F7105" w:rsidR="00180091" w:rsidRPr="00180091" w:rsidRDefault="00180091" w:rsidP="00180091">
      <w:pPr>
        <w:jc w:val="both"/>
        <w:rPr>
          <w:rFonts w:ascii="Times New Roman" w:hAnsi="Times New Roman" w:cs="Times New Roman"/>
          <w:b/>
          <w:bCs/>
          <w:lang w:val="es-CR"/>
        </w:rPr>
      </w:pPr>
      <w:r w:rsidRPr="00180091">
        <w:rPr>
          <w:rFonts w:ascii="Times New Roman" w:hAnsi="Times New Roman" w:cs="Times New Roman"/>
          <w:b/>
          <w:bCs/>
          <w:lang w:val="es-CR"/>
        </w:rPr>
        <w:t>3. Revisión periódica del riesgo</w:t>
      </w:r>
    </w:p>
    <w:p w14:paraId="0056189D" w14:textId="3D1FE4B1" w:rsidR="00180091" w:rsidRPr="00180091" w:rsidRDefault="00180091" w:rsidP="00180091">
      <w:pPr>
        <w:jc w:val="both"/>
        <w:rPr>
          <w:rFonts w:ascii="Times New Roman" w:hAnsi="Times New Roman" w:cs="Times New Roman"/>
          <w:lang w:val="es-CR"/>
        </w:rPr>
      </w:pPr>
      <w:r w:rsidRPr="00180091">
        <w:rPr>
          <w:rFonts w:ascii="Times New Roman" w:hAnsi="Times New Roman" w:cs="Times New Roman"/>
          <w:lang w:val="es-CR"/>
        </w:rPr>
        <w:t>El perfil crediticio de la empresa debería revisarse periódicamente mediante el análisis de indicadores financieros y cambios en el entorno económico o sectorial</w:t>
      </w:r>
      <w:r>
        <w:rPr>
          <w:rFonts w:ascii="Times New Roman" w:hAnsi="Times New Roman" w:cs="Times New Roman"/>
          <w:lang w:val="es-CR"/>
        </w:rPr>
        <w:t>, el cual puede ser cuatrimestral, anual y si surge, alguna noticia de relevancia que afecta a la empresa.</w:t>
      </w:r>
    </w:p>
    <w:p w14:paraId="72CC5751" w14:textId="77777777" w:rsidR="00180091" w:rsidRPr="00180091" w:rsidRDefault="00180091" w:rsidP="00180091">
      <w:pPr>
        <w:jc w:val="both"/>
        <w:rPr>
          <w:rFonts w:ascii="Times New Roman" w:hAnsi="Times New Roman" w:cs="Times New Roman"/>
          <w:b/>
          <w:bCs/>
          <w:lang w:val="es-CR"/>
        </w:rPr>
      </w:pPr>
      <w:r w:rsidRPr="00180091">
        <w:rPr>
          <w:rFonts w:ascii="Times New Roman" w:hAnsi="Times New Roman" w:cs="Times New Roman"/>
          <w:b/>
          <w:bCs/>
          <w:lang w:val="es-CR"/>
        </w:rPr>
        <w:t>4. Comité de crédito</w:t>
      </w:r>
    </w:p>
    <w:p w14:paraId="750A8C71" w14:textId="7EFE09D6" w:rsidR="00180091" w:rsidRPr="00180091" w:rsidRDefault="00180091" w:rsidP="00180091">
      <w:pPr>
        <w:jc w:val="both"/>
        <w:rPr>
          <w:rFonts w:ascii="Times New Roman" w:hAnsi="Times New Roman" w:cs="Times New Roman"/>
          <w:lang w:val="es-CR"/>
        </w:rPr>
      </w:pPr>
      <w:r w:rsidRPr="00180091">
        <w:rPr>
          <w:rFonts w:ascii="Times New Roman" w:hAnsi="Times New Roman" w:cs="Times New Roman"/>
          <w:lang w:val="es-CR"/>
        </w:rPr>
        <w:t>Las decisiones relacionadas con la aprobación de créditos o el incremento de exposiciones deberían ser evaluadas por un comité de crédito encargado de supervisar el cumplimiento de las políticas de riesgo y asegurar una adecuada gobernanza en la toma de decisiones.</w:t>
      </w:r>
    </w:p>
    <w:p w14:paraId="05685894" w14:textId="314B4E26" w:rsidR="00180091" w:rsidRPr="00180091" w:rsidRDefault="00180091" w:rsidP="00180091">
      <w:pPr>
        <w:jc w:val="both"/>
        <w:rPr>
          <w:rFonts w:ascii="Times New Roman" w:hAnsi="Times New Roman" w:cs="Times New Roman"/>
          <w:b/>
          <w:bCs/>
          <w:lang w:val="es-CR"/>
        </w:rPr>
      </w:pPr>
      <w:r w:rsidRPr="00180091">
        <w:rPr>
          <w:rFonts w:ascii="Times New Roman" w:hAnsi="Times New Roman" w:cs="Times New Roman"/>
          <w:b/>
          <w:bCs/>
          <w:lang w:val="es-CR"/>
        </w:rPr>
        <w:lastRenderedPageBreak/>
        <w:t>5. Monitoreo continuo</w:t>
      </w:r>
    </w:p>
    <w:p w14:paraId="14B68991" w14:textId="6F9736D7" w:rsidR="00180091" w:rsidRPr="00180091" w:rsidRDefault="00180091" w:rsidP="00180091">
      <w:pPr>
        <w:jc w:val="both"/>
        <w:rPr>
          <w:rFonts w:ascii="Times New Roman" w:hAnsi="Times New Roman" w:cs="Times New Roman"/>
          <w:lang w:val="es-CR"/>
        </w:rPr>
      </w:pPr>
      <w:r w:rsidRPr="00180091">
        <w:rPr>
          <w:rFonts w:ascii="Times New Roman" w:hAnsi="Times New Roman" w:cs="Times New Roman"/>
          <w:lang w:val="es-CR"/>
        </w:rPr>
        <w:t>Se deberían implementar mecanismos de monitoreo que permitan detectar señales tempranas de deterioro financiero y tomar medidas correctivas oportunamente</w:t>
      </w:r>
      <w:r>
        <w:rPr>
          <w:rFonts w:ascii="Times New Roman" w:hAnsi="Times New Roman" w:cs="Times New Roman"/>
          <w:lang w:val="es-CR"/>
        </w:rPr>
        <w:t>, como mantener revisiones diarias de parte de los analistas en su cartera, tal cual sería la exposición que posea en el sistema ERP que maneja la otorgadora del crédito.</w:t>
      </w:r>
    </w:p>
    <w:p w14:paraId="235F64C8" w14:textId="60E94563" w:rsidR="00D96990" w:rsidRPr="00D96990" w:rsidRDefault="00D96990" w:rsidP="00D96990">
      <w:pPr>
        <w:jc w:val="both"/>
        <w:rPr>
          <w:rFonts w:ascii="Times New Roman" w:hAnsi="Times New Roman" w:cs="Times New Roman"/>
          <w:lang w:val="es-CR"/>
        </w:rPr>
      </w:pPr>
      <w:r w:rsidRPr="00D96990">
        <w:rPr>
          <w:rFonts w:ascii="Times New Roman" w:hAnsi="Times New Roman" w:cs="Times New Roman"/>
          <w:lang w:val="es-CR"/>
        </w:rPr>
        <w:t>En conjunto, estas prácticas se relacionan con los principios de gestión del riesgo de crédito discutidos en clase</w:t>
      </w:r>
      <w:r>
        <w:rPr>
          <w:rFonts w:ascii="Times New Roman" w:hAnsi="Times New Roman" w:cs="Times New Roman"/>
          <w:lang w:val="es-CR"/>
        </w:rPr>
        <w:t xml:space="preserve">, </w:t>
      </w:r>
      <w:r w:rsidRPr="00D96990">
        <w:rPr>
          <w:rFonts w:ascii="Times New Roman" w:hAnsi="Times New Roman" w:cs="Times New Roman"/>
          <w:lang w:val="es-CR"/>
        </w:rPr>
        <w:t>particularmente</w:t>
      </w:r>
      <w:r>
        <w:rPr>
          <w:rFonts w:ascii="Times New Roman" w:hAnsi="Times New Roman" w:cs="Times New Roman"/>
          <w:lang w:val="es-CR"/>
        </w:rPr>
        <w:t>:</w:t>
      </w:r>
    </w:p>
    <w:p w14:paraId="229B30FE" w14:textId="77777777" w:rsidR="00D96990" w:rsidRPr="00D96990" w:rsidRDefault="00D96990" w:rsidP="00D96990">
      <w:pPr>
        <w:jc w:val="both"/>
        <w:rPr>
          <w:rFonts w:ascii="Times New Roman" w:hAnsi="Times New Roman" w:cs="Times New Roman"/>
          <w:lang w:val="es-CR"/>
        </w:rPr>
      </w:pPr>
      <w:r w:rsidRPr="00D96990">
        <w:rPr>
          <w:rFonts w:ascii="Times New Roman" w:hAnsi="Times New Roman" w:cs="Times New Roman"/>
          <w:b/>
          <w:lang w:val="es-CR"/>
        </w:rPr>
        <w:t>Principio 1 –</w:t>
      </w:r>
      <w:r w:rsidRPr="00D96990">
        <w:rPr>
          <w:rFonts w:ascii="Times New Roman" w:hAnsi="Times New Roman" w:cs="Times New Roman"/>
          <w:lang w:val="es-CR"/>
        </w:rPr>
        <w:t xml:space="preserve"> Estrategia de riesgo crediticio y tolerancia al riesgo</w:t>
      </w:r>
    </w:p>
    <w:p w14:paraId="36B34CED" w14:textId="77777777" w:rsidR="00D96990" w:rsidRPr="00D96990" w:rsidRDefault="00D96990" w:rsidP="00D96990">
      <w:pPr>
        <w:jc w:val="both"/>
        <w:rPr>
          <w:rFonts w:ascii="Times New Roman" w:hAnsi="Times New Roman" w:cs="Times New Roman"/>
          <w:lang w:val="es-CR"/>
        </w:rPr>
      </w:pPr>
      <w:r w:rsidRPr="00D96990">
        <w:rPr>
          <w:rFonts w:ascii="Times New Roman" w:hAnsi="Times New Roman" w:cs="Times New Roman"/>
          <w:b/>
          <w:lang w:val="es-CR"/>
        </w:rPr>
        <w:t>Principio 2 –</w:t>
      </w:r>
      <w:r w:rsidRPr="00D96990">
        <w:rPr>
          <w:rFonts w:ascii="Times New Roman" w:hAnsi="Times New Roman" w:cs="Times New Roman"/>
          <w:lang w:val="es-CR"/>
        </w:rPr>
        <w:t xml:space="preserve"> Políticas y procedimientos para identificar, medir, monitorear y controlar el riesgo</w:t>
      </w:r>
    </w:p>
    <w:p w14:paraId="179AF2F9" w14:textId="77777777" w:rsidR="00D96990" w:rsidRPr="00D96990" w:rsidRDefault="00D96990" w:rsidP="00D96990">
      <w:pPr>
        <w:jc w:val="both"/>
        <w:rPr>
          <w:rFonts w:ascii="Times New Roman" w:hAnsi="Times New Roman" w:cs="Times New Roman"/>
          <w:lang w:val="es-CR"/>
        </w:rPr>
      </w:pPr>
      <w:r w:rsidRPr="00D96990">
        <w:rPr>
          <w:rFonts w:ascii="Times New Roman" w:hAnsi="Times New Roman" w:cs="Times New Roman"/>
          <w:b/>
          <w:lang w:val="es-CR"/>
        </w:rPr>
        <w:t>Principio 4 –</w:t>
      </w:r>
      <w:r w:rsidRPr="00D96990">
        <w:rPr>
          <w:rFonts w:ascii="Times New Roman" w:hAnsi="Times New Roman" w:cs="Times New Roman"/>
          <w:lang w:val="es-CR"/>
        </w:rPr>
        <w:t xml:space="preserve"> Criterios sólidos de concesión de crédito</w:t>
      </w:r>
    </w:p>
    <w:p w14:paraId="2E67E9E3" w14:textId="77777777" w:rsidR="00D96990" w:rsidRPr="00D96990" w:rsidRDefault="00D96990" w:rsidP="00D96990">
      <w:pPr>
        <w:jc w:val="both"/>
        <w:rPr>
          <w:rFonts w:ascii="Times New Roman" w:hAnsi="Times New Roman" w:cs="Times New Roman"/>
          <w:lang w:val="es-CR"/>
        </w:rPr>
      </w:pPr>
      <w:r w:rsidRPr="00D96990">
        <w:rPr>
          <w:rFonts w:ascii="Times New Roman" w:hAnsi="Times New Roman" w:cs="Times New Roman"/>
          <w:b/>
          <w:lang w:val="es-CR"/>
        </w:rPr>
        <w:t>Principio 5 –</w:t>
      </w:r>
      <w:r w:rsidRPr="00D96990">
        <w:rPr>
          <w:rFonts w:ascii="Times New Roman" w:hAnsi="Times New Roman" w:cs="Times New Roman"/>
          <w:lang w:val="es-CR"/>
        </w:rPr>
        <w:t xml:space="preserve"> Límites de crédito</w:t>
      </w:r>
    </w:p>
    <w:p w14:paraId="6384827A" w14:textId="77777777" w:rsidR="00D96990" w:rsidRPr="00D96990" w:rsidRDefault="00D96990" w:rsidP="00D96990">
      <w:pPr>
        <w:jc w:val="both"/>
        <w:rPr>
          <w:rFonts w:ascii="Times New Roman" w:hAnsi="Times New Roman" w:cs="Times New Roman"/>
          <w:lang w:val="es-CR"/>
        </w:rPr>
      </w:pPr>
      <w:r w:rsidRPr="00D96990">
        <w:rPr>
          <w:rFonts w:ascii="Times New Roman" w:hAnsi="Times New Roman" w:cs="Times New Roman"/>
          <w:b/>
          <w:lang w:val="es-CR"/>
        </w:rPr>
        <w:t>Principio 6 –</w:t>
      </w:r>
      <w:r w:rsidRPr="00D96990">
        <w:rPr>
          <w:rFonts w:ascii="Times New Roman" w:hAnsi="Times New Roman" w:cs="Times New Roman"/>
          <w:lang w:val="es-CR"/>
        </w:rPr>
        <w:t xml:space="preserve"> Procesos de aprobación de crédito</w:t>
      </w:r>
    </w:p>
    <w:p w14:paraId="6D8E7A6E" w14:textId="77777777" w:rsidR="00D96990" w:rsidRPr="00D96990" w:rsidRDefault="00D96990" w:rsidP="00D96990">
      <w:pPr>
        <w:jc w:val="both"/>
        <w:rPr>
          <w:rFonts w:ascii="Times New Roman" w:hAnsi="Times New Roman" w:cs="Times New Roman"/>
          <w:lang w:val="es-CR"/>
        </w:rPr>
      </w:pPr>
      <w:r w:rsidRPr="00D96990">
        <w:rPr>
          <w:rFonts w:ascii="Times New Roman" w:hAnsi="Times New Roman" w:cs="Times New Roman"/>
          <w:b/>
          <w:lang w:val="es-CR"/>
        </w:rPr>
        <w:t>Principio 8 –</w:t>
      </w:r>
      <w:r w:rsidRPr="00D96990">
        <w:rPr>
          <w:rFonts w:ascii="Times New Roman" w:hAnsi="Times New Roman" w:cs="Times New Roman"/>
          <w:lang w:val="es-CR"/>
        </w:rPr>
        <w:t xml:space="preserve"> Administración continua de la cartera crediticia</w:t>
      </w:r>
    </w:p>
    <w:p w14:paraId="0DFBAE52" w14:textId="77777777" w:rsidR="00D96990" w:rsidRPr="00D96990" w:rsidRDefault="00D96990" w:rsidP="00D96990">
      <w:pPr>
        <w:jc w:val="both"/>
        <w:rPr>
          <w:rFonts w:ascii="Times New Roman" w:hAnsi="Times New Roman" w:cs="Times New Roman"/>
          <w:lang w:val="es-CR"/>
        </w:rPr>
      </w:pPr>
      <w:r w:rsidRPr="00D96990">
        <w:rPr>
          <w:rFonts w:ascii="Times New Roman" w:hAnsi="Times New Roman" w:cs="Times New Roman"/>
          <w:b/>
          <w:lang w:val="es-CR"/>
        </w:rPr>
        <w:t>Principio 11</w:t>
      </w:r>
      <w:r w:rsidRPr="00D96990">
        <w:rPr>
          <w:rFonts w:ascii="Times New Roman" w:hAnsi="Times New Roman" w:cs="Times New Roman"/>
          <w:lang w:val="es-CR"/>
        </w:rPr>
        <w:t xml:space="preserve"> – Sistemas de información y análisis del riesgo</w:t>
      </w:r>
    </w:p>
    <w:p w14:paraId="0B5B4A0C" w14:textId="77777777" w:rsidR="00D96990" w:rsidRPr="00D96990" w:rsidRDefault="00D96990" w:rsidP="00D96990">
      <w:pPr>
        <w:jc w:val="both"/>
        <w:rPr>
          <w:rFonts w:ascii="Times New Roman" w:hAnsi="Times New Roman" w:cs="Times New Roman"/>
          <w:lang w:val="es-CR"/>
        </w:rPr>
      </w:pPr>
      <w:r w:rsidRPr="00D96990">
        <w:rPr>
          <w:rFonts w:ascii="Times New Roman" w:hAnsi="Times New Roman" w:cs="Times New Roman"/>
          <w:b/>
          <w:lang w:val="es-CR"/>
        </w:rPr>
        <w:t>Principio 12</w:t>
      </w:r>
      <w:r w:rsidRPr="00D96990">
        <w:rPr>
          <w:rFonts w:ascii="Times New Roman" w:hAnsi="Times New Roman" w:cs="Times New Roman"/>
          <w:lang w:val="es-CR"/>
        </w:rPr>
        <w:t xml:space="preserve"> – Consideración de factores macroeconómicos</w:t>
      </w:r>
    </w:p>
    <w:p w14:paraId="75DF928E" w14:textId="4834620F" w:rsidR="00180091" w:rsidRDefault="00D96990" w:rsidP="00D96990">
      <w:pPr>
        <w:jc w:val="both"/>
        <w:rPr>
          <w:rFonts w:ascii="Times New Roman" w:hAnsi="Times New Roman" w:cs="Times New Roman"/>
          <w:lang w:val="es-CR"/>
        </w:rPr>
      </w:pPr>
      <w:r w:rsidRPr="00D96990">
        <w:rPr>
          <w:rFonts w:ascii="Times New Roman" w:hAnsi="Times New Roman" w:cs="Times New Roman"/>
          <w:b/>
          <w:lang w:val="es-CR"/>
        </w:rPr>
        <w:t>Principio 15</w:t>
      </w:r>
      <w:r w:rsidRPr="00D96990">
        <w:rPr>
          <w:rFonts w:ascii="Times New Roman" w:hAnsi="Times New Roman" w:cs="Times New Roman"/>
          <w:lang w:val="es-CR"/>
        </w:rPr>
        <w:t xml:space="preserve"> – Medidas correctivas ante deterioro crediticio</w:t>
      </w:r>
    </w:p>
    <w:p w14:paraId="343081E3" w14:textId="77777777" w:rsidR="007A4FB0" w:rsidRDefault="007A4FB0" w:rsidP="00D96990">
      <w:pPr>
        <w:jc w:val="both"/>
        <w:rPr>
          <w:rFonts w:ascii="Times New Roman" w:hAnsi="Times New Roman" w:cs="Times New Roman"/>
          <w:lang w:val="es-CR"/>
        </w:rPr>
      </w:pPr>
    </w:p>
    <w:p w14:paraId="46B6001D" w14:textId="77777777" w:rsidR="007A4FB0" w:rsidRPr="007A4FB0" w:rsidRDefault="007A4FB0" w:rsidP="007A4FB0">
      <w:pPr>
        <w:jc w:val="both"/>
        <w:rPr>
          <w:rFonts w:ascii="Times New Roman" w:hAnsi="Times New Roman" w:cs="Times New Roman"/>
          <w:b/>
          <w:bCs/>
          <w:lang w:val="es-CR"/>
        </w:rPr>
      </w:pPr>
      <w:r w:rsidRPr="007A4FB0">
        <w:rPr>
          <w:rFonts w:ascii="Times New Roman" w:hAnsi="Times New Roman" w:cs="Times New Roman"/>
          <w:b/>
          <w:bCs/>
          <w:lang w:val="es-CR"/>
        </w:rPr>
        <w:t>5.1 Marco de gobernanza del riesgo de crédito</w:t>
      </w:r>
    </w:p>
    <w:p w14:paraId="4F2F31D9" w14:textId="77777777" w:rsidR="007A4FB0" w:rsidRPr="007A4FB0" w:rsidRDefault="007A4FB0" w:rsidP="007A4FB0">
      <w:pPr>
        <w:jc w:val="both"/>
        <w:rPr>
          <w:rFonts w:ascii="Times New Roman" w:hAnsi="Times New Roman" w:cs="Times New Roman"/>
          <w:lang w:val="es-CR"/>
        </w:rPr>
      </w:pPr>
      <w:r w:rsidRPr="007A4FB0">
        <w:rPr>
          <w:rFonts w:ascii="Times New Roman" w:hAnsi="Times New Roman" w:cs="Times New Roman"/>
          <w:lang w:val="es-CR"/>
        </w:rPr>
        <w:t>El marco de gobernanza del riesgo de crédito puede estructurarse a partir de los conceptos discutidos en clase, los cuales se fundamentan en tres elementos principales: apetito de riesgo, tolerancia al riesgo y capacidad de exposición.</w:t>
      </w:r>
    </w:p>
    <w:p w14:paraId="60983F73" w14:textId="77777777" w:rsidR="007A4FB0" w:rsidRPr="007A4FB0" w:rsidRDefault="007A4FB0" w:rsidP="007A4FB0">
      <w:pPr>
        <w:jc w:val="both"/>
        <w:rPr>
          <w:rFonts w:ascii="Times New Roman" w:hAnsi="Times New Roman" w:cs="Times New Roman"/>
          <w:lang w:val="es-CR"/>
        </w:rPr>
      </w:pPr>
      <w:r w:rsidRPr="007A4FB0">
        <w:rPr>
          <w:rFonts w:ascii="Times New Roman" w:hAnsi="Times New Roman" w:cs="Times New Roman"/>
          <w:lang w:val="es-CR"/>
        </w:rPr>
        <w:t>El apetito de riesgo define el nivel de riesgo que una institución está dispuesta a asumir dentro de su estrategia de negocio. En el contexto del crédito corporativo, esto implica establecer qué tipo de empresas, sectores o perfiles financieros son aceptables dentro de la cartera.</w:t>
      </w:r>
    </w:p>
    <w:p w14:paraId="4BC71504" w14:textId="77777777" w:rsidR="007A4FB0" w:rsidRPr="007A4FB0" w:rsidRDefault="007A4FB0" w:rsidP="007A4FB0">
      <w:pPr>
        <w:jc w:val="both"/>
        <w:rPr>
          <w:rFonts w:ascii="Times New Roman" w:hAnsi="Times New Roman" w:cs="Times New Roman"/>
          <w:lang w:val="es-CR"/>
        </w:rPr>
      </w:pPr>
      <w:r w:rsidRPr="007A4FB0">
        <w:rPr>
          <w:rFonts w:ascii="Times New Roman" w:hAnsi="Times New Roman" w:cs="Times New Roman"/>
          <w:lang w:val="es-CR"/>
        </w:rPr>
        <w:t>Por su parte, la tolerancia al riesgo establece los límites dentro de los cuales la institución está dispuesta a aceptar posibles deterioros en la calidad crediticia antes de tomar medidas correctivas. Estos límites pueden reflejarse en indicadores financieros, niveles de endeudamiento o variaciones en la rentabilidad.</w:t>
      </w:r>
    </w:p>
    <w:p w14:paraId="2F7E060F" w14:textId="77777777" w:rsidR="007A4FB0" w:rsidRPr="007A4FB0" w:rsidRDefault="007A4FB0" w:rsidP="007A4FB0">
      <w:pPr>
        <w:jc w:val="both"/>
        <w:rPr>
          <w:rFonts w:ascii="Times New Roman" w:hAnsi="Times New Roman" w:cs="Times New Roman"/>
          <w:lang w:val="es-CR"/>
        </w:rPr>
      </w:pPr>
      <w:r w:rsidRPr="007A4FB0">
        <w:rPr>
          <w:rFonts w:ascii="Times New Roman" w:hAnsi="Times New Roman" w:cs="Times New Roman"/>
          <w:lang w:val="es-CR"/>
        </w:rPr>
        <w:t>Finalmente, la capacidad de exposición se refiere al monto máximo de crédito que la institución puede otorgar a una contraparte, considerando su perfil de riesgo, su capacidad de pago y los límites internos de concentración.</w:t>
      </w:r>
    </w:p>
    <w:p w14:paraId="10BB2B7E" w14:textId="77777777" w:rsidR="007A4FB0" w:rsidRPr="007A4FB0" w:rsidRDefault="007A4FB0" w:rsidP="007A4FB0">
      <w:pPr>
        <w:jc w:val="both"/>
        <w:rPr>
          <w:rFonts w:ascii="Times New Roman" w:hAnsi="Times New Roman" w:cs="Times New Roman"/>
          <w:lang w:val="es-CR"/>
        </w:rPr>
      </w:pPr>
      <w:r w:rsidRPr="007A4FB0">
        <w:rPr>
          <w:rFonts w:ascii="Times New Roman" w:hAnsi="Times New Roman" w:cs="Times New Roman"/>
          <w:lang w:val="es-CR"/>
        </w:rPr>
        <w:lastRenderedPageBreak/>
        <w:t>A partir de estos conceptos, se pueden establecer políticas de crédito como:</w:t>
      </w:r>
    </w:p>
    <w:p w14:paraId="77804388" w14:textId="77777777" w:rsidR="007A4FB0" w:rsidRPr="007A4FB0" w:rsidRDefault="007A4FB0" w:rsidP="007A4FB0">
      <w:pPr>
        <w:numPr>
          <w:ilvl w:val="0"/>
          <w:numId w:val="2"/>
        </w:numPr>
        <w:jc w:val="both"/>
        <w:rPr>
          <w:rFonts w:ascii="Times New Roman" w:hAnsi="Times New Roman" w:cs="Times New Roman"/>
          <w:lang w:val="es-CR"/>
        </w:rPr>
      </w:pPr>
      <w:r w:rsidRPr="007A4FB0">
        <w:rPr>
          <w:rFonts w:ascii="Times New Roman" w:hAnsi="Times New Roman" w:cs="Times New Roman"/>
          <w:lang w:val="es-CR"/>
        </w:rPr>
        <w:t xml:space="preserve">definición del apetito de riesgo por sector </w:t>
      </w:r>
    </w:p>
    <w:p w14:paraId="0EABB28B" w14:textId="77777777" w:rsidR="007A4FB0" w:rsidRPr="007A4FB0" w:rsidRDefault="007A4FB0" w:rsidP="007A4FB0">
      <w:pPr>
        <w:numPr>
          <w:ilvl w:val="0"/>
          <w:numId w:val="2"/>
        </w:numPr>
        <w:jc w:val="both"/>
        <w:rPr>
          <w:rFonts w:ascii="Times New Roman" w:hAnsi="Times New Roman" w:cs="Times New Roman"/>
        </w:rPr>
      </w:pPr>
      <w:proofErr w:type="spellStart"/>
      <w:r w:rsidRPr="007A4FB0">
        <w:rPr>
          <w:rFonts w:ascii="Times New Roman" w:hAnsi="Times New Roman" w:cs="Times New Roman"/>
        </w:rPr>
        <w:t>establecimiento</w:t>
      </w:r>
      <w:proofErr w:type="spellEnd"/>
      <w:r w:rsidRPr="007A4FB0">
        <w:rPr>
          <w:rFonts w:ascii="Times New Roman" w:hAnsi="Times New Roman" w:cs="Times New Roman"/>
        </w:rPr>
        <w:t xml:space="preserve"> de </w:t>
      </w:r>
      <w:proofErr w:type="spellStart"/>
      <w:r w:rsidRPr="007A4FB0">
        <w:rPr>
          <w:rFonts w:ascii="Times New Roman" w:hAnsi="Times New Roman" w:cs="Times New Roman"/>
        </w:rPr>
        <w:t>límites</w:t>
      </w:r>
      <w:proofErr w:type="spellEnd"/>
      <w:r w:rsidRPr="007A4FB0">
        <w:rPr>
          <w:rFonts w:ascii="Times New Roman" w:hAnsi="Times New Roman" w:cs="Times New Roman"/>
        </w:rPr>
        <w:t xml:space="preserve"> de </w:t>
      </w:r>
      <w:proofErr w:type="spellStart"/>
      <w:r w:rsidRPr="007A4FB0">
        <w:rPr>
          <w:rFonts w:ascii="Times New Roman" w:hAnsi="Times New Roman" w:cs="Times New Roman"/>
        </w:rPr>
        <w:t>crédito</w:t>
      </w:r>
      <w:proofErr w:type="spellEnd"/>
      <w:r w:rsidRPr="007A4FB0">
        <w:rPr>
          <w:rFonts w:ascii="Times New Roman" w:hAnsi="Times New Roman" w:cs="Times New Roman"/>
        </w:rPr>
        <w:t xml:space="preserve"> </w:t>
      </w:r>
    </w:p>
    <w:p w14:paraId="6BED34F7" w14:textId="77777777" w:rsidR="007A4FB0" w:rsidRPr="007A4FB0" w:rsidRDefault="007A4FB0" w:rsidP="007A4FB0">
      <w:pPr>
        <w:numPr>
          <w:ilvl w:val="0"/>
          <w:numId w:val="2"/>
        </w:numPr>
        <w:jc w:val="both"/>
        <w:rPr>
          <w:rFonts w:ascii="Times New Roman" w:hAnsi="Times New Roman" w:cs="Times New Roman"/>
        </w:rPr>
      </w:pPr>
      <w:proofErr w:type="spellStart"/>
      <w:r w:rsidRPr="007A4FB0">
        <w:rPr>
          <w:rFonts w:ascii="Times New Roman" w:hAnsi="Times New Roman" w:cs="Times New Roman"/>
        </w:rPr>
        <w:t>revisiones</w:t>
      </w:r>
      <w:proofErr w:type="spellEnd"/>
      <w:r w:rsidRPr="007A4FB0">
        <w:rPr>
          <w:rFonts w:ascii="Times New Roman" w:hAnsi="Times New Roman" w:cs="Times New Roman"/>
        </w:rPr>
        <w:t xml:space="preserve"> </w:t>
      </w:r>
      <w:proofErr w:type="spellStart"/>
      <w:r w:rsidRPr="007A4FB0">
        <w:rPr>
          <w:rFonts w:ascii="Times New Roman" w:hAnsi="Times New Roman" w:cs="Times New Roman"/>
        </w:rPr>
        <w:t>periódicas</w:t>
      </w:r>
      <w:proofErr w:type="spellEnd"/>
      <w:r w:rsidRPr="007A4FB0">
        <w:rPr>
          <w:rFonts w:ascii="Times New Roman" w:hAnsi="Times New Roman" w:cs="Times New Roman"/>
        </w:rPr>
        <w:t xml:space="preserve"> del </w:t>
      </w:r>
      <w:proofErr w:type="spellStart"/>
      <w:r w:rsidRPr="007A4FB0">
        <w:rPr>
          <w:rFonts w:ascii="Times New Roman" w:hAnsi="Times New Roman" w:cs="Times New Roman"/>
        </w:rPr>
        <w:t>perfil</w:t>
      </w:r>
      <w:proofErr w:type="spellEnd"/>
      <w:r w:rsidRPr="007A4FB0">
        <w:rPr>
          <w:rFonts w:ascii="Times New Roman" w:hAnsi="Times New Roman" w:cs="Times New Roman"/>
        </w:rPr>
        <w:t xml:space="preserve"> </w:t>
      </w:r>
      <w:proofErr w:type="spellStart"/>
      <w:r w:rsidRPr="007A4FB0">
        <w:rPr>
          <w:rFonts w:ascii="Times New Roman" w:hAnsi="Times New Roman" w:cs="Times New Roman"/>
        </w:rPr>
        <w:t>crediticio</w:t>
      </w:r>
      <w:proofErr w:type="spellEnd"/>
      <w:r w:rsidRPr="007A4FB0">
        <w:rPr>
          <w:rFonts w:ascii="Times New Roman" w:hAnsi="Times New Roman" w:cs="Times New Roman"/>
        </w:rPr>
        <w:t xml:space="preserve"> </w:t>
      </w:r>
    </w:p>
    <w:p w14:paraId="0615E9F6" w14:textId="77777777" w:rsidR="007A4FB0" w:rsidRPr="007A4FB0" w:rsidRDefault="007A4FB0" w:rsidP="007A4FB0">
      <w:pPr>
        <w:numPr>
          <w:ilvl w:val="0"/>
          <w:numId w:val="2"/>
        </w:numPr>
        <w:jc w:val="both"/>
        <w:rPr>
          <w:rFonts w:ascii="Times New Roman" w:hAnsi="Times New Roman" w:cs="Times New Roman"/>
          <w:lang w:val="es-CR"/>
        </w:rPr>
      </w:pPr>
      <w:r w:rsidRPr="007A4FB0">
        <w:rPr>
          <w:rFonts w:ascii="Times New Roman" w:hAnsi="Times New Roman" w:cs="Times New Roman"/>
          <w:lang w:val="es-CR"/>
        </w:rPr>
        <w:t xml:space="preserve">evaluación a través de comités de crédito </w:t>
      </w:r>
    </w:p>
    <w:p w14:paraId="11BD2A28" w14:textId="77777777" w:rsidR="007A4FB0" w:rsidRPr="007A4FB0" w:rsidRDefault="007A4FB0" w:rsidP="007A4FB0">
      <w:pPr>
        <w:numPr>
          <w:ilvl w:val="0"/>
          <w:numId w:val="2"/>
        </w:numPr>
        <w:jc w:val="both"/>
        <w:rPr>
          <w:rFonts w:ascii="Times New Roman" w:hAnsi="Times New Roman" w:cs="Times New Roman"/>
        </w:rPr>
      </w:pPr>
      <w:proofErr w:type="spellStart"/>
      <w:r w:rsidRPr="007A4FB0">
        <w:rPr>
          <w:rFonts w:ascii="Times New Roman" w:hAnsi="Times New Roman" w:cs="Times New Roman"/>
        </w:rPr>
        <w:t>monitoreo</w:t>
      </w:r>
      <w:proofErr w:type="spellEnd"/>
      <w:r w:rsidRPr="007A4FB0">
        <w:rPr>
          <w:rFonts w:ascii="Times New Roman" w:hAnsi="Times New Roman" w:cs="Times New Roman"/>
        </w:rPr>
        <w:t xml:space="preserve"> continuo de las </w:t>
      </w:r>
      <w:proofErr w:type="spellStart"/>
      <w:r w:rsidRPr="007A4FB0">
        <w:rPr>
          <w:rFonts w:ascii="Times New Roman" w:hAnsi="Times New Roman" w:cs="Times New Roman"/>
        </w:rPr>
        <w:t>exposiciones</w:t>
      </w:r>
      <w:proofErr w:type="spellEnd"/>
      <w:r w:rsidRPr="007A4FB0">
        <w:rPr>
          <w:rFonts w:ascii="Times New Roman" w:hAnsi="Times New Roman" w:cs="Times New Roman"/>
        </w:rPr>
        <w:t xml:space="preserve"> </w:t>
      </w:r>
    </w:p>
    <w:p w14:paraId="21070551" w14:textId="77777777" w:rsidR="007A4FB0" w:rsidRPr="007A4FB0" w:rsidRDefault="007A4FB0" w:rsidP="007A4FB0">
      <w:pPr>
        <w:jc w:val="both"/>
        <w:rPr>
          <w:rFonts w:ascii="Times New Roman" w:hAnsi="Times New Roman" w:cs="Times New Roman"/>
        </w:rPr>
      </w:pPr>
      <w:r w:rsidRPr="007A4FB0">
        <w:rPr>
          <w:rFonts w:ascii="Times New Roman" w:hAnsi="Times New Roman" w:cs="Times New Roman"/>
        </w:rPr>
        <w:pict w14:anchorId="698B7C2F">
          <v:rect id="_x0000_i1037" style="width:0;height:1.5pt" o:hralign="center" o:hrstd="t" o:hr="t" fillcolor="#a0a0a0" stroked="f"/>
        </w:pict>
      </w:r>
    </w:p>
    <w:p w14:paraId="2563C487" w14:textId="77777777" w:rsidR="007A4FB0" w:rsidRPr="007A4FB0" w:rsidRDefault="007A4FB0" w:rsidP="007A4FB0">
      <w:pPr>
        <w:jc w:val="both"/>
        <w:rPr>
          <w:rFonts w:ascii="Times New Roman" w:hAnsi="Times New Roman" w:cs="Times New Roman"/>
          <w:b/>
          <w:bCs/>
          <w:lang w:val="es-CR"/>
        </w:rPr>
      </w:pPr>
      <w:r w:rsidRPr="007A4FB0">
        <w:rPr>
          <w:rFonts w:ascii="Times New Roman" w:hAnsi="Times New Roman" w:cs="Times New Roman"/>
          <w:b/>
          <w:bCs/>
          <w:lang w:val="es-CR"/>
        </w:rPr>
        <w:t>5.2 Aplicación práctica del marco: caso Delta Air Lines</w:t>
      </w:r>
    </w:p>
    <w:p w14:paraId="7F77292F" w14:textId="77777777" w:rsidR="007A4FB0" w:rsidRPr="007A4FB0" w:rsidRDefault="007A4FB0" w:rsidP="007A4FB0">
      <w:pPr>
        <w:jc w:val="both"/>
        <w:rPr>
          <w:rFonts w:ascii="Times New Roman" w:hAnsi="Times New Roman" w:cs="Times New Roman"/>
          <w:lang w:val="es-CR"/>
        </w:rPr>
      </w:pPr>
      <w:r w:rsidRPr="007A4FB0">
        <w:rPr>
          <w:rFonts w:ascii="Times New Roman" w:hAnsi="Times New Roman" w:cs="Times New Roman"/>
          <w:lang w:val="es-CR"/>
        </w:rPr>
        <w:t>En la práctica, la gestión del riesgo en una empresa como Delta Air Lines refleja varios de estos principios dentro de su estructura organizacional.</w:t>
      </w:r>
    </w:p>
    <w:p w14:paraId="1973EE7B" w14:textId="77777777" w:rsidR="007A4FB0" w:rsidRPr="007A4FB0" w:rsidRDefault="007A4FB0" w:rsidP="007A4FB0">
      <w:pPr>
        <w:jc w:val="both"/>
        <w:rPr>
          <w:rFonts w:ascii="Times New Roman" w:hAnsi="Times New Roman" w:cs="Times New Roman"/>
          <w:lang w:val="es-CR"/>
        </w:rPr>
      </w:pPr>
      <w:r w:rsidRPr="007A4FB0">
        <w:rPr>
          <w:rFonts w:ascii="Times New Roman" w:hAnsi="Times New Roman" w:cs="Times New Roman"/>
          <w:lang w:val="es-CR"/>
        </w:rPr>
        <w:t xml:space="preserve">Delta incorpora la gestión del riesgo dentro de su marco de Enterprise Risk Management (ERM), lo cual permite integrar distintos tipos de riesgo dentro de la toma de decisiones estratégicas. En el caso de la ciberseguridad, la empresa utiliza estándares internacionales como ISO 27001 y el NIST </w:t>
      </w:r>
      <w:proofErr w:type="spellStart"/>
      <w:r w:rsidRPr="007A4FB0">
        <w:rPr>
          <w:rFonts w:ascii="Times New Roman" w:hAnsi="Times New Roman" w:cs="Times New Roman"/>
          <w:lang w:val="es-CR"/>
        </w:rPr>
        <w:t>Cybersecurity</w:t>
      </w:r>
      <w:proofErr w:type="spellEnd"/>
      <w:r w:rsidRPr="007A4FB0">
        <w:rPr>
          <w:rFonts w:ascii="Times New Roman" w:hAnsi="Times New Roman" w:cs="Times New Roman"/>
          <w:lang w:val="es-CR"/>
        </w:rPr>
        <w:t xml:space="preserve"> Framework, los cuales incluyen procesos de identificación, protección, detección, respuesta y recuperación ante incidentes (Delta Air Lines, 2026, p. 26). </w:t>
      </w:r>
    </w:p>
    <w:p w14:paraId="0F90A8A6" w14:textId="77777777" w:rsidR="007A4FB0" w:rsidRPr="007A4FB0" w:rsidRDefault="007A4FB0" w:rsidP="007A4FB0">
      <w:pPr>
        <w:jc w:val="both"/>
        <w:rPr>
          <w:rFonts w:ascii="Times New Roman" w:hAnsi="Times New Roman" w:cs="Times New Roman"/>
          <w:lang w:val="es-CR"/>
        </w:rPr>
      </w:pPr>
      <w:r w:rsidRPr="007A4FB0">
        <w:rPr>
          <w:rFonts w:ascii="Times New Roman" w:hAnsi="Times New Roman" w:cs="Times New Roman"/>
          <w:lang w:val="es-CR"/>
        </w:rPr>
        <w:t>Asimismo, la empresa realiza monitoreo continuo de riesgos, evaluaciones periódicas y auditorías externas, lo que refleja un enfoque alineado con el principio de control y seguimiento del riesgo.</w:t>
      </w:r>
    </w:p>
    <w:p w14:paraId="3BA2921E" w14:textId="77777777" w:rsidR="007A4FB0" w:rsidRPr="007A4FB0" w:rsidRDefault="007A4FB0" w:rsidP="007A4FB0">
      <w:pPr>
        <w:jc w:val="both"/>
        <w:rPr>
          <w:rFonts w:ascii="Times New Roman" w:hAnsi="Times New Roman" w:cs="Times New Roman"/>
          <w:lang w:val="es-CR"/>
        </w:rPr>
      </w:pPr>
      <w:r w:rsidRPr="007A4FB0">
        <w:rPr>
          <w:rFonts w:ascii="Times New Roman" w:hAnsi="Times New Roman" w:cs="Times New Roman"/>
          <w:lang w:val="es-CR"/>
        </w:rPr>
        <w:t xml:space="preserve">Desde el punto de vista de gobernanza, el Comité de Auditoría y la alta gerencia participan activamente en la supervisión del riesgo, recibiendo reportes periódicos y participando en la toma de decisiones. Adicionalmente, el Delta Risk Council integra distintos tipos de riesgo dentro de una visión global del negocio (Delta Air Lines, 2026, p. 26–27). </w:t>
      </w:r>
    </w:p>
    <w:p w14:paraId="66CC4A02" w14:textId="77777777" w:rsidR="007A4FB0" w:rsidRPr="007A4FB0" w:rsidRDefault="007A4FB0" w:rsidP="007A4FB0">
      <w:pPr>
        <w:jc w:val="both"/>
        <w:rPr>
          <w:rFonts w:ascii="Times New Roman" w:hAnsi="Times New Roman" w:cs="Times New Roman"/>
          <w:lang w:val="es-CR"/>
        </w:rPr>
      </w:pPr>
      <w:r w:rsidRPr="007A4FB0">
        <w:rPr>
          <w:rFonts w:ascii="Times New Roman" w:hAnsi="Times New Roman" w:cs="Times New Roman"/>
          <w:lang w:val="es-CR"/>
        </w:rPr>
        <w:t>Este tipo de estructura refleja cómo los principios de apetito, control, monitoreo y gestión del riesgo pueden implementarse en la práctica dentro de una organización real.</w:t>
      </w:r>
    </w:p>
    <w:p w14:paraId="46402902" w14:textId="77777777" w:rsidR="007A4FB0" w:rsidRPr="007A4FB0" w:rsidRDefault="007A4FB0" w:rsidP="007A4FB0">
      <w:pPr>
        <w:jc w:val="both"/>
        <w:rPr>
          <w:rFonts w:ascii="Times New Roman" w:hAnsi="Times New Roman" w:cs="Times New Roman"/>
          <w:lang w:val="es-CR"/>
        </w:rPr>
      </w:pPr>
      <w:r w:rsidRPr="007A4FB0">
        <w:rPr>
          <w:rFonts w:ascii="Times New Roman" w:hAnsi="Times New Roman" w:cs="Times New Roman"/>
          <w:lang w:val="es-CR"/>
        </w:rPr>
        <w:t>Desde la perspectiva del riesgo de crédito, una estructura de este tipo contribuye a reducir la probabilidad de eventos adversos que puedan afectar la generación de flujo de efectivo y la capacidad de pago.</w:t>
      </w:r>
    </w:p>
    <w:p w14:paraId="26721C5A" w14:textId="77777777" w:rsidR="007A4FB0" w:rsidRPr="007A4FB0" w:rsidRDefault="007A4FB0" w:rsidP="007A4FB0">
      <w:pPr>
        <w:jc w:val="both"/>
        <w:rPr>
          <w:rFonts w:ascii="Times New Roman" w:hAnsi="Times New Roman" w:cs="Times New Roman"/>
        </w:rPr>
      </w:pPr>
      <w:r w:rsidRPr="007A4FB0">
        <w:rPr>
          <w:rFonts w:ascii="Times New Roman" w:hAnsi="Times New Roman" w:cs="Times New Roman"/>
        </w:rPr>
        <w:pict w14:anchorId="27280E36">
          <v:rect id="_x0000_i1038" style="width:0;height:1.5pt" o:hralign="center" o:hrstd="t" o:hr="t" fillcolor="#a0a0a0" stroked="f"/>
        </w:pict>
      </w:r>
    </w:p>
    <w:p w14:paraId="02B66E62" w14:textId="77777777" w:rsidR="007A4FB0" w:rsidRPr="007A4FB0" w:rsidRDefault="007A4FB0" w:rsidP="007A4FB0">
      <w:pPr>
        <w:jc w:val="both"/>
        <w:rPr>
          <w:rFonts w:ascii="Times New Roman" w:hAnsi="Times New Roman" w:cs="Times New Roman"/>
          <w:b/>
          <w:bCs/>
          <w:lang w:val="es-CR"/>
        </w:rPr>
      </w:pPr>
      <w:r w:rsidRPr="007A4FB0">
        <w:rPr>
          <w:rFonts w:ascii="Times New Roman" w:hAnsi="Times New Roman" w:cs="Times New Roman"/>
          <w:b/>
          <w:bCs/>
          <w:lang w:val="es-CR"/>
        </w:rPr>
        <w:t>5.3 Monitoreo continuo del riesgo de crédito</w:t>
      </w:r>
    </w:p>
    <w:p w14:paraId="2BB5563B" w14:textId="77777777" w:rsidR="007A4FB0" w:rsidRPr="007A4FB0" w:rsidRDefault="007A4FB0" w:rsidP="007A4FB0">
      <w:pPr>
        <w:jc w:val="both"/>
        <w:rPr>
          <w:rFonts w:ascii="Times New Roman" w:hAnsi="Times New Roman" w:cs="Times New Roman"/>
          <w:lang w:val="es-CR"/>
        </w:rPr>
      </w:pPr>
      <w:r w:rsidRPr="007A4FB0">
        <w:rPr>
          <w:rFonts w:ascii="Times New Roman" w:hAnsi="Times New Roman" w:cs="Times New Roman"/>
          <w:lang w:val="es-CR"/>
        </w:rPr>
        <w:t xml:space="preserve">(este ya lo </w:t>
      </w:r>
      <w:proofErr w:type="spellStart"/>
      <w:r w:rsidRPr="007A4FB0">
        <w:rPr>
          <w:rFonts w:ascii="Times New Roman" w:hAnsi="Times New Roman" w:cs="Times New Roman"/>
          <w:lang w:val="es-CR"/>
        </w:rPr>
        <w:t>tenés</w:t>
      </w:r>
      <w:proofErr w:type="spellEnd"/>
      <w:r w:rsidRPr="007A4FB0">
        <w:rPr>
          <w:rFonts w:ascii="Times New Roman" w:hAnsi="Times New Roman" w:cs="Times New Roman"/>
          <w:lang w:val="es-CR"/>
        </w:rPr>
        <w:t xml:space="preserve"> perfecto, no lo cambio)</w:t>
      </w:r>
    </w:p>
    <w:p w14:paraId="79204899" w14:textId="77777777" w:rsidR="007A4FB0" w:rsidRPr="00B52E87" w:rsidRDefault="007A4FB0" w:rsidP="00D96990">
      <w:pPr>
        <w:jc w:val="both"/>
        <w:rPr>
          <w:rFonts w:ascii="Times New Roman" w:hAnsi="Times New Roman" w:cs="Times New Roman"/>
          <w:lang w:val="es-CR"/>
        </w:rPr>
      </w:pPr>
    </w:p>
    <w:sectPr w:rsidR="007A4FB0" w:rsidRPr="00B52E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2A6F4A"/>
    <w:multiLevelType w:val="multilevel"/>
    <w:tmpl w:val="86084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9272D93"/>
    <w:multiLevelType w:val="hybridMultilevel"/>
    <w:tmpl w:val="5BE833D0"/>
    <w:lvl w:ilvl="0" w:tplc="3E7C676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25574423">
    <w:abstractNumId w:val="1"/>
  </w:num>
  <w:num w:numId="2" w16cid:durableId="12499978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2E87"/>
    <w:rsid w:val="000E6C14"/>
    <w:rsid w:val="0012021A"/>
    <w:rsid w:val="00180091"/>
    <w:rsid w:val="0034273E"/>
    <w:rsid w:val="00680133"/>
    <w:rsid w:val="007A4FB0"/>
    <w:rsid w:val="007B1A65"/>
    <w:rsid w:val="00981E80"/>
    <w:rsid w:val="00B1430B"/>
    <w:rsid w:val="00B440F1"/>
    <w:rsid w:val="00B52E87"/>
    <w:rsid w:val="00C0590E"/>
    <w:rsid w:val="00C823BD"/>
    <w:rsid w:val="00D969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D43E95"/>
  <w15:chartTrackingRefBased/>
  <w15:docId w15:val="{C134E614-064E-47A0-80C3-FFF1C6C3E2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2E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2E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2E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2E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2E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2E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2E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2E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2E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2E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2E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2E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2E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2E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2E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2E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2E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2E87"/>
    <w:rPr>
      <w:rFonts w:eastAsiaTheme="majorEastAsia" w:cstheme="majorBidi"/>
      <w:color w:val="272727" w:themeColor="text1" w:themeTint="D8"/>
    </w:rPr>
  </w:style>
  <w:style w:type="paragraph" w:styleId="Title">
    <w:name w:val="Title"/>
    <w:basedOn w:val="Normal"/>
    <w:next w:val="Normal"/>
    <w:link w:val="TitleChar"/>
    <w:uiPriority w:val="10"/>
    <w:qFormat/>
    <w:rsid w:val="00B52E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2E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2E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2E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2E87"/>
    <w:pPr>
      <w:spacing w:before="160"/>
      <w:jc w:val="center"/>
    </w:pPr>
    <w:rPr>
      <w:i/>
      <w:iCs/>
      <w:color w:val="404040" w:themeColor="text1" w:themeTint="BF"/>
    </w:rPr>
  </w:style>
  <w:style w:type="character" w:customStyle="1" w:styleId="QuoteChar">
    <w:name w:val="Quote Char"/>
    <w:basedOn w:val="DefaultParagraphFont"/>
    <w:link w:val="Quote"/>
    <w:uiPriority w:val="29"/>
    <w:rsid w:val="00B52E87"/>
    <w:rPr>
      <w:i/>
      <w:iCs/>
      <w:color w:val="404040" w:themeColor="text1" w:themeTint="BF"/>
    </w:rPr>
  </w:style>
  <w:style w:type="paragraph" w:styleId="ListParagraph">
    <w:name w:val="List Paragraph"/>
    <w:basedOn w:val="Normal"/>
    <w:uiPriority w:val="34"/>
    <w:qFormat/>
    <w:rsid w:val="00B52E87"/>
    <w:pPr>
      <w:ind w:left="720"/>
      <w:contextualSpacing/>
    </w:pPr>
  </w:style>
  <w:style w:type="character" w:styleId="IntenseEmphasis">
    <w:name w:val="Intense Emphasis"/>
    <w:basedOn w:val="DefaultParagraphFont"/>
    <w:uiPriority w:val="21"/>
    <w:qFormat/>
    <w:rsid w:val="00B52E87"/>
    <w:rPr>
      <w:i/>
      <w:iCs/>
      <w:color w:val="0F4761" w:themeColor="accent1" w:themeShade="BF"/>
    </w:rPr>
  </w:style>
  <w:style w:type="paragraph" w:styleId="IntenseQuote">
    <w:name w:val="Intense Quote"/>
    <w:basedOn w:val="Normal"/>
    <w:next w:val="Normal"/>
    <w:link w:val="IntenseQuoteChar"/>
    <w:uiPriority w:val="30"/>
    <w:qFormat/>
    <w:rsid w:val="00B52E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2E87"/>
    <w:rPr>
      <w:i/>
      <w:iCs/>
      <w:color w:val="0F4761" w:themeColor="accent1" w:themeShade="BF"/>
    </w:rPr>
  </w:style>
  <w:style w:type="character" w:styleId="IntenseReference">
    <w:name w:val="Intense Reference"/>
    <w:basedOn w:val="DefaultParagraphFont"/>
    <w:uiPriority w:val="32"/>
    <w:qFormat/>
    <w:rsid w:val="00B52E8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205</TotalTime>
  <Pages>1</Pages>
  <Words>1609</Words>
  <Characters>9173</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Óscar Eduardo Rocha Mora</dc:creator>
  <cp:keywords/>
  <dc:description/>
  <cp:lastModifiedBy>Óscar Eduardo Rocha Mora</cp:lastModifiedBy>
  <cp:revision>5</cp:revision>
  <dcterms:created xsi:type="dcterms:W3CDTF">2026-03-14T23:38:00Z</dcterms:created>
  <dcterms:modified xsi:type="dcterms:W3CDTF">2026-03-29T00:20:00Z</dcterms:modified>
</cp:coreProperties>
</file>