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F0FD" w14:textId="75D07E18" w:rsidR="00A06DD7" w:rsidRPr="00A06DD7" w:rsidRDefault="00A06DD7" w:rsidP="00A06DD7">
      <w:pPr>
        <w:pStyle w:val="ListParagraph"/>
        <w:numPr>
          <w:ilvl w:val="0"/>
          <w:numId w:val="7"/>
        </w:numPr>
        <w:rPr>
          <w:b/>
          <w:bCs/>
          <w:lang w:val="es-CR"/>
        </w:rPr>
      </w:pPr>
      <w:r w:rsidRPr="00A06DD7">
        <w:rPr>
          <w:b/>
          <w:bCs/>
          <w:lang w:val="es-CR"/>
        </w:rPr>
        <w:t>Marco conceptual del riesgo de crédito</w:t>
      </w:r>
    </w:p>
    <w:p w14:paraId="43060B9C" w14:textId="77777777" w:rsidR="00A06DD7" w:rsidRDefault="00A06DD7" w:rsidP="00A06DD7">
      <w:pPr>
        <w:rPr>
          <w:lang w:val="es-CR"/>
        </w:rPr>
      </w:pPr>
      <w:r w:rsidRPr="00A06DD7">
        <w:rPr>
          <w:lang w:val="es-CR"/>
        </w:rPr>
        <w:t>Definición de riesgo de crédito.</w:t>
      </w:r>
    </w:p>
    <w:p w14:paraId="1D77EDD5" w14:textId="32640AFB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Componentes del riesgo de crédito:</w:t>
      </w:r>
    </w:p>
    <w:p w14:paraId="1CEBB5C2" w14:textId="77777777" w:rsidR="00A06DD7" w:rsidRPr="00A06DD7" w:rsidRDefault="00A06DD7" w:rsidP="00A06DD7">
      <w:pPr>
        <w:ind w:firstLine="720"/>
      </w:pPr>
      <w:r w:rsidRPr="00A06DD7">
        <w:t>Probabilidad de Incumplimiento (PD).</w:t>
      </w:r>
    </w:p>
    <w:p w14:paraId="19A8A1DB" w14:textId="77777777" w:rsidR="00A06DD7" w:rsidRPr="00A06DD7" w:rsidRDefault="00A06DD7" w:rsidP="00A06DD7">
      <w:pPr>
        <w:ind w:firstLine="720"/>
        <w:rPr>
          <w:lang w:val="es-CR"/>
        </w:rPr>
      </w:pPr>
      <w:r w:rsidRPr="00A06DD7">
        <w:rPr>
          <w:lang w:val="es-CR"/>
        </w:rPr>
        <w:t>Pérdida Dada el Incumplimiento (LGD).</w:t>
      </w:r>
    </w:p>
    <w:p w14:paraId="755601E2" w14:textId="77777777" w:rsidR="00A06DD7" w:rsidRPr="00A06DD7" w:rsidRDefault="00A06DD7" w:rsidP="00A06DD7">
      <w:pPr>
        <w:ind w:firstLine="720"/>
      </w:pPr>
      <w:r w:rsidRPr="00A06DD7">
        <w:t>Exposición al Incumplimiento (EAD).</w:t>
      </w:r>
    </w:p>
    <w:p w14:paraId="7F932532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Importancia del monitoreo continuo del riesgo.</w:t>
      </w:r>
    </w:p>
    <w:p w14:paraId="6F8923B4" w14:textId="77777777" w:rsidR="00A06DD7" w:rsidRDefault="00A06DD7" w:rsidP="00A06DD7">
      <w:pPr>
        <w:rPr>
          <w:b/>
          <w:bCs/>
          <w:lang w:val="es-CR"/>
        </w:rPr>
      </w:pPr>
      <w:r w:rsidRPr="00A06DD7">
        <w:rPr>
          <w:b/>
          <w:bCs/>
          <w:lang w:val="es-CR"/>
        </w:rPr>
        <w:t>Relación:</w:t>
      </w:r>
      <w:r w:rsidRPr="00A06DD7">
        <w:rPr>
          <w:lang w:val="es-CR"/>
        </w:rPr>
        <w:t xml:space="preserve"> establece la base teórica del trabajo y conecta con los modelos de riesgo vistos en el curso.</w:t>
      </w:r>
      <w:r w:rsidRPr="00A06DD7">
        <w:rPr>
          <w:b/>
          <w:bCs/>
          <w:lang w:val="es-CR"/>
        </w:rPr>
        <w:t xml:space="preserve"> </w:t>
      </w:r>
    </w:p>
    <w:p w14:paraId="16BEC82E" w14:textId="1648AB48" w:rsidR="00A06DD7" w:rsidRPr="00A06DD7" w:rsidRDefault="00A06DD7" w:rsidP="00A06DD7">
      <w:pPr>
        <w:pStyle w:val="ListParagraph"/>
        <w:numPr>
          <w:ilvl w:val="0"/>
          <w:numId w:val="7"/>
        </w:numPr>
        <w:rPr>
          <w:lang w:val="es-CR"/>
        </w:rPr>
      </w:pPr>
      <w:r w:rsidRPr="00A06DD7">
        <w:rPr>
          <w:b/>
          <w:bCs/>
          <w:lang w:val="es-CR"/>
        </w:rPr>
        <w:t>Marco regulatorio y gestión del riesgo de crédito</w:t>
      </w:r>
    </w:p>
    <w:p w14:paraId="3012576A" w14:textId="77777777" w:rsidR="00A06DD7" w:rsidRPr="00A06DD7" w:rsidRDefault="00A06DD7" w:rsidP="00A06DD7">
      <w:pPr>
        <w:ind w:left="360"/>
        <w:rPr>
          <w:lang w:val="es-CR"/>
        </w:rPr>
      </w:pPr>
      <w:r w:rsidRPr="00A06DD7">
        <w:rPr>
          <w:lang w:val="es-CR"/>
        </w:rPr>
        <w:t>Principios de gestión del riesgo de crédito bajo Basilea.</w:t>
      </w:r>
    </w:p>
    <w:p w14:paraId="4AB05B05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Importancia de los sistemas de alerta temprana.</w:t>
      </w:r>
    </w:p>
    <w:p w14:paraId="6AA09CAA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Enfoque preventivo vs. reactivo en la gestión del riesgo.</w:t>
      </w:r>
    </w:p>
    <w:p w14:paraId="0F8A7B00" w14:textId="77777777" w:rsidR="00A06DD7" w:rsidRDefault="00A06DD7" w:rsidP="00A06DD7">
      <w:pPr>
        <w:rPr>
          <w:lang w:val="es-CR"/>
        </w:rPr>
      </w:pPr>
      <w:r w:rsidRPr="00A06DD7">
        <w:rPr>
          <w:b/>
          <w:bCs/>
          <w:lang w:val="es-CR"/>
        </w:rPr>
        <w:t>Relación:</w:t>
      </w:r>
      <w:r w:rsidRPr="00A06DD7">
        <w:rPr>
          <w:lang w:val="es-CR"/>
        </w:rPr>
        <w:t xml:space="preserve"> conecta el análisis con el marco regulatorio estudiado en el curso y la gestión prudencial del riesgo.</w:t>
      </w:r>
    </w:p>
    <w:p w14:paraId="41D9A670" w14:textId="10512F4B" w:rsidR="00A06DD7" w:rsidRPr="00A06DD7" w:rsidRDefault="00A06DD7" w:rsidP="00A06DD7">
      <w:pPr>
        <w:pStyle w:val="ListParagraph"/>
        <w:numPr>
          <w:ilvl w:val="0"/>
          <w:numId w:val="7"/>
        </w:numPr>
        <w:rPr>
          <w:lang w:val="es-CR"/>
        </w:rPr>
      </w:pPr>
      <w:r w:rsidRPr="00A06DD7">
        <w:rPr>
          <w:b/>
          <w:bCs/>
          <w:lang w:val="es-CR"/>
        </w:rPr>
        <w:t>Indicadores financieros como señales tempranas de deterioro</w:t>
      </w:r>
    </w:p>
    <w:p w14:paraId="55D2FCD0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Análisis de estados financieros.</w:t>
      </w:r>
    </w:p>
    <w:p w14:paraId="1A39A782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Principales ratios:</w:t>
      </w:r>
    </w:p>
    <w:p w14:paraId="30DBE7F1" w14:textId="77777777" w:rsidR="00A06DD7" w:rsidRPr="00A06DD7" w:rsidRDefault="00A06DD7" w:rsidP="00A06DD7">
      <w:pPr>
        <w:ind w:firstLine="720"/>
        <w:rPr>
          <w:lang w:val="es-CR"/>
        </w:rPr>
      </w:pPr>
      <w:r w:rsidRPr="00A06DD7">
        <w:rPr>
          <w:lang w:val="es-CR"/>
        </w:rPr>
        <w:t>Liquidez.</w:t>
      </w:r>
    </w:p>
    <w:p w14:paraId="7F5DC77D" w14:textId="77777777" w:rsidR="00A06DD7" w:rsidRPr="00A06DD7" w:rsidRDefault="00A06DD7" w:rsidP="00A06DD7">
      <w:pPr>
        <w:ind w:firstLine="720"/>
        <w:rPr>
          <w:lang w:val="es-CR"/>
        </w:rPr>
      </w:pPr>
      <w:r w:rsidRPr="00A06DD7">
        <w:rPr>
          <w:lang w:val="es-CR"/>
        </w:rPr>
        <w:t>Apalancamiento.</w:t>
      </w:r>
    </w:p>
    <w:p w14:paraId="4BBAF66D" w14:textId="77777777" w:rsidR="00A06DD7" w:rsidRPr="00A06DD7" w:rsidRDefault="00A06DD7" w:rsidP="00A06DD7">
      <w:pPr>
        <w:ind w:firstLine="720"/>
        <w:rPr>
          <w:lang w:val="es-CR"/>
        </w:rPr>
      </w:pPr>
      <w:r w:rsidRPr="00A06DD7">
        <w:rPr>
          <w:lang w:val="es-CR"/>
        </w:rPr>
        <w:t>Cobertura de intereses.</w:t>
      </w:r>
    </w:p>
    <w:p w14:paraId="5E8CA2B7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Rentabilidad.</w:t>
      </w:r>
    </w:p>
    <w:p w14:paraId="544B2EA1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Aplicación de modelos agregados:</w:t>
      </w:r>
    </w:p>
    <w:p w14:paraId="6348C2C2" w14:textId="77777777" w:rsidR="00A06DD7" w:rsidRPr="00A06DD7" w:rsidRDefault="00A06DD7" w:rsidP="00A06DD7">
      <w:pPr>
        <w:ind w:firstLine="360"/>
        <w:rPr>
          <w:lang w:val="es-CR"/>
        </w:rPr>
      </w:pPr>
      <w:r w:rsidRPr="00A06DD7">
        <w:rPr>
          <w:lang w:val="es-CR"/>
        </w:rPr>
        <w:t>Altman Z-Score.</w:t>
      </w:r>
    </w:p>
    <w:p w14:paraId="7964785F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Tendencias financieras como indicadores de incremento en la PD.</w:t>
      </w:r>
    </w:p>
    <w:p w14:paraId="00EB5F33" w14:textId="51936F48" w:rsidR="00A06DD7" w:rsidRPr="00A06DD7" w:rsidRDefault="00A06DD7" w:rsidP="00A06DD7">
      <w:pPr>
        <w:rPr>
          <w:lang w:val="es-CR"/>
        </w:rPr>
      </w:pPr>
      <w:r w:rsidRPr="00A06DD7">
        <w:rPr>
          <w:b/>
          <w:bCs/>
          <w:lang w:val="es-CR"/>
        </w:rPr>
        <w:t>Relación:</w:t>
      </w:r>
      <w:r w:rsidRPr="00A06DD7">
        <w:rPr>
          <w:lang w:val="es-CR"/>
        </w:rPr>
        <w:t xml:space="preserve"> aplica las herramientas de análisis financiero vistas en el curso para evaluar el riesgo crediticio.</w:t>
      </w:r>
    </w:p>
    <w:p w14:paraId="60AFE3EB" w14:textId="606D8A75" w:rsidR="00A06DD7" w:rsidRPr="00A06DD7" w:rsidRDefault="00A06DD7" w:rsidP="00A06DD7">
      <w:pPr>
        <w:pStyle w:val="ListParagraph"/>
        <w:numPr>
          <w:ilvl w:val="0"/>
          <w:numId w:val="7"/>
        </w:numPr>
        <w:rPr>
          <w:b/>
          <w:bCs/>
        </w:rPr>
      </w:pPr>
      <w:r w:rsidRPr="00A06DD7">
        <w:rPr>
          <w:b/>
          <w:bCs/>
        </w:rPr>
        <w:lastRenderedPageBreak/>
        <w:t>Indicadores de comportamiento crediticio</w:t>
      </w:r>
    </w:p>
    <w:p w14:paraId="56C797A5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Concepto de variables conductuales en la gestión del riesgo.</w:t>
      </w:r>
    </w:p>
    <w:p w14:paraId="4211821D" w14:textId="3ECE84AD" w:rsidR="00A06DD7" w:rsidRPr="00A06DD7" w:rsidRDefault="00A06DD7" w:rsidP="00A06DD7">
      <w:r>
        <w:t>I</w:t>
      </w:r>
      <w:r w:rsidRPr="00A06DD7">
        <w:t>ndicadores relevantes:</w:t>
      </w:r>
    </w:p>
    <w:p w14:paraId="34B95EF7" w14:textId="77777777" w:rsidR="00A06DD7" w:rsidRPr="00A06DD7" w:rsidRDefault="00A06DD7" w:rsidP="00A06DD7">
      <w:pPr>
        <w:ind w:firstLine="720"/>
      </w:pPr>
      <w:r w:rsidRPr="00A06DD7">
        <w:t>Días de atraso.</w:t>
      </w:r>
    </w:p>
    <w:p w14:paraId="467CE7B2" w14:textId="77777777" w:rsidR="00A06DD7" w:rsidRPr="00A06DD7" w:rsidRDefault="00A06DD7" w:rsidP="00A06DD7">
      <w:pPr>
        <w:ind w:firstLine="720"/>
        <w:rPr>
          <w:lang w:val="es-CR"/>
        </w:rPr>
      </w:pPr>
      <w:r w:rsidRPr="00A06DD7">
        <w:rPr>
          <w:lang w:val="es-CR"/>
        </w:rPr>
        <w:t>Utilización de límites de crédito.</w:t>
      </w:r>
    </w:p>
    <w:p w14:paraId="7BD523AF" w14:textId="77777777" w:rsidR="00A06DD7" w:rsidRDefault="00A06DD7" w:rsidP="00A06DD7">
      <w:pPr>
        <w:ind w:firstLine="720"/>
        <w:rPr>
          <w:lang w:val="es-CR"/>
        </w:rPr>
      </w:pPr>
      <w:r w:rsidRPr="00A06DD7">
        <w:rPr>
          <w:lang w:val="es-CR"/>
        </w:rPr>
        <w:t>Cambios en patrones de pago.</w:t>
      </w:r>
    </w:p>
    <w:p w14:paraId="3F3B452E" w14:textId="7CF5C6B6" w:rsidR="00A06DD7" w:rsidRPr="00A06DD7" w:rsidRDefault="00A06DD7" w:rsidP="00A06DD7">
      <w:pPr>
        <w:ind w:firstLine="720"/>
        <w:rPr>
          <w:lang w:val="es-CR"/>
        </w:rPr>
      </w:pPr>
      <w:r w:rsidRPr="00A06DD7">
        <w:rPr>
          <w:lang w:val="es-CR"/>
        </w:rPr>
        <w:t>Solicitudes frecuentes de aumento de crédito.</w:t>
      </w:r>
    </w:p>
    <w:p w14:paraId="5FD9D205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Interpretación de estas señales como aumento potencial de la PD.</w:t>
      </w:r>
    </w:p>
    <w:p w14:paraId="385A41F9" w14:textId="79FC3779" w:rsidR="00A06DD7" w:rsidRPr="00A06DD7" w:rsidRDefault="00A06DD7" w:rsidP="00A06DD7">
      <w:pPr>
        <w:rPr>
          <w:lang w:val="es-CR"/>
        </w:rPr>
      </w:pPr>
      <w:r w:rsidRPr="00A06DD7">
        <w:rPr>
          <w:b/>
          <w:bCs/>
          <w:lang w:val="es-CR"/>
        </w:rPr>
        <w:t>Relación:</w:t>
      </w:r>
      <w:r w:rsidRPr="00A06DD7">
        <w:rPr>
          <w:lang w:val="es-CR"/>
        </w:rPr>
        <w:t xml:space="preserve"> vincula el análisis financiero con la práctica real de gestión de carteras y monitoreo continuo del riesgo.</w:t>
      </w:r>
    </w:p>
    <w:p w14:paraId="79A1C80B" w14:textId="34DD39FE" w:rsidR="00A06DD7" w:rsidRPr="00A06DD7" w:rsidRDefault="00A06DD7" w:rsidP="00A06DD7">
      <w:pPr>
        <w:pStyle w:val="ListParagraph"/>
        <w:numPr>
          <w:ilvl w:val="0"/>
          <w:numId w:val="7"/>
        </w:numPr>
        <w:rPr>
          <w:b/>
          <w:bCs/>
          <w:lang w:val="es-CR"/>
        </w:rPr>
      </w:pPr>
      <w:r w:rsidRPr="00A06DD7">
        <w:rPr>
          <w:b/>
          <w:bCs/>
          <w:lang w:val="es-CR"/>
        </w:rPr>
        <w:t>Integración de indicadores en un esquema de alerta temprana</w:t>
      </w:r>
    </w:p>
    <w:p w14:paraId="4E843EFD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Relación entre indicadores financieros y conductuales.</w:t>
      </w:r>
    </w:p>
    <w:p w14:paraId="42714674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Cómo estas variables pueden actuar como señales adelantadas.</w:t>
      </w:r>
    </w:p>
    <w:p w14:paraId="0EA8A21E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Uso de estas señales para:</w:t>
      </w:r>
    </w:p>
    <w:p w14:paraId="7660016F" w14:textId="77777777" w:rsidR="00A06DD7" w:rsidRPr="00A06DD7" w:rsidRDefault="00A06DD7" w:rsidP="00A06DD7">
      <w:pPr>
        <w:ind w:firstLine="720"/>
        <w:rPr>
          <w:lang w:val="es-CR"/>
        </w:rPr>
      </w:pPr>
      <w:r w:rsidRPr="00A06DD7">
        <w:rPr>
          <w:lang w:val="es-CR"/>
        </w:rPr>
        <w:t>Ajuste de límites de crédito.</w:t>
      </w:r>
    </w:p>
    <w:p w14:paraId="5C23E36D" w14:textId="77777777" w:rsidR="00A06DD7" w:rsidRPr="00A06DD7" w:rsidRDefault="00A06DD7" w:rsidP="00A06DD7">
      <w:pPr>
        <w:ind w:firstLine="720"/>
        <w:rPr>
          <w:lang w:val="es-CR"/>
        </w:rPr>
      </w:pPr>
      <w:r w:rsidRPr="00A06DD7">
        <w:rPr>
          <w:lang w:val="es-CR"/>
        </w:rPr>
        <w:t>Solicitud de mitigantes.</w:t>
      </w:r>
    </w:p>
    <w:p w14:paraId="67D8C036" w14:textId="77777777" w:rsidR="00A06DD7" w:rsidRPr="00A06DD7" w:rsidRDefault="00A06DD7" w:rsidP="00A06DD7">
      <w:pPr>
        <w:ind w:firstLine="720"/>
        <w:rPr>
          <w:lang w:val="es-CR"/>
        </w:rPr>
      </w:pPr>
      <w:r w:rsidRPr="00A06DD7">
        <w:rPr>
          <w:lang w:val="es-CR"/>
        </w:rPr>
        <w:t>Revisión de condiciones crediticias.</w:t>
      </w:r>
    </w:p>
    <w:p w14:paraId="0152BBE0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Conexión con modelos internos de estimación de PD.</w:t>
      </w:r>
    </w:p>
    <w:p w14:paraId="7C4BC189" w14:textId="7C190D1F" w:rsidR="00A06DD7" w:rsidRPr="00A06DD7" w:rsidRDefault="00A06DD7" w:rsidP="00A06DD7">
      <w:pPr>
        <w:rPr>
          <w:lang w:val="es-CR"/>
        </w:rPr>
      </w:pPr>
      <w:r w:rsidRPr="00A06DD7">
        <w:rPr>
          <w:b/>
          <w:bCs/>
          <w:lang w:val="es-CR"/>
        </w:rPr>
        <w:t>Relación:</w:t>
      </w:r>
      <w:r w:rsidRPr="00A06DD7">
        <w:rPr>
          <w:lang w:val="es-CR"/>
        </w:rPr>
        <w:t xml:space="preserve"> integra los conceptos de medición, monitoreo y gestión del riesgo de crédito vistos a lo largo del curso.</w:t>
      </w:r>
    </w:p>
    <w:p w14:paraId="014CB28A" w14:textId="73CBBD24" w:rsidR="00A06DD7" w:rsidRPr="00A06DD7" w:rsidRDefault="00A06DD7" w:rsidP="00A06DD7">
      <w:pPr>
        <w:pStyle w:val="ListParagraph"/>
        <w:numPr>
          <w:ilvl w:val="0"/>
          <w:numId w:val="7"/>
        </w:numPr>
        <w:rPr>
          <w:b/>
          <w:bCs/>
          <w:lang w:val="es-CR"/>
        </w:rPr>
      </w:pPr>
      <w:r w:rsidRPr="00A06DD7">
        <w:rPr>
          <w:b/>
          <w:bCs/>
          <w:lang w:val="es-CR"/>
        </w:rPr>
        <w:t>Aplicación práctica a un caso de empresa pública</w:t>
      </w:r>
    </w:p>
    <w:p w14:paraId="7669FEB8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Selección de una empresa con información financiera pública.</w:t>
      </w:r>
    </w:p>
    <w:p w14:paraId="5B5DC796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Aplicación del template de análisis financiero.</w:t>
      </w:r>
    </w:p>
    <w:p w14:paraId="37BEBCB4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Evaluación de ratios y señales de deterioro.</w:t>
      </w:r>
    </w:p>
    <w:p w14:paraId="2B5A1EDB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Interpretación desde la perspectiva de riesgo de crédito.</w:t>
      </w:r>
    </w:p>
    <w:p w14:paraId="3B5E8CC1" w14:textId="77777777" w:rsidR="00A06DD7" w:rsidRPr="00A06DD7" w:rsidRDefault="00A06DD7" w:rsidP="00A06DD7">
      <w:pPr>
        <w:rPr>
          <w:lang w:val="es-CR"/>
        </w:rPr>
      </w:pPr>
      <w:r w:rsidRPr="00A06DD7">
        <w:rPr>
          <w:lang w:val="es-CR"/>
        </w:rPr>
        <w:t>Propuesta de acciones de gestión del riesgo.</w:t>
      </w:r>
    </w:p>
    <w:p w14:paraId="354A8FBF" w14:textId="77777777" w:rsidR="00A06DD7" w:rsidRPr="00A06DD7" w:rsidRDefault="00A06DD7" w:rsidP="00A06DD7">
      <w:pPr>
        <w:rPr>
          <w:lang w:val="es-CR"/>
        </w:rPr>
      </w:pPr>
      <w:r w:rsidRPr="00A06DD7">
        <w:rPr>
          <w:b/>
          <w:bCs/>
          <w:lang w:val="es-CR"/>
        </w:rPr>
        <w:lastRenderedPageBreak/>
        <w:t>Relación:</w:t>
      </w:r>
      <w:r w:rsidRPr="00A06DD7">
        <w:rPr>
          <w:lang w:val="es-CR"/>
        </w:rPr>
        <w:t xml:space="preserve"> aplicación práctica de los conceptos del curso a un caso real, combinando teoría, análisis financiero y gestión del riesgo.</w:t>
      </w:r>
    </w:p>
    <w:p w14:paraId="271FDC6B" w14:textId="42BED2C0" w:rsidR="00B440F1" w:rsidRDefault="00A06DD7">
      <w:pPr>
        <w:rPr>
          <w:lang w:val="es-CR"/>
        </w:rPr>
      </w:pPr>
      <w:r>
        <w:rPr>
          <w:lang w:val="es-CR"/>
        </w:rPr>
        <w:t>La capacidad de compra en función del negocio. Relacionarlos a un banco, una empresa con relación del negocio.</w:t>
      </w:r>
    </w:p>
    <w:p w14:paraId="1C5D472E" w14:textId="1FF96CA1" w:rsidR="00A06DD7" w:rsidRDefault="00A06DD7">
      <w:pPr>
        <w:rPr>
          <w:lang w:val="es-CR"/>
        </w:rPr>
      </w:pPr>
      <w:r>
        <w:rPr>
          <w:lang w:val="es-CR"/>
        </w:rPr>
        <w:t>Cuál es el riesgo relevante? Y cómo lo gestionaría? Identificarlo, mitigarlo, controlarlo.</w:t>
      </w:r>
      <w:r w:rsidR="00707604">
        <w:rPr>
          <w:lang w:val="es-CR"/>
        </w:rPr>
        <w:t xml:space="preserve"> Insumo de medición de esa información financiera. El rating. Todo el tema de las métricas, colocado en un marco de gobernanza.</w:t>
      </w:r>
    </w:p>
    <w:p w14:paraId="3449AF24" w14:textId="78BAA430" w:rsidR="00A06DD7" w:rsidRDefault="00A06DD7">
      <w:pPr>
        <w:rPr>
          <w:lang w:val="es-CR"/>
        </w:rPr>
      </w:pPr>
      <w:r>
        <w:rPr>
          <w:lang w:val="es-CR"/>
        </w:rPr>
        <w:t>Sería crear una política de crédito ficticia. Un apetito, una tolera, una capacidad.</w:t>
      </w:r>
    </w:p>
    <w:p w14:paraId="5F691877" w14:textId="1ED70C73" w:rsidR="00A06DD7" w:rsidRDefault="00A06DD7">
      <w:pPr>
        <w:rPr>
          <w:lang w:val="es-CR"/>
        </w:rPr>
      </w:pPr>
      <w:r>
        <w:rPr>
          <w:lang w:val="es-CR"/>
        </w:rPr>
        <w:t>Hacer un recorrido de los temas del proceso de gestión de riesgos.</w:t>
      </w:r>
    </w:p>
    <w:p w14:paraId="053870CF" w14:textId="1D5912D7" w:rsidR="00A77090" w:rsidRDefault="00A77090">
      <w:pPr>
        <w:rPr>
          <w:lang w:val="es-CR"/>
        </w:rPr>
      </w:pPr>
      <w:r w:rsidRPr="00A77090">
        <w:rPr>
          <w:lang w:val="es-CR"/>
        </w:rPr>
        <w:drawing>
          <wp:inline distT="0" distB="0" distL="0" distR="0" wp14:anchorId="7D347F52" wp14:editId="517A4CC9">
            <wp:extent cx="5943600" cy="4718050"/>
            <wp:effectExtent l="0" t="0" r="0" b="6350"/>
            <wp:docPr id="4099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6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325C" w14:textId="77777777" w:rsidR="00A06DD7" w:rsidRPr="00A06DD7" w:rsidRDefault="00A06DD7">
      <w:pPr>
        <w:rPr>
          <w:lang w:val="es-CR"/>
        </w:rPr>
      </w:pPr>
    </w:p>
    <w:sectPr w:rsidR="00A06DD7" w:rsidRPr="00A06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300F"/>
    <w:multiLevelType w:val="multilevel"/>
    <w:tmpl w:val="B474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70B38"/>
    <w:multiLevelType w:val="multilevel"/>
    <w:tmpl w:val="1EA4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14958"/>
    <w:multiLevelType w:val="multilevel"/>
    <w:tmpl w:val="D286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30EA2"/>
    <w:multiLevelType w:val="multilevel"/>
    <w:tmpl w:val="3EE4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6745F"/>
    <w:multiLevelType w:val="multilevel"/>
    <w:tmpl w:val="503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D70C0"/>
    <w:multiLevelType w:val="hybridMultilevel"/>
    <w:tmpl w:val="96EA061C"/>
    <w:lvl w:ilvl="0" w:tplc="DA069A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790EC4"/>
    <w:multiLevelType w:val="multilevel"/>
    <w:tmpl w:val="5D72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735752">
    <w:abstractNumId w:val="4"/>
  </w:num>
  <w:num w:numId="2" w16cid:durableId="39789826">
    <w:abstractNumId w:val="2"/>
  </w:num>
  <w:num w:numId="3" w16cid:durableId="800727602">
    <w:abstractNumId w:val="0"/>
  </w:num>
  <w:num w:numId="4" w16cid:durableId="623852502">
    <w:abstractNumId w:val="1"/>
  </w:num>
  <w:num w:numId="5" w16cid:durableId="1381398208">
    <w:abstractNumId w:val="3"/>
  </w:num>
  <w:num w:numId="6" w16cid:durableId="199053710">
    <w:abstractNumId w:val="6"/>
  </w:num>
  <w:num w:numId="7" w16cid:durableId="813453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D7"/>
    <w:rsid w:val="004A3149"/>
    <w:rsid w:val="006E44AB"/>
    <w:rsid w:val="00707604"/>
    <w:rsid w:val="007B1A65"/>
    <w:rsid w:val="00A06DD7"/>
    <w:rsid w:val="00A77090"/>
    <w:rsid w:val="00B440F1"/>
    <w:rsid w:val="00C0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7F50A"/>
  <w15:chartTrackingRefBased/>
  <w15:docId w15:val="{DD41EADE-6A34-4F1B-A3C0-5CEC3B78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Eduardo Rocha Mora</dc:creator>
  <cp:keywords/>
  <dc:description/>
  <cp:lastModifiedBy>Óscar Eduardo Rocha Mora</cp:lastModifiedBy>
  <cp:revision>3</cp:revision>
  <dcterms:created xsi:type="dcterms:W3CDTF">2026-02-12T02:57:00Z</dcterms:created>
  <dcterms:modified xsi:type="dcterms:W3CDTF">2026-03-05T00:18:00Z</dcterms:modified>
</cp:coreProperties>
</file>