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A2302" w14:textId="77777777" w:rsidR="000D300B" w:rsidRPr="000D300B" w:rsidRDefault="000D300B" w:rsidP="000D300B">
      <w:pPr>
        <w:spacing w:line="360" w:lineRule="auto"/>
        <w:jc w:val="center"/>
        <w:rPr>
          <w:rFonts w:ascii="Times New Roman" w:eastAsia="Aptos" w:hAnsi="Times New Roman" w:cs="Times New Roman"/>
          <w:i/>
          <w:iCs/>
          <w:lang w:val="es-CR"/>
        </w:rPr>
      </w:pPr>
      <w:r w:rsidRPr="000D300B">
        <w:rPr>
          <w:rFonts w:ascii="Times New Roman" w:eastAsia="Aptos" w:hAnsi="Times New Roman" w:cs="Times New Roman"/>
          <w:i/>
          <w:iCs/>
          <w:lang w:val="es-CR"/>
        </w:rPr>
        <w:t>Universidad de Costa Rica</w:t>
      </w:r>
    </w:p>
    <w:p w14:paraId="633E04FA" w14:textId="77777777" w:rsidR="000D300B" w:rsidRPr="000D300B" w:rsidRDefault="000D300B" w:rsidP="000D300B">
      <w:pPr>
        <w:spacing w:line="360" w:lineRule="auto"/>
        <w:jc w:val="center"/>
        <w:rPr>
          <w:rFonts w:ascii="Times New Roman" w:eastAsia="Aptos" w:hAnsi="Times New Roman" w:cs="Times New Roman"/>
          <w:i/>
          <w:iCs/>
          <w:lang w:val="es-CR"/>
        </w:rPr>
      </w:pPr>
      <w:r w:rsidRPr="000D300B">
        <w:rPr>
          <w:rFonts w:ascii="Times New Roman" w:eastAsia="Aptos" w:hAnsi="Times New Roman" w:cs="Times New Roman"/>
          <w:i/>
          <w:iCs/>
          <w:lang w:val="es-CR"/>
        </w:rPr>
        <w:t>Posgrado en Economía</w:t>
      </w:r>
    </w:p>
    <w:p w14:paraId="5D51D165" w14:textId="5C70030E" w:rsidR="000D300B" w:rsidRPr="000D300B" w:rsidRDefault="000D300B" w:rsidP="000D300B">
      <w:pPr>
        <w:spacing w:line="360" w:lineRule="auto"/>
        <w:jc w:val="center"/>
        <w:rPr>
          <w:rFonts w:ascii="Times New Roman" w:eastAsia="Aptos" w:hAnsi="Times New Roman" w:cs="Times New Roman"/>
          <w:i/>
          <w:iCs/>
          <w:lang w:val="es-CR"/>
        </w:rPr>
      </w:pPr>
      <w:r w:rsidRPr="000D300B">
        <w:rPr>
          <w:rFonts w:ascii="Times New Roman" w:eastAsia="Aptos" w:hAnsi="Times New Roman" w:cs="Times New Roman"/>
          <w:i/>
          <w:iCs/>
          <w:lang w:val="es-CR"/>
        </w:rPr>
        <w:t xml:space="preserve">Maestría Profesional en </w:t>
      </w:r>
      <w:r w:rsidR="004E7E3F">
        <w:rPr>
          <w:rFonts w:ascii="Times New Roman" w:eastAsia="Aptos" w:hAnsi="Times New Roman" w:cs="Times New Roman"/>
          <w:i/>
          <w:iCs/>
          <w:lang w:val="es-CR"/>
        </w:rPr>
        <w:t>Riesgo y Finanzas</w:t>
      </w:r>
    </w:p>
    <w:p w14:paraId="26DB0315" w14:textId="77777777" w:rsidR="000D300B" w:rsidRPr="000D300B" w:rsidRDefault="000D300B" w:rsidP="000D300B">
      <w:pPr>
        <w:spacing w:line="360" w:lineRule="auto"/>
        <w:jc w:val="center"/>
        <w:rPr>
          <w:rFonts w:ascii="Times New Roman" w:eastAsia="Aptos" w:hAnsi="Times New Roman" w:cs="Times New Roman"/>
          <w:i/>
          <w:iCs/>
          <w:lang w:val="es-CR"/>
        </w:rPr>
      </w:pPr>
    </w:p>
    <w:p w14:paraId="5EA4E066" w14:textId="77777777" w:rsidR="000D300B" w:rsidRPr="000D300B" w:rsidRDefault="000D300B" w:rsidP="000D300B">
      <w:pPr>
        <w:spacing w:line="360" w:lineRule="auto"/>
        <w:rPr>
          <w:rFonts w:ascii="Times New Roman" w:eastAsia="Aptos" w:hAnsi="Times New Roman" w:cs="Times New Roman"/>
          <w:i/>
          <w:iCs/>
          <w:lang w:val="es-CR"/>
        </w:rPr>
      </w:pPr>
    </w:p>
    <w:p w14:paraId="76418F8E" w14:textId="77777777" w:rsidR="000D300B" w:rsidRPr="000D300B" w:rsidRDefault="000D300B" w:rsidP="000D300B">
      <w:pPr>
        <w:spacing w:line="360" w:lineRule="auto"/>
        <w:jc w:val="center"/>
        <w:rPr>
          <w:rFonts w:ascii="Times New Roman" w:eastAsia="Aptos" w:hAnsi="Times New Roman" w:cs="Times New Roman"/>
          <w:i/>
          <w:iCs/>
          <w:lang w:val="es-CR"/>
        </w:rPr>
      </w:pPr>
    </w:p>
    <w:p w14:paraId="4C2D2702" w14:textId="77777777" w:rsidR="000D300B" w:rsidRPr="000D300B" w:rsidRDefault="000D300B" w:rsidP="000D300B">
      <w:pPr>
        <w:spacing w:line="360" w:lineRule="auto"/>
        <w:jc w:val="center"/>
        <w:rPr>
          <w:rFonts w:ascii="Times New Roman" w:eastAsia="Aptos" w:hAnsi="Times New Roman" w:cs="Times New Roman"/>
          <w:i/>
          <w:iCs/>
          <w:lang w:val="es-CR"/>
        </w:rPr>
      </w:pPr>
    </w:p>
    <w:p w14:paraId="759EFD82" w14:textId="77777777" w:rsidR="000D300B" w:rsidRPr="000D300B" w:rsidRDefault="000D300B" w:rsidP="000D300B">
      <w:pPr>
        <w:spacing w:line="360" w:lineRule="auto"/>
        <w:jc w:val="center"/>
        <w:rPr>
          <w:rFonts w:ascii="Times New Roman" w:eastAsia="Aptos" w:hAnsi="Times New Roman" w:cs="Times New Roman"/>
          <w:i/>
          <w:iCs/>
          <w:lang w:val="es-CR"/>
        </w:rPr>
      </w:pPr>
      <w:r w:rsidRPr="000D300B">
        <w:rPr>
          <w:rFonts w:ascii="Times New Roman" w:eastAsia="Aptos" w:hAnsi="Times New Roman" w:cs="Times New Roman"/>
          <w:i/>
          <w:iCs/>
          <w:lang w:val="es-CR"/>
        </w:rPr>
        <w:t>Investigación.</w:t>
      </w:r>
    </w:p>
    <w:p w14:paraId="4E4CFF05" w14:textId="7AE049B1" w:rsidR="000D300B" w:rsidRPr="000D300B" w:rsidRDefault="000D300B" w:rsidP="000D300B">
      <w:pPr>
        <w:spacing w:line="360" w:lineRule="auto"/>
        <w:jc w:val="center"/>
        <w:rPr>
          <w:rFonts w:ascii="Times New Roman" w:eastAsia="Aptos" w:hAnsi="Times New Roman" w:cs="Times New Roman"/>
          <w:i/>
          <w:iCs/>
          <w:lang w:val="es-CR"/>
        </w:rPr>
      </w:pPr>
      <w:r w:rsidRPr="000D300B">
        <w:rPr>
          <w:rFonts w:ascii="Times New Roman" w:eastAsia="Aptos" w:hAnsi="Times New Roman" w:cs="Times New Roman"/>
          <w:i/>
          <w:iCs/>
          <w:lang w:val="es-CR"/>
        </w:rPr>
        <w:t>Tema:</w:t>
      </w:r>
    </w:p>
    <w:p w14:paraId="2EC17244" w14:textId="4E495B84" w:rsidR="00E52ADB" w:rsidRDefault="00E52ADB" w:rsidP="000D300B">
      <w:pPr>
        <w:spacing w:line="360" w:lineRule="auto"/>
        <w:jc w:val="center"/>
        <w:rPr>
          <w:rFonts w:ascii="Times New Roman" w:eastAsia="Aptos" w:hAnsi="Times New Roman" w:cs="Times New Roman"/>
          <w:b/>
          <w:bCs/>
          <w:i/>
          <w:iCs/>
          <w:lang w:val="es-CR"/>
        </w:rPr>
      </w:pPr>
      <w:r w:rsidRPr="00E52ADB">
        <w:rPr>
          <w:rFonts w:ascii="Times New Roman" w:eastAsia="Aptos" w:hAnsi="Times New Roman" w:cs="Times New Roman"/>
          <w:b/>
          <w:bCs/>
          <w:i/>
          <w:iCs/>
          <w:lang w:val="es-CR"/>
        </w:rPr>
        <w:t>Evaluación del riesgo de crédito corporativo en la industria aeronáutica: análisis de la capacidad de pago de Delta Air Lines mediante indicadores financieros, calificación crediticia y políticas de gobernanza</w:t>
      </w:r>
      <w:r>
        <w:rPr>
          <w:rFonts w:ascii="Times New Roman" w:eastAsia="Aptos" w:hAnsi="Times New Roman" w:cs="Times New Roman"/>
          <w:b/>
          <w:bCs/>
          <w:i/>
          <w:iCs/>
          <w:lang w:val="es-CR"/>
        </w:rPr>
        <w:t>.</w:t>
      </w:r>
    </w:p>
    <w:p w14:paraId="5F9C8A24" w14:textId="2A5C3747" w:rsidR="000D300B" w:rsidRPr="000D300B" w:rsidRDefault="000D300B" w:rsidP="000D300B">
      <w:pPr>
        <w:spacing w:line="360" w:lineRule="auto"/>
        <w:jc w:val="center"/>
        <w:rPr>
          <w:rFonts w:ascii="Times New Roman" w:eastAsia="Aptos" w:hAnsi="Times New Roman" w:cs="Times New Roman"/>
          <w:i/>
          <w:iCs/>
          <w:lang w:val="es-CR"/>
        </w:rPr>
      </w:pPr>
      <w:r w:rsidRPr="000D300B">
        <w:rPr>
          <w:rFonts w:ascii="Times New Roman" w:eastAsia="Aptos" w:hAnsi="Times New Roman" w:cs="Times New Roman"/>
          <w:i/>
          <w:iCs/>
          <w:lang w:val="es-CR"/>
        </w:rPr>
        <w:t>Óscar Rocha Mora</w:t>
      </w:r>
    </w:p>
    <w:p w14:paraId="136C65DE" w14:textId="77777777" w:rsidR="000D300B" w:rsidRPr="000D300B" w:rsidRDefault="000D300B" w:rsidP="000D300B">
      <w:pPr>
        <w:spacing w:line="360" w:lineRule="auto"/>
        <w:jc w:val="center"/>
        <w:rPr>
          <w:rFonts w:ascii="Times New Roman" w:eastAsia="Aptos" w:hAnsi="Times New Roman" w:cs="Times New Roman"/>
          <w:i/>
          <w:iCs/>
          <w:lang w:val="es-CR"/>
        </w:rPr>
      </w:pPr>
    </w:p>
    <w:p w14:paraId="408CA082" w14:textId="77777777" w:rsidR="000D300B" w:rsidRPr="000D300B" w:rsidRDefault="000D300B" w:rsidP="000D300B">
      <w:pPr>
        <w:spacing w:line="360" w:lineRule="auto"/>
        <w:jc w:val="center"/>
        <w:rPr>
          <w:rFonts w:ascii="Times New Roman" w:eastAsia="Aptos" w:hAnsi="Times New Roman" w:cs="Times New Roman"/>
          <w:i/>
          <w:iCs/>
          <w:lang w:val="es-CR"/>
        </w:rPr>
      </w:pPr>
    </w:p>
    <w:p w14:paraId="6DF6712B" w14:textId="40B9EFCE" w:rsidR="000D300B" w:rsidRPr="000D300B" w:rsidRDefault="000D300B" w:rsidP="000D300B">
      <w:pPr>
        <w:spacing w:line="360" w:lineRule="auto"/>
        <w:jc w:val="center"/>
        <w:rPr>
          <w:rFonts w:ascii="Times New Roman" w:eastAsia="Aptos" w:hAnsi="Times New Roman" w:cs="Times New Roman"/>
          <w:i/>
          <w:iCs/>
          <w:lang w:val="es-CR"/>
        </w:rPr>
      </w:pPr>
      <w:r w:rsidRPr="000D300B">
        <w:rPr>
          <w:rFonts w:ascii="Times New Roman" w:eastAsia="Calibri" w:hAnsi="Times New Roman" w:cs="Times New Roman"/>
          <w:i/>
          <w:iCs/>
          <w:lang w:val="es-CR"/>
        </w:rPr>
        <w:t>Gestión de Riesgo de Crédito</w:t>
      </w:r>
      <w:r w:rsidRPr="000D300B">
        <w:rPr>
          <w:rFonts w:ascii="Times New Roman" w:eastAsia="Aptos" w:hAnsi="Times New Roman" w:cs="Times New Roman"/>
          <w:i/>
          <w:iCs/>
          <w:lang w:val="es-CR"/>
        </w:rPr>
        <w:cr/>
        <w:t>Profesor: Jenaro Segura Calderón</w:t>
      </w:r>
    </w:p>
    <w:p w14:paraId="22606593" w14:textId="77777777" w:rsidR="000D300B" w:rsidRDefault="000D300B" w:rsidP="000D300B">
      <w:pPr>
        <w:spacing w:line="360" w:lineRule="auto"/>
        <w:jc w:val="center"/>
        <w:rPr>
          <w:rFonts w:ascii="Times New Roman" w:eastAsia="Aptos" w:hAnsi="Times New Roman" w:cs="Times New Roman"/>
          <w:b/>
          <w:bCs/>
          <w:i/>
          <w:iCs/>
          <w:lang w:val="es-CR"/>
        </w:rPr>
      </w:pPr>
    </w:p>
    <w:p w14:paraId="24FB4222" w14:textId="77777777" w:rsidR="000D300B" w:rsidRDefault="000D300B" w:rsidP="000D300B">
      <w:pPr>
        <w:spacing w:line="360" w:lineRule="auto"/>
        <w:rPr>
          <w:rFonts w:ascii="Times New Roman" w:eastAsia="Aptos" w:hAnsi="Times New Roman" w:cs="Times New Roman"/>
          <w:b/>
          <w:bCs/>
          <w:i/>
          <w:iCs/>
          <w:lang w:val="es-CR"/>
        </w:rPr>
      </w:pPr>
    </w:p>
    <w:p w14:paraId="59E02DC1" w14:textId="77777777" w:rsidR="000D300B" w:rsidRDefault="000D300B" w:rsidP="000D300B">
      <w:pPr>
        <w:spacing w:line="360" w:lineRule="auto"/>
        <w:rPr>
          <w:rFonts w:ascii="Times New Roman" w:eastAsia="Aptos" w:hAnsi="Times New Roman" w:cs="Times New Roman"/>
          <w:b/>
          <w:bCs/>
          <w:i/>
          <w:iCs/>
          <w:lang w:val="es-CR"/>
        </w:rPr>
      </w:pPr>
    </w:p>
    <w:p w14:paraId="68640F86" w14:textId="77777777" w:rsidR="000D300B" w:rsidRDefault="000D300B" w:rsidP="000D300B">
      <w:pPr>
        <w:spacing w:line="360" w:lineRule="auto"/>
        <w:rPr>
          <w:rFonts w:ascii="Times New Roman" w:eastAsia="Aptos" w:hAnsi="Times New Roman" w:cs="Times New Roman"/>
          <w:b/>
          <w:bCs/>
          <w:i/>
          <w:iCs/>
          <w:lang w:val="es-CR"/>
        </w:rPr>
      </w:pPr>
    </w:p>
    <w:p w14:paraId="5CC5F34F" w14:textId="77777777" w:rsidR="000D300B" w:rsidRDefault="000D300B" w:rsidP="000D300B">
      <w:pPr>
        <w:spacing w:line="360" w:lineRule="auto"/>
        <w:jc w:val="center"/>
        <w:rPr>
          <w:rFonts w:ascii="Times New Roman" w:eastAsia="Aptos" w:hAnsi="Times New Roman" w:cs="Times New Roman"/>
          <w:b/>
          <w:bCs/>
          <w:i/>
          <w:iCs/>
          <w:lang w:val="es-CR"/>
        </w:rPr>
      </w:pPr>
      <w:r>
        <w:rPr>
          <w:rFonts w:ascii="Times New Roman" w:eastAsia="Aptos" w:hAnsi="Times New Roman" w:cs="Times New Roman"/>
          <w:b/>
          <w:bCs/>
          <w:i/>
          <w:iCs/>
          <w:lang w:val="es-CR"/>
        </w:rPr>
        <w:t>I Cuatrimestre</w:t>
      </w:r>
    </w:p>
    <w:p w14:paraId="5624CD2B" w14:textId="662CB919" w:rsidR="000D300B" w:rsidRPr="00880215" w:rsidRDefault="000D300B" w:rsidP="000D300B">
      <w:pPr>
        <w:spacing w:line="360" w:lineRule="auto"/>
        <w:jc w:val="center"/>
        <w:rPr>
          <w:rFonts w:ascii="Times New Roman" w:eastAsia="Aptos" w:hAnsi="Times New Roman" w:cs="Times New Roman"/>
          <w:b/>
          <w:bCs/>
          <w:i/>
          <w:iCs/>
          <w:lang w:val="es-CR"/>
        </w:rPr>
      </w:pPr>
      <w:r>
        <w:rPr>
          <w:rFonts w:ascii="Times New Roman" w:eastAsia="Aptos" w:hAnsi="Times New Roman" w:cs="Times New Roman"/>
          <w:b/>
          <w:bCs/>
          <w:i/>
          <w:iCs/>
          <w:lang w:val="es-CR"/>
        </w:rPr>
        <w:t>2026</w:t>
      </w:r>
    </w:p>
    <w:sdt>
      <w:sdtPr>
        <w:rPr>
          <w:rFonts w:asciiTheme="minorHAnsi" w:eastAsiaTheme="minorHAnsi" w:hAnsiTheme="minorHAnsi" w:cstheme="minorBidi"/>
          <w:color w:val="auto"/>
          <w:kern w:val="2"/>
          <w:sz w:val="24"/>
          <w:szCs w:val="24"/>
          <w14:ligatures w14:val="standardContextual"/>
        </w:rPr>
        <w:id w:val="-146675074"/>
        <w:docPartObj>
          <w:docPartGallery w:val="Table of Contents"/>
          <w:docPartUnique/>
        </w:docPartObj>
      </w:sdtPr>
      <w:sdtEndPr>
        <w:rPr>
          <w:b/>
          <w:bCs/>
          <w:noProof/>
        </w:rPr>
      </w:sdtEndPr>
      <w:sdtContent>
        <w:p w14:paraId="4A60E518" w14:textId="36C6C7EA" w:rsidR="00827C1C" w:rsidRPr="00C40D56" w:rsidRDefault="00827C1C">
          <w:pPr>
            <w:pStyle w:val="TOCHeading"/>
            <w:rPr>
              <w:rFonts w:ascii="Times New Roman" w:hAnsi="Times New Roman" w:cs="Times New Roman"/>
              <w:b/>
              <w:bCs/>
              <w:color w:val="auto"/>
              <w:sz w:val="24"/>
              <w:szCs w:val="24"/>
            </w:rPr>
          </w:pPr>
          <w:r w:rsidRPr="00C40D56">
            <w:rPr>
              <w:rFonts w:ascii="Times New Roman" w:hAnsi="Times New Roman" w:cs="Times New Roman"/>
              <w:b/>
              <w:bCs/>
              <w:color w:val="auto"/>
              <w:sz w:val="24"/>
              <w:szCs w:val="24"/>
            </w:rPr>
            <w:t>Contents</w:t>
          </w:r>
        </w:p>
        <w:p w14:paraId="7BC139FA" w14:textId="46B96623" w:rsidR="00C40D56" w:rsidRPr="00C40D56" w:rsidRDefault="00827C1C">
          <w:pPr>
            <w:pStyle w:val="TOC1"/>
            <w:tabs>
              <w:tab w:val="left" w:pos="480"/>
              <w:tab w:val="right" w:leader="dot" w:pos="9350"/>
            </w:tabs>
            <w:rPr>
              <w:rFonts w:ascii="Times New Roman" w:eastAsiaTheme="minorEastAsia" w:hAnsi="Times New Roman" w:cs="Times New Roman"/>
              <w:b/>
              <w:bCs/>
              <w:noProof/>
            </w:rPr>
          </w:pPr>
          <w:r w:rsidRPr="00C40D56">
            <w:rPr>
              <w:rFonts w:ascii="Times New Roman" w:hAnsi="Times New Roman" w:cs="Times New Roman"/>
              <w:b/>
              <w:bCs/>
            </w:rPr>
            <w:fldChar w:fldCharType="begin"/>
          </w:r>
          <w:r w:rsidRPr="00C40D56">
            <w:rPr>
              <w:rFonts w:ascii="Times New Roman" w:hAnsi="Times New Roman" w:cs="Times New Roman"/>
              <w:b/>
              <w:bCs/>
            </w:rPr>
            <w:instrText xml:space="preserve"> TOC \o "1-3" \h \z \u </w:instrText>
          </w:r>
          <w:r w:rsidRPr="00C40D56">
            <w:rPr>
              <w:rFonts w:ascii="Times New Roman" w:hAnsi="Times New Roman" w:cs="Times New Roman"/>
              <w:b/>
              <w:bCs/>
            </w:rPr>
            <w:fldChar w:fldCharType="separate"/>
          </w:r>
          <w:hyperlink w:anchor="_Toc226530921" w:history="1">
            <w:r w:rsidR="00C40D56" w:rsidRPr="00C40D56">
              <w:rPr>
                <w:rStyle w:val="Hyperlink"/>
                <w:rFonts w:ascii="Times New Roman" w:hAnsi="Times New Roman" w:cs="Times New Roman"/>
                <w:b/>
                <w:bCs/>
                <w:noProof/>
                <w:lang w:val="es-CR"/>
              </w:rPr>
              <w:t>1.</w:t>
            </w:r>
            <w:r w:rsidR="00C40D56" w:rsidRPr="00C40D56">
              <w:rPr>
                <w:rFonts w:ascii="Times New Roman" w:eastAsiaTheme="minorEastAsia" w:hAnsi="Times New Roman" w:cs="Times New Roman"/>
                <w:b/>
                <w:bCs/>
                <w:noProof/>
              </w:rPr>
              <w:tab/>
            </w:r>
            <w:r w:rsidR="00C40D56" w:rsidRPr="00C40D56">
              <w:rPr>
                <w:rStyle w:val="Hyperlink"/>
                <w:rFonts w:ascii="Times New Roman" w:hAnsi="Times New Roman" w:cs="Times New Roman"/>
                <w:b/>
                <w:bCs/>
                <w:noProof/>
                <w:lang w:val="es-CR"/>
              </w:rPr>
              <w:t>Objetivo del trabajo</w:t>
            </w:r>
            <w:r w:rsidR="00C40D56" w:rsidRPr="00C40D56">
              <w:rPr>
                <w:rFonts w:ascii="Times New Roman" w:hAnsi="Times New Roman" w:cs="Times New Roman"/>
                <w:b/>
                <w:bCs/>
                <w:noProof/>
                <w:webHidden/>
              </w:rPr>
              <w:tab/>
            </w:r>
            <w:r w:rsidR="00C40D56" w:rsidRPr="00C40D56">
              <w:rPr>
                <w:rFonts w:ascii="Times New Roman" w:hAnsi="Times New Roman" w:cs="Times New Roman"/>
                <w:b/>
                <w:bCs/>
                <w:noProof/>
                <w:webHidden/>
              </w:rPr>
              <w:fldChar w:fldCharType="begin"/>
            </w:r>
            <w:r w:rsidR="00C40D56" w:rsidRPr="00C40D56">
              <w:rPr>
                <w:rFonts w:ascii="Times New Roman" w:hAnsi="Times New Roman" w:cs="Times New Roman"/>
                <w:b/>
                <w:bCs/>
                <w:noProof/>
                <w:webHidden/>
              </w:rPr>
              <w:instrText xml:space="preserve"> PAGEREF _Toc226530921 \h </w:instrText>
            </w:r>
            <w:r w:rsidR="00C40D56" w:rsidRPr="00C40D56">
              <w:rPr>
                <w:rFonts w:ascii="Times New Roman" w:hAnsi="Times New Roman" w:cs="Times New Roman"/>
                <w:b/>
                <w:bCs/>
                <w:noProof/>
                <w:webHidden/>
              </w:rPr>
            </w:r>
            <w:r w:rsidR="00C40D56" w:rsidRPr="00C40D56">
              <w:rPr>
                <w:rFonts w:ascii="Times New Roman" w:hAnsi="Times New Roman" w:cs="Times New Roman"/>
                <w:b/>
                <w:bCs/>
                <w:noProof/>
                <w:webHidden/>
              </w:rPr>
              <w:fldChar w:fldCharType="separate"/>
            </w:r>
            <w:r w:rsidR="00C40D56" w:rsidRPr="00C40D56">
              <w:rPr>
                <w:rFonts w:ascii="Times New Roman" w:hAnsi="Times New Roman" w:cs="Times New Roman"/>
                <w:b/>
                <w:bCs/>
                <w:noProof/>
                <w:webHidden/>
              </w:rPr>
              <w:t>3</w:t>
            </w:r>
            <w:r w:rsidR="00C40D56" w:rsidRPr="00C40D56">
              <w:rPr>
                <w:rFonts w:ascii="Times New Roman" w:hAnsi="Times New Roman" w:cs="Times New Roman"/>
                <w:b/>
                <w:bCs/>
                <w:noProof/>
                <w:webHidden/>
              </w:rPr>
              <w:fldChar w:fldCharType="end"/>
            </w:r>
          </w:hyperlink>
        </w:p>
        <w:p w14:paraId="3EDA1A1D" w14:textId="22D33F5F" w:rsidR="00C40D56" w:rsidRPr="00C40D56" w:rsidRDefault="00C40D56">
          <w:pPr>
            <w:pStyle w:val="TOC1"/>
            <w:tabs>
              <w:tab w:val="left" w:pos="480"/>
              <w:tab w:val="right" w:leader="dot" w:pos="9350"/>
            </w:tabs>
            <w:rPr>
              <w:rFonts w:ascii="Times New Roman" w:eastAsiaTheme="minorEastAsia" w:hAnsi="Times New Roman" w:cs="Times New Roman"/>
              <w:b/>
              <w:bCs/>
              <w:noProof/>
            </w:rPr>
          </w:pPr>
          <w:hyperlink w:anchor="_Toc226530922" w:history="1">
            <w:r w:rsidRPr="00C40D56">
              <w:rPr>
                <w:rStyle w:val="Hyperlink"/>
                <w:rFonts w:ascii="Times New Roman" w:hAnsi="Times New Roman" w:cs="Times New Roman"/>
                <w:b/>
                <w:bCs/>
                <w:noProof/>
                <w:lang w:val="es-CR"/>
              </w:rPr>
              <w:t>2.</w:t>
            </w:r>
            <w:r w:rsidRPr="00C40D56">
              <w:rPr>
                <w:rFonts w:ascii="Times New Roman" w:eastAsiaTheme="minorEastAsia" w:hAnsi="Times New Roman" w:cs="Times New Roman"/>
                <w:b/>
                <w:bCs/>
                <w:noProof/>
              </w:rPr>
              <w:tab/>
            </w:r>
            <w:r w:rsidRPr="00C40D56">
              <w:rPr>
                <w:rStyle w:val="Hyperlink"/>
                <w:rFonts w:ascii="Times New Roman" w:hAnsi="Times New Roman" w:cs="Times New Roman"/>
                <w:b/>
                <w:bCs/>
                <w:noProof/>
                <w:lang w:val="es-CR"/>
              </w:rPr>
              <w:t>Análisis de la industria, perfil y estrategia de la empresa</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_Toc226530922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3</w:t>
            </w:r>
            <w:r w:rsidRPr="00C40D56">
              <w:rPr>
                <w:rFonts w:ascii="Times New Roman" w:hAnsi="Times New Roman" w:cs="Times New Roman"/>
                <w:b/>
                <w:bCs/>
                <w:noProof/>
                <w:webHidden/>
              </w:rPr>
              <w:fldChar w:fldCharType="end"/>
            </w:r>
          </w:hyperlink>
        </w:p>
        <w:p w14:paraId="5028B2C2" w14:textId="445608BE" w:rsidR="00C40D56" w:rsidRPr="00C40D56" w:rsidRDefault="00C40D56">
          <w:pPr>
            <w:pStyle w:val="TOC2"/>
            <w:tabs>
              <w:tab w:val="right" w:leader="dot" w:pos="9350"/>
            </w:tabs>
            <w:rPr>
              <w:rFonts w:ascii="Times New Roman" w:eastAsiaTheme="minorEastAsia" w:hAnsi="Times New Roman" w:cs="Times New Roman"/>
              <w:b/>
              <w:bCs/>
              <w:noProof/>
            </w:rPr>
          </w:pPr>
          <w:hyperlink w:anchor="_Toc226530923" w:history="1">
            <w:r w:rsidRPr="00C40D56">
              <w:rPr>
                <w:rStyle w:val="Hyperlink"/>
                <w:rFonts w:ascii="Times New Roman" w:hAnsi="Times New Roman" w:cs="Times New Roman"/>
                <w:b/>
                <w:bCs/>
                <w:noProof/>
                <w:lang w:val="es-CR"/>
              </w:rPr>
              <w:t>2.1 Industria aeronáutica en Estados Unidos</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_Toc226530923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3</w:t>
            </w:r>
            <w:r w:rsidRPr="00C40D56">
              <w:rPr>
                <w:rFonts w:ascii="Times New Roman" w:hAnsi="Times New Roman" w:cs="Times New Roman"/>
                <w:b/>
                <w:bCs/>
                <w:noProof/>
                <w:webHidden/>
              </w:rPr>
              <w:fldChar w:fldCharType="end"/>
            </w:r>
          </w:hyperlink>
        </w:p>
        <w:p w14:paraId="445EAFB7" w14:textId="3F01DFC2" w:rsidR="00C40D56" w:rsidRPr="00C40D56" w:rsidRDefault="00C40D56">
          <w:pPr>
            <w:pStyle w:val="TOC2"/>
            <w:tabs>
              <w:tab w:val="right" w:leader="dot" w:pos="9350"/>
            </w:tabs>
            <w:rPr>
              <w:rFonts w:ascii="Times New Roman" w:eastAsiaTheme="minorEastAsia" w:hAnsi="Times New Roman" w:cs="Times New Roman"/>
              <w:b/>
              <w:bCs/>
              <w:noProof/>
            </w:rPr>
          </w:pPr>
          <w:hyperlink w:anchor="_Toc226530924" w:history="1">
            <w:r w:rsidRPr="00C40D56">
              <w:rPr>
                <w:rStyle w:val="Hyperlink"/>
                <w:rFonts w:ascii="Times New Roman" w:hAnsi="Times New Roman" w:cs="Times New Roman"/>
                <w:b/>
                <w:bCs/>
                <w:noProof/>
                <w:lang w:val="es-CR"/>
              </w:rPr>
              <w:t>2.2 Perfil y estrategia de Delta</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_Toc226530924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4</w:t>
            </w:r>
            <w:r w:rsidRPr="00C40D56">
              <w:rPr>
                <w:rFonts w:ascii="Times New Roman" w:hAnsi="Times New Roman" w:cs="Times New Roman"/>
                <w:b/>
                <w:bCs/>
                <w:noProof/>
                <w:webHidden/>
              </w:rPr>
              <w:fldChar w:fldCharType="end"/>
            </w:r>
          </w:hyperlink>
        </w:p>
        <w:p w14:paraId="7F87E741" w14:textId="6E655D5C" w:rsidR="00C40D56" w:rsidRPr="00C40D56" w:rsidRDefault="00C40D56">
          <w:pPr>
            <w:pStyle w:val="TOC2"/>
            <w:tabs>
              <w:tab w:val="right" w:leader="dot" w:pos="9350"/>
            </w:tabs>
            <w:rPr>
              <w:rFonts w:ascii="Times New Roman" w:eastAsiaTheme="minorEastAsia" w:hAnsi="Times New Roman" w:cs="Times New Roman"/>
              <w:b/>
              <w:bCs/>
              <w:noProof/>
            </w:rPr>
          </w:pPr>
          <w:hyperlink w:anchor="_Toc226530925" w:history="1">
            <w:r w:rsidRPr="00C40D56">
              <w:rPr>
                <w:rStyle w:val="Hyperlink"/>
                <w:rFonts w:ascii="Times New Roman" w:hAnsi="Times New Roman" w:cs="Times New Roman"/>
                <w:b/>
                <w:bCs/>
                <w:noProof/>
                <w:lang w:val="es-CR"/>
              </w:rPr>
              <w:t>2.3 Riesgos específicos de Delta</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_Toc226530925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5</w:t>
            </w:r>
            <w:r w:rsidRPr="00C40D56">
              <w:rPr>
                <w:rFonts w:ascii="Times New Roman" w:hAnsi="Times New Roman" w:cs="Times New Roman"/>
                <w:b/>
                <w:bCs/>
                <w:noProof/>
                <w:webHidden/>
              </w:rPr>
              <w:fldChar w:fldCharType="end"/>
            </w:r>
          </w:hyperlink>
        </w:p>
        <w:p w14:paraId="1BBF9869" w14:textId="545F3103" w:rsidR="00C40D56" w:rsidRPr="00C40D56" w:rsidRDefault="00C40D56">
          <w:pPr>
            <w:pStyle w:val="TOC1"/>
            <w:tabs>
              <w:tab w:val="left" w:pos="480"/>
              <w:tab w:val="right" w:leader="dot" w:pos="9350"/>
            </w:tabs>
            <w:rPr>
              <w:rFonts w:ascii="Times New Roman" w:eastAsiaTheme="minorEastAsia" w:hAnsi="Times New Roman" w:cs="Times New Roman"/>
              <w:b/>
              <w:bCs/>
              <w:noProof/>
            </w:rPr>
          </w:pPr>
          <w:hyperlink w:anchor="_Toc226530926" w:history="1">
            <w:r w:rsidRPr="00C40D56">
              <w:rPr>
                <w:rStyle w:val="Hyperlink"/>
                <w:rFonts w:ascii="Times New Roman" w:hAnsi="Times New Roman" w:cs="Times New Roman"/>
                <w:b/>
                <w:bCs/>
                <w:noProof/>
                <w:lang w:val="es-CR"/>
              </w:rPr>
              <w:t>3.</w:t>
            </w:r>
            <w:r w:rsidRPr="00C40D56">
              <w:rPr>
                <w:rFonts w:ascii="Times New Roman" w:eastAsiaTheme="minorEastAsia" w:hAnsi="Times New Roman" w:cs="Times New Roman"/>
                <w:b/>
                <w:bCs/>
                <w:noProof/>
              </w:rPr>
              <w:tab/>
            </w:r>
            <w:r w:rsidRPr="00C40D56">
              <w:rPr>
                <w:rStyle w:val="Hyperlink"/>
                <w:rFonts w:ascii="Times New Roman" w:hAnsi="Times New Roman" w:cs="Times New Roman"/>
                <w:b/>
                <w:bCs/>
                <w:noProof/>
                <w:lang w:val="es-CR"/>
              </w:rPr>
              <w:t>Análisis Financiero</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_Toc226530926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7</w:t>
            </w:r>
            <w:r w:rsidRPr="00C40D56">
              <w:rPr>
                <w:rFonts w:ascii="Times New Roman" w:hAnsi="Times New Roman" w:cs="Times New Roman"/>
                <w:b/>
                <w:bCs/>
                <w:noProof/>
                <w:webHidden/>
              </w:rPr>
              <w:fldChar w:fldCharType="end"/>
            </w:r>
          </w:hyperlink>
        </w:p>
        <w:p w14:paraId="2046A7EC" w14:textId="7D4BB039" w:rsidR="00C40D56" w:rsidRPr="00C40D56" w:rsidRDefault="00C40D56">
          <w:pPr>
            <w:pStyle w:val="TOC1"/>
            <w:tabs>
              <w:tab w:val="left" w:pos="480"/>
              <w:tab w:val="right" w:leader="dot" w:pos="9350"/>
            </w:tabs>
            <w:rPr>
              <w:rFonts w:ascii="Times New Roman" w:eastAsiaTheme="minorEastAsia" w:hAnsi="Times New Roman" w:cs="Times New Roman"/>
              <w:b/>
              <w:bCs/>
              <w:noProof/>
            </w:rPr>
          </w:pPr>
          <w:hyperlink w:anchor="_Toc226530927" w:history="1">
            <w:r w:rsidRPr="00C40D56">
              <w:rPr>
                <w:rStyle w:val="Hyperlink"/>
                <w:rFonts w:ascii="Times New Roman" w:hAnsi="Times New Roman" w:cs="Times New Roman"/>
                <w:b/>
                <w:bCs/>
                <w:noProof/>
                <w:lang w:val="es-CR"/>
              </w:rPr>
              <w:t>4.</w:t>
            </w:r>
            <w:r w:rsidRPr="00C40D56">
              <w:rPr>
                <w:rFonts w:ascii="Times New Roman" w:eastAsiaTheme="minorEastAsia" w:hAnsi="Times New Roman" w:cs="Times New Roman"/>
                <w:b/>
                <w:bCs/>
                <w:noProof/>
              </w:rPr>
              <w:tab/>
            </w:r>
            <w:r w:rsidRPr="00C40D56">
              <w:rPr>
                <w:rStyle w:val="Hyperlink"/>
                <w:rFonts w:ascii="Times New Roman" w:hAnsi="Times New Roman" w:cs="Times New Roman"/>
                <w:b/>
                <w:bCs/>
                <w:noProof/>
                <w:lang w:val="es-CR"/>
              </w:rPr>
              <w:t>Interpretación desde riesgo de crédito</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_Toc226530927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9</w:t>
            </w:r>
            <w:r w:rsidRPr="00C40D56">
              <w:rPr>
                <w:rFonts w:ascii="Times New Roman" w:hAnsi="Times New Roman" w:cs="Times New Roman"/>
                <w:b/>
                <w:bCs/>
                <w:noProof/>
                <w:webHidden/>
              </w:rPr>
              <w:fldChar w:fldCharType="end"/>
            </w:r>
          </w:hyperlink>
        </w:p>
        <w:p w14:paraId="51A4CFEA" w14:textId="3737DEAB" w:rsidR="00C40D56" w:rsidRPr="00C40D56" w:rsidRDefault="00C40D56">
          <w:pPr>
            <w:pStyle w:val="TOC1"/>
            <w:tabs>
              <w:tab w:val="left" w:pos="480"/>
              <w:tab w:val="right" w:leader="dot" w:pos="9350"/>
            </w:tabs>
            <w:rPr>
              <w:rFonts w:ascii="Times New Roman" w:eastAsiaTheme="minorEastAsia" w:hAnsi="Times New Roman" w:cs="Times New Roman"/>
              <w:b/>
              <w:bCs/>
              <w:noProof/>
            </w:rPr>
          </w:pPr>
          <w:hyperlink w:anchor="_Toc226530928" w:history="1">
            <w:r w:rsidRPr="00C40D56">
              <w:rPr>
                <w:rStyle w:val="Hyperlink"/>
                <w:rFonts w:ascii="Times New Roman" w:hAnsi="Times New Roman" w:cs="Times New Roman"/>
                <w:b/>
                <w:bCs/>
                <w:noProof/>
                <w:lang w:val="es-CR"/>
              </w:rPr>
              <w:t>5.</w:t>
            </w:r>
            <w:r w:rsidRPr="00C40D56">
              <w:rPr>
                <w:rFonts w:ascii="Times New Roman" w:eastAsiaTheme="minorEastAsia" w:hAnsi="Times New Roman" w:cs="Times New Roman"/>
                <w:b/>
                <w:bCs/>
                <w:noProof/>
              </w:rPr>
              <w:tab/>
            </w:r>
            <w:r w:rsidRPr="00C40D56">
              <w:rPr>
                <w:rStyle w:val="Hyperlink"/>
                <w:rFonts w:ascii="Times New Roman" w:hAnsi="Times New Roman" w:cs="Times New Roman"/>
                <w:b/>
                <w:bCs/>
                <w:noProof/>
                <w:lang w:val="es-CR"/>
              </w:rPr>
              <w:t>Calificación crediticia y estimación referencial de la pérdida esperada</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_Toc226530928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9</w:t>
            </w:r>
            <w:r w:rsidRPr="00C40D56">
              <w:rPr>
                <w:rFonts w:ascii="Times New Roman" w:hAnsi="Times New Roman" w:cs="Times New Roman"/>
                <w:b/>
                <w:bCs/>
                <w:noProof/>
                <w:webHidden/>
              </w:rPr>
              <w:fldChar w:fldCharType="end"/>
            </w:r>
          </w:hyperlink>
        </w:p>
        <w:p w14:paraId="3AC93347" w14:textId="69D692AF" w:rsidR="00C40D56" w:rsidRPr="00C40D56" w:rsidRDefault="00C40D56">
          <w:pPr>
            <w:pStyle w:val="TOC1"/>
            <w:tabs>
              <w:tab w:val="left" w:pos="480"/>
              <w:tab w:val="right" w:leader="dot" w:pos="9350"/>
            </w:tabs>
            <w:rPr>
              <w:rFonts w:ascii="Times New Roman" w:eastAsiaTheme="minorEastAsia" w:hAnsi="Times New Roman" w:cs="Times New Roman"/>
              <w:b/>
              <w:bCs/>
              <w:noProof/>
            </w:rPr>
          </w:pPr>
          <w:hyperlink w:anchor="_Toc226530929" w:history="1">
            <w:r w:rsidRPr="00C40D56">
              <w:rPr>
                <w:rStyle w:val="Hyperlink"/>
                <w:rFonts w:ascii="Times New Roman" w:hAnsi="Times New Roman" w:cs="Times New Roman"/>
                <w:b/>
                <w:bCs/>
                <w:noProof/>
                <w:lang w:val="es-CR"/>
              </w:rPr>
              <w:t>6.</w:t>
            </w:r>
            <w:r w:rsidRPr="00C40D56">
              <w:rPr>
                <w:rFonts w:ascii="Times New Roman" w:eastAsiaTheme="minorEastAsia" w:hAnsi="Times New Roman" w:cs="Times New Roman"/>
                <w:b/>
                <w:bCs/>
                <w:noProof/>
              </w:rPr>
              <w:tab/>
            </w:r>
            <w:r w:rsidRPr="00C40D56">
              <w:rPr>
                <w:rStyle w:val="Hyperlink"/>
                <w:rFonts w:ascii="Times New Roman" w:hAnsi="Times New Roman" w:cs="Times New Roman"/>
                <w:b/>
                <w:bCs/>
                <w:noProof/>
                <w:lang w:val="es-CR"/>
              </w:rPr>
              <w:t>Gobernanza del riesgo de crédito</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_Toc226530929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11</w:t>
            </w:r>
            <w:r w:rsidRPr="00C40D56">
              <w:rPr>
                <w:rFonts w:ascii="Times New Roman" w:hAnsi="Times New Roman" w:cs="Times New Roman"/>
                <w:b/>
                <w:bCs/>
                <w:noProof/>
                <w:webHidden/>
              </w:rPr>
              <w:fldChar w:fldCharType="end"/>
            </w:r>
          </w:hyperlink>
        </w:p>
        <w:p w14:paraId="53C0FA84" w14:textId="396B5A43" w:rsidR="00C40D56" w:rsidRPr="00C40D56" w:rsidRDefault="00C40D56">
          <w:pPr>
            <w:pStyle w:val="TOC1"/>
            <w:tabs>
              <w:tab w:val="left" w:pos="480"/>
              <w:tab w:val="right" w:leader="dot" w:pos="9350"/>
            </w:tabs>
            <w:rPr>
              <w:rFonts w:ascii="Times New Roman" w:eastAsiaTheme="minorEastAsia" w:hAnsi="Times New Roman" w:cs="Times New Roman"/>
              <w:b/>
              <w:bCs/>
              <w:noProof/>
            </w:rPr>
          </w:pPr>
          <w:hyperlink w:anchor="_Toc226530930" w:history="1">
            <w:r w:rsidRPr="00C40D56">
              <w:rPr>
                <w:rStyle w:val="Hyperlink"/>
                <w:rFonts w:ascii="Times New Roman" w:hAnsi="Times New Roman" w:cs="Times New Roman"/>
                <w:b/>
                <w:bCs/>
                <w:noProof/>
                <w:lang w:val="es-CR"/>
              </w:rPr>
              <w:t>7.</w:t>
            </w:r>
            <w:r w:rsidRPr="00C40D56">
              <w:rPr>
                <w:rFonts w:ascii="Times New Roman" w:eastAsiaTheme="minorEastAsia" w:hAnsi="Times New Roman" w:cs="Times New Roman"/>
                <w:b/>
                <w:bCs/>
                <w:noProof/>
              </w:rPr>
              <w:tab/>
            </w:r>
            <w:r w:rsidRPr="00C40D56">
              <w:rPr>
                <w:rStyle w:val="Hyperlink"/>
                <w:rFonts w:ascii="Times New Roman" w:hAnsi="Times New Roman" w:cs="Times New Roman"/>
                <w:b/>
                <w:bCs/>
                <w:noProof/>
                <w:lang w:val="es-CR"/>
              </w:rPr>
              <w:t>Recomendación de crédito y conclusión</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_Toc226530930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13</w:t>
            </w:r>
            <w:r w:rsidRPr="00C40D56">
              <w:rPr>
                <w:rFonts w:ascii="Times New Roman" w:hAnsi="Times New Roman" w:cs="Times New Roman"/>
                <w:b/>
                <w:bCs/>
                <w:noProof/>
                <w:webHidden/>
              </w:rPr>
              <w:fldChar w:fldCharType="end"/>
            </w:r>
          </w:hyperlink>
        </w:p>
        <w:p w14:paraId="2D577DFC" w14:textId="54E1356B" w:rsidR="00C40D56" w:rsidRPr="00C40D56" w:rsidRDefault="00C40D56">
          <w:pPr>
            <w:pStyle w:val="TOC1"/>
            <w:tabs>
              <w:tab w:val="left" w:pos="480"/>
              <w:tab w:val="right" w:leader="dot" w:pos="9350"/>
            </w:tabs>
            <w:rPr>
              <w:rFonts w:ascii="Times New Roman" w:eastAsiaTheme="minorEastAsia" w:hAnsi="Times New Roman" w:cs="Times New Roman"/>
              <w:b/>
              <w:bCs/>
              <w:noProof/>
            </w:rPr>
          </w:pPr>
          <w:hyperlink w:anchor="_Toc226530931" w:history="1">
            <w:r w:rsidRPr="00C40D56">
              <w:rPr>
                <w:rStyle w:val="Hyperlink"/>
                <w:rFonts w:ascii="Times New Roman" w:hAnsi="Times New Roman" w:cs="Times New Roman"/>
                <w:b/>
                <w:bCs/>
                <w:noProof/>
                <w:lang w:val="es-CR"/>
              </w:rPr>
              <w:t>8.</w:t>
            </w:r>
            <w:r w:rsidRPr="00C40D56">
              <w:rPr>
                <w:rFonts w:ascii="Times New Roman" w:eastAsiaTheme="minorEastAsia" w:hAnsi="Times New Roman" w:cs="Times New Roman"/>
                <w:b/>
                <w:bCs/>
                <w:noProof/>
              </w:rPr>
              <w:tab/>
            </w:r>
            <w:r w:rsidRPr="00C40D56">
              <w:rPr>
                <w:rStyle w:val="Hyperlink"/>
                <w:rFonts w:ascii="Times New Roman" w:hAnsi="Times New Roman" w:cs="Times New Roman"/>
                <w:b/>
                <w:bCs/>
                <w:noProof/>
                <w:lang w:val="es-CR"/>
              </w:rPr>
              <w:t>Referencias</w:t>
            </w:r>
            <w:r w:rsidRPr="00C40D56">
              <w:rPr>
                <w:rFonts w:ascii="Times New Roman" w:hAnsi="Times New Roman" w:cs="Times New Roman"/>
                <w:b/>
                <w:bCs/>
                <w:noProof/>
                <w:webHidden/>
              </w:rPr>
              <w:tab/>
            </w:r>
            <w:r w:rsidRPr="00C40D56">
              <w:rPr>
                <w:rFonts w:ascii="Times New Roman" w:hAnsi="Times New Roman" w:cs="Times New Roman"/>
                <w:b/>
                <w:bCs/>
                <w:noProof/>
                <w:webHidden/>
              </w:rPr>
              <w:fldChar w:fldCharType="begin"/>
            </w:r>
            <w:r w:rsidRPr="00C40D56">
              <w:rPr>
                <w:rFonts w:ascii="Times New Roman" w:hAnsi="Times New Roman" w:cs="Times New Roman"/>
                <w:b/>
                <w:bCs/>
                <w:noProof/>
                <w:webHidden/>
              </w:rPr>
              <w:instrText xml:space="preserve"> PAGEREF _Toc226530931 \h </w:instrText>
            </w:r>
            <w:r w:rsidRPr="00C40D56">
              <w:rPr>
                <w:rFonts w:ascii="Times New Roman" w:hAnsi="Times New Roman" w:cs="Times New Roman"/>
                <w:b/>
                <w:bCs/>
                <w:noProof/>
                <w:webHidden/>
              </w:rPr>
            </w:r>
            <w:r w:rsidRPr="00C40D56">
              <w:rPr>
                <w:rFonts w:ascii="Times New Roman" w:hAnsi="Times New Roman" w:cs="Times New Roman"/>
                <w:b/>
                <w:bCs/>
                <w:noProof/>
                <w:webHidden/>
              </w:rPr>
              <w:fldChar w:fldCharType="separate"/>
            </w:r>
            <w:r w:rsidRPr="00C40D56">
              <w:rPr>
                <w:rFonts w:ascii="Times New Roman" w:hAnsi="Times New Roman" w:cs="Times New Roman"/>
                <w:b/>
                <w:bCs/>
                <w:noProof/>
                <w:webHidden/>
              </w:rPr>
              <w:t>14</w:t>
            </w:r>
            <w:r w:rsidRPr="00C40D56">
              <w:rPr>
                <w:rFonts w:ascii="Times New Roman" w:hAnsi="Times New Roman" w:cs="Times New Roman"/>
                <w:b/>
                <w:bCs/>
                <w:noProof/>
                <w:webHidden/>
              </w:rPr>
              <w:fldChar w:fldCharType="end"/>
            </w:r>
          </w:hyperlink>
        </w:p>
        <w:p w14:paraId="0241AF07" w14:textId="1088F2D5" w:rsidR="00827C1C" w:rsidRDefault="00827C1C">
          <w:r w:rsidRPr="00C40D56">
            <w:rPr>
              <w:rFonts w:ascii="Times New Roman" w:hAnsi="Times New Roman" w:cs="Times New Roman"/>
              <w:b/>
              <w:bCs/>
              <w:noProof/>
            </w:rPr>
            <w:fldChar w:fldCharType="end"/>
          </w:r>
        </w:p>
      </w:sdtContent>
    </w:sdt>
    <w:p w14:paraId="3B6BE533" w14:textId="77777777" w:rsidR="00827C1C" w:rsidRDefault="00827C1C">
      <w:pPr>
        <w:rPr>
          <w:rFonts w:ascii="Times New Roman" w:eastAsiaTheme="majorEastAsia" w:hAnsi="Times New Roman" w:cs="Times New Roman"/>
          <w:b/>
          <w:bCs/>
          <w:lang w:val="es-CR"/>
        </w:rPr>
      </w:pPr>
      <w:r>
        <w:rPr>
          <w:rFonts w:ascii="Times New Roman" w:hAnsi="Times New Roman" w:cs="Times New Roman"/>
          <w:b/>
          <w:bCs/>
          <w:lang w:val="es-CR"/>
        </w:rPr>
        <w:br w:type="page"/>
      </w:r>
    </w:p>
    <w:p w14:paraId="5F6492F9" w14:textId="587F3F36" w:rsidR="00C40D56" w:rsidRDefault="00C40D56" w:rsidP="00C40D56">
      <w:pPr>
        <w:pStyle w:val="Heading1"/>
        <w:numPr>
          <w:ilvl w:val="0"/>
          <w:numId w:val="9"/>
        </w:numPr>
        <w:jc w:val="both"/>
        <w:rPr>
          <w:rFonts w:ascii="Times New Roman" w:hAnsi="Times New Roman" w:cs="Times New Roman"/>
          <w:b/>
          <w:bCs/>
          <w:color w:val="auto"/>
          <w:sz w:val="24"/>
          <w:szCs w:val="24"/>
          <w:lang w:val="es-CR"/>
        </w:rPr>
      </w:pPr>
      <w:bookmarkStart w:id="0" w:name="_Toc226530921"/>
      <w:r w:rsidRPr="00C40D56">
        <w:rPr>
          <w:rFonts w:ascii="Times New Roman" w:hAnsi="Times New Roman" w:cs="Times New Roman"/>
          <w:b/>
          <w:bCs/>
          <w:color w:val="auto"/>
          <w:sz w:val="24"/>
          <w:szCs w:val="24"/>
          <w:lang w:val="es-CR"/>
        </w:rPr>
        <w:lastRenderedPageBreak/>
        <w:t>Objetivo del trabajo</w:t>
      </w:r>
      <w:bookmarkEnd w:id="0"/>
    </w:p>
    <w:p w14:paraId="0F6292E9" w14:textId="590AC068" w:rsidR="00C40D56" w:rsidRPr="00C40D56" w:rsidRDefault="00C40D56" w:rsidP="00C40D56">
      <w:pPr>
        <w:jc w:val="both"/>
        <w:rPr>
          <w:rFonts w:ascii="Times New Roman" w:hAnsi="Times New Roman" w:cs="Times New Roman"/>
          <w:lang w:val="es-CR"/>
        </w:rPr>
      </w:pPr>
      <w:r w:rsidRPr="00C40D56">
        <w:rPr>
          <w:rFonts w:ascii="Times New Roman" w:hAnsi="Times New Roman" w:cs="Times New Roman"/>
          <w:lang w:val="es-CR"/>
        </w:rPr>
        <w:t>El objetivo de este trabajo es analizar cómo puede evaluarse el riesgo de crédito de una empresa del sector aeronáutico desde la perspectiva de una institución que otorga financiamiento, ya sea un banco o una empresa que mantiene relaciones comerciales con clientes corporativos.</w:t>
      </w:r>
    </w:p>
    <w:p w14:paraId="55E0B4D8" w14:textId="0C842F53" w:rsidR="00C40D56" w:rsidRPr="00C40D56" w:rsidRDefault="00C40D56" w:rsidP="00C40D56">
      <w:pPr>
        <w:jc w:val="both"/>
        <w:rPr>
          <w:rFonts w:ascii="Times New Roman" w:hAnsi="Times New Roman" w:cs="Times New Roman"/>
          <w:lang w:val="es-CR"/>
        </w:rPr>
      </w:pPr>
      <w:r w:rsidRPr="00C40D56">
        <w:rPr>
          <w:rFonts w:ascii="Times New Roman" w:hAnsi="Times New Roman" w:cs="Times New Roman"/>
          <w:lang w:val="es-CR"/>
        </w:rPr>
        <w:t>Para ello, se busca examinar la capacidad de pago de la empresa mediante indicadores financieros relevantes e identificar, a partir de estos, los principales riesgos asociados a su modelo de negocio. Más allá del análisis puramente financiero, el trabajo también pretende integrar estos resultados dentro de un marco más amplio de gestión del riesgo de crédito, considerando aspectos como la gobernanza, las políticas de crédito, los mecanismos de mitigación y el monitoreo continuo.</w:t>
      </w:r>
    </w:p>
    <w:p w14:paraId="52A82C05" w14:textId="461838F3" w:rsidR="00C40D56" w:rsidRPr="00C40D56" w:rsidRDefault="00C40D56" w:rsidP="00C40D56">
      <w:pPr>
        <w:jc w:val="both"/>
        <w:rPr>
          <w:rFonts w:ascii="Times New Roman" w:hAnsi="Times New Roman" w:cs="Times New Roman"/>
          <w:lang w:val="es-CR"/>
        </w:rPr>
      </w:pPr>
      <w:r w:rsidRPr="00C40D56">
        <w:rPr>
          <w:rFonts w:ascii="Times New Roman" w:hAnsi="Times New Roman" w:cs="Times New Roman"/>
          <w:lang w:val="es-CR"/>
        </w:rPr>
        <w:t>De esta forma, se busca mostrar cómo el análisis financiero se conecta con el proceso integral de gestión del riesgo de crédito utilizado en la práctica por instituciones financieras.</w:t>
      </w:r>
    </w:p>
    <w:p w14:paraId="664CEE90" w14:textId="2A4DAC27" w:rsidR="00203698" w:rsidRPr="000D300B" w:rsidRDefault="00933EAE" w:rsidP="00C40D56">
      <w:pPr>
        <w:pStyle w:val="Heading1"/>
        <w:numPr>
          <w:ilvl w:val="0"/>
          <w:numId w:val="9"/>
        </w:numPr>
        <w:jc w:val="both"/>
        <w:rPr>
          <w:rFonts w:ascii="Times New Roman" w:hAnsi="Times New Roman" w:cs="Times New Roman"/>
          <w:b/>
          <w:bCs/>
          <w:color w:val="auto"/>
          <w:sz w:val="24"/>
          <w:szCs w:val="24"/>
          <w:lang w:val="es-CR"/>
        </w:rPr>
      </w:pPr>
      <w:bookmarkStart w:id="1" w:name="_Toc226530922"/>
      <w:r w:rsidRPr="000D300B">
        <w:rPr>
          <w:rFonts w:ascii="Times New Roman" w:hAnsi="Times New Roman" w:cs="Times New Roman"/>
          <w:b/>
          <w:bCs/>
          <w:color w:val="auto"/>
          <w:sz w:val="24"/>
          <w:szCs w:val="24"/>
          <w:lang w:val="es-CR"/>
        </w:rPr>
        <w:t>Análisis de la industria, perfil y estrategia de la empresa</w:t>
      </w:r>
      <w:bookmarkEnd w:id="1"/>
    </w:p>
    <w:p w14:paraId="29CAF22F" w14:textId="54845402" w:rsidR="00A832F8" w:rsidRPr="000D300B" w:rsidRDefault="00C40D56" w:rsidP="00C40D56">
      <w:pPr>
        <w:pStyle w:val="Heading2"/>
        <w:jc w:val="both"/>
        <w:rPr>
          <w:rFonts w:ascii="Times New Roman" w:hAnsi="Times New Roman" w:cs="Times New Roman"/>
          <w:b/>
          <w:bCs/>
          <w:color w:val="auto"/>
          <w:sz w:val="24"/>
          <w:szCs w:val="24"/>
          <w:lang w:val="es-CR"/>
        </w:rPr>
      </w:pPr>
      <w:bookmarkStart w:id="2" w:name="_Toc226530923"/>
      <w:r>
        <w:rPr>
          <w:rFonts w:ascii="Times New Roman" w:hAnsi="Times New Roman" w:cs="Times New Roman"/>
          <w:b/>
          <w:bCs/>
          <w:color w:val="auto"/>
          <w:sz w:val="24"/>
          <w:szCs w:val="24"/>
          <w:lang w:val="es-CR"/>
        </w:rPr>
        <w:t>2</w:t>
      </w:r>
      <w:r w:rsidR="000D300B" w:rsidRPr="000D300B">
        <w:rPr>
          <w:rFonts w:ascii="Times New Roman" w:hAnsi="Times New Roman" w:cs="Times New Roman"/>
          <w:b/>
          <w:bCs/>
          <w:color w:val="auto"/>
          <w:sz w:val="24"/>
          <w:szCs w:val="24"/>
          <w:lang w:val="es-CR"/>
        </w:rPr>
        <w:t>.</w:t>
      </w:r>
      <w:r>
        <w:rPr>
          <w:rFonts w:ascii="Times New Roman" w:hAnsi="Times New Roman" w:cs="Times New Roman"/>
          <w:b/>
          <w:bCs/>
          <w:color w:val="auto"/>
          <w:sz w:val="24"/>
          <w:szCs w:val="24"/>
          <w:lang w:val="es-CR"/>
        </w:rPr>
        <w:t>1</w:t>
      </w:r>
      <w:r w:rsidR="000D300B" w:rsidRPr="000D300B">
        <w:rPr>
          <w:rFonts w:ascii="Times New Roman" w:hAnsi="Times New Roman" w:cs="Times New Roman"/>
          <w:b/>
          <w:bCs/>
          <w:color w:val="auto"/>
          <w:sz w:val="24"/>
          <w:szCs w:val="24"/>
          <w:lang w:val="es-CR"/>
        </w:rPr>
        <w:t xml:space="preserve"> </w:t>
      </w:r>
      <w:r w:rsidR="00A832F8" w:rsidRPr="000D300B">
        <w:rPr>
          <w:rFonts w:ascii="Times New Roman" w:hAnsi="Times New Roman" w:cs="Times New Roman"/>
          <w:b/>
          <w:bCs/>
          <w:color w:val="auto"/>
          <w:sz w:val="24"/>
          <w:szCs w:val="24"/>
          <w:lang w:val="es-CR"/>
        </w:rPr>
        <w:t>Industria aeronáutica en Estados Unidos</w:t>
      </w:r>
      <w:bookmarkEnd w:id="2"/>
    </w:p>
    <w:p w14:paraId="3BDA090D" w14:textId="3699FDB5" w:rsidR="00C40D56" w:rsidRPr="000D300B" w:rsidRDefault="0088612F" w:rsidP="00C40D56">
      <w:pPr>
        <w:jc w:val="both"/>
        <w:rPr>
          <w:rFonts w:ascii="Times New Roman" w:hAnsi="Times New Roman" w:cs="Times New Roman"/>
          <w:lang w:val="es-CR"/>
        </w:rPr>
      </w:pPr>
      <w:r w:rsidRPr="000D300B">
        <w:rPr>
          <w:rFonts w:ascii="Times New Roman" w:hAnsi="Times New Roman" w:cs="Times New Roman"/>
          <w:lang w:val="es-CR"/>
        </w:rPr>
        <w:t xml:space="preserve">La industria aeronáutica en Estados Unidos se caracteriza por una alta intensidad de capital, sensibilidad al ciclo económico y fuerte dependencia de variables externas como el precio del combustible, la disponibilidad de flota, las tasas de interés y la demanda de pasajeros. </w:t>
      </w:r>
      <w:r w:rsidR="0054120F">
        <w:rPr>
          <w:rFonts w:ascii="Times New Roman" w:hAnsi="Times New Roman" w:cs="Times New Roman"/>
          <w:lang w:val="es-CR"/>
        </w:rPr>
        <w:t xml:space="preserve">Según </w:t>
      </w:r>
      <w:r w:rsidR="007B569B">
        <w:rPr>
          <w:rFonts w:ascii="Times New Roman" w:hAnsi="Times New Roman" w:cs="Times New Roman"/>
          <w:lang w:val="es-CR"/>
        </w:rPr>
        <w:t xml:space="preserve">lo estipulado en la Figura 1 de </w:t>
      </w:r>
      <w:proofErr w:type="spellStart"/>
      <w:r w:rsidRPr="000D300B">
        <w:rPr>
          <w:rFonts w:ascii="Times New Roman" w:hAnsi="Times New Roman" w:cs="Times New Roman"/>
          <w:lang w:val="es-CR"/>
        </w:rPr>
        <w:t>Research</w:t>
      </w:r>
      <w:proofErr w:type="spellEnd"/>
      <w:r w:rsidRPr="000D300B">
        <w:rPr>
          <w:rFonts w:ascii="Times New Roman" w:hAnsi="Times New Roman" w:cs="Times New Roman"/>
          <w:lang w:val="es-CR"/>
        </w:rPr>
        <w:t xml:space="preserve"> and </w:t>
      </w:r>
      <w:proofErr w:type="spellStart"/>
      <w:r w:rsidRPr="000D300B">
        <w:rPr>
          <w:rFonts w:ascii="Times New Roman" w:hAnsi="Times New Roman" w:cs="Times New Roman"/>
          <w:lang w:val="es-CR"/>
        </w:rPr>
        <w:t>Markets</w:t>
      </w:r>
      <w:proofErr w:type="spellEnd"/>
      <w:r w:rsidRPr="000D300B">
        <w:rPr>
          <w:rFonts w:ascii="Times New Roman" w:hAnsi="Times New Roman" w:cs="Times New Roman"/>
          <w:lang w:val="es-CR"/>
        </w:rPr>
        <w:t xml:space="preserve"> (2025), se estima que el sector crecerá a una tasa compuesta (CAGR) cercana al 4.6% hasta el 2034, alcanzando aproximadamente $122.61 mil millones, lo que refleja un crecimiento moderado</w:t>
      </w:r>
      <w:r w:rsidR="00910810" w:rsidRPr="000D300B">
        <w:rPr>
          <w:rFonts w:ascii="Times New Roman" w:hAnsi="Times New Roman" w:cs="Times New Roman"/>
          <w:lang w:val="es-CR"/>
        </w:rPr>
        <w:t>,</w:t>
      </w:r>
      <w:r w:rsidRPr="000D300B">
        <w:rPr>
          <w:rFonts w:ascii="Times New Roman" w:hAnsi="Times New Roman" w:cs="Times New Roman"/>
          <w:lang w:val="es-CR"/>
        </w:rPr>
        <w:t xml:space="preserve"> pero sostenido</w:t>
      </w:r>
      <w:r w:rsidR="00CD1AEE">
        <w:rPr>
          <w:rFonts w:ascii="Times New Roman" w:hAnsi="Times New Roman" w:cs="Times New Roman"/>
          <w:lang w:val="es-CR"/>
        </w:rPr>
        <w:t>, s</w:t>
      </w:r>
      <w:r w:rsidRPr="000D300B">
        <w:rPr>
          <w:rFonts w:ascii="Times New Roman" w:hAnsi="Times New Roman" w:cs="Times New Roman"/>
          <w:lang w:val="es-CR"/>
        </w:rPr>
        <w:t>in embargo, este crecimiento no es lineal, ya que el sector ha demostrado históricamente una alta volatilidad ante eventos externos como crisis económicas y disrupciones globales (Delta Air Lines, 2026, pp. 16–18).</w:t>
      </w:r>
    </w:p>
    <w:p w14:paraId="17A43D7C" w14:textId="68F47B88" w:rsidR="00196102" w:rsidRPr="000D300B" w:rsidRDefault="00196102" w:rsidP="009A765E">
      <w:pPr>
        <w:jc w:val="center"/>
        <w:rPr>
          <w:rFonts w:ascii="Times New Roman" w:hAnsi="Times New Roman" w:cs="Times New Roman"/>
          <w:i/>
          <w:iCs/>
          <w:lang w:val="es-CR"/>
        </w:rPr>
      </w:pPr>
      <w:r w:rsidRPr="000D300B">
        <w:rPr>
          <w:rFonts w:ascii="Times New Roman" w:hAnsi="Times New Roman" w:cs="Times New Roman"/>
          <w:lang w:val="es-CR"/>
        </w:rPr>
        <w:t xml:space="preserve">Figura 1 - </w:t>
      </w:r>
      <w:r w:rsidRPr="000D300B">
        <w:rPr>
          <w:rFonts w:ascii="Times New Roman" w:hAnsi="Times New Roman" w:cs="Times New Roman"/>
          <w:i/>
          <w:iCs/>
          <w:lang w:val="es-CR"/>
        </w:rPr>
        <w:t>Proyección del mercado de Aviación en Estados Unidos del 2025 al 2034.</w:t>
      </w:r>
    </w:p>
    <w:p w14:paraId="23BDA124" w14:textId="42C78FD8" w:rsidR="00196102" w:rsidRPr="000D300B" w:rsidRDefault="00196102" w:rsidP="009A765E">
      <w:pPr>
        <w:jc w:val="center"/>
        <w:rPr>
          <w:rFonts w:ascii="Times New Roman" w:hAnsi="Times New Roman" w:cs="Times New Roman"/>
          <w:lang w:val="es-CR"/>
        </w:rPr>
      </w:pPr>
      <w:r w:rsidRPr="000D300B">
        <w:rPr>
          <w:rFonts w:ascii="Times New Roman" w:hAnsi="Times New Roman" w:cs="Times New Roman"/>
          <w:noProof/>
          <w:lang w:val="es-CR"/>
        </w:rPr>
        <w:drawing>
          <wp:inline distT="0" distB="0" distL="0" distR="0" wp14:anchorId="7CE61739" wp14:editId="26B8A017">
            <wp:extent cx="3952875" cy="2591183"/>
            <wp:effectExtent l="0" t="0" r="0" b="0"/>
            <wp:docPr id="208763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36422" name=""/>
                    <pic:cNvPicPr/>
                  </pic:nvPicPr>
                  <pic:blipFill>
                    <a:blip r:embed="rId8"/>
                    <a:stretch>
                      <a:fillRect/>
                    </a:stretch>
                  </pic:blipFill>
                  <pic:spPr>
                    <a:xfrm>
                      <a:off x="0" y="0"/>
                      <a:ext cx="3972272" cy="2603898"/>
                    </a:xfrm>
                    <a:prstGeom prst="rect">
                      <a:avLst/>
                    </a:prstGeom>
                  </pic:spPr>
                </pic:pic>
              </a:graphicData>
            </a:graphic>
          </wp:inline>
        </w:drawing>
      </w:r>
    </w:p>
    <w:p w14:paraId="06A8B1DC" w14:textId="42EC30A2" w:rsidR="00196102" w:rsidRPr="000D300B" w:rsidRDefault="00196102" w:rsidP="009A765E">
      <w:pPr>
        <w:jc w:val="center"/>
        <w:rPr>
          <w:rFonts w:ascii="Times New Roman" w:hAnsi="Times New Roman" w:cs="Times New Roman"/>
        </w:rPr>
      </w:pPr>
      <w:r w:rsidRPr="000D300B">
        <w:rPr>
          <w:rFonts w:ascii="Times New Roman" w:hAnsi="Times New Roman" w:cs="Times New Roman"/>
          <w:i/>
          <w:iCs/>
        </w:rPr>
        <w:t xml:space="preserve">Nota. </w:t>
      </w:r>
      <w:r w:rsidRPr="000D300B">
        <w:rPr>
          <w:rFonts w:ascii="Times New Roman" w:hAnsi="Times New Roman" w:cs="Times New Roman"/>
        </w:rPr>
        <w:t>Fuente: Research and Markets (2025).</w:t>
      </w:r>
    </w:p>
    <w:p w14:paraId="0AF63013" w14:textId="6C76FDB4" w:rsidR="004A1BFD" w:rsidRPr="008667E5" w:rsidRDefault="004A1BFD" w:rsidP="008667E5">
      <w:pPr>
        <w:pStyle w:val="ListParagraph"/>
        <w:numPr>
          <w:ilvl w:val="0"/>
          <w:numId w:val="10"/>
        </w:numPr>
        <w:jc w:val="both"/>
        <w:rPr>
          <w:rFonts w:ascii="Times New Roman" w:hAnsi="Times New Roman" w:cs="Times New Roman"/>
          <w:b/>
          <w:bCs/>
          <w:lang w:val="es-CR"/>
        </w:rPr>
      </w:pPr>
      <w:r w:rsidRPr="008667E5">
        <w:rPr>
          <w:rFonts w:ascii="Times New Roman" w:hAnsi="Times New Roman" w:cs="Times New Roman"/>
          <w:b/>
          <w:bCs/>
          <w:lang w:val="es-CR"/>
        </w:rPr>
        <w:lastRenderedPageBreak/>
        <w:t>Riesgos de la industria</w:t>
      </w:r>
    </w:p>
    <w:p w14:paraId="4B3633C2" w14:textId="404B5C26"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El análisis de los reportes anuales de American Airlines y </w:t>
      </w:r>
      <w:proofErr w:type="spellStart"/>
      <w:r w:rsidRPr="000D300B">
        <w:rPr>
          <w:rFonts w:ascii="Times New Roman" w:hAnsi="Times New Roman" w:cs="Times New Roman"/>
          <w:lang w:val="es-CR"/>
        </w:rPr>
        <w:t>United</w:t>
      </w:r>
      <w:proofErr w:type="spellEnd"/>
      <w:r w:rsidRPr="000D300B">
        <w:rPr>
          <w:rFonts w:ascii="Times New Roman" w:hAnsi="Times New Roman" w:cs="Times New Roman"/>
          <w:lang w:val="es-CR"/>
        </w:rPr>
        <w:t xml:space="preserve"> Airlines (sectores de negocio y factores de riesgo) permite identificar una serie de riesgos que no son propios de una sola empresa, sino que caracterizan a toda la industria aeronáutica. En ambos casos se observa que el desempeño del negocio está condicionado por factores macroeconómicos, competitivos, regulatorios, operativos y financieros que afectan directamente la estabilidad de los ingresos y la capacidad de pago de las aerolíneas (American Airlines, 2026, pp. 6–7; </w:t>
      </w:r>
      <w:proofErr w:type="spellStart"/>
      <w:r w:rsidRPr="000D300B">
        <w:rPr>
          <w:rFonts w:ascii="Times New Roman" w:hAnsi="Times New Roman" w:cs="Times New Roman"/>
          <w:lang w:val="es-CR"/>
        </w:rPr>
        <w:t>United</w:t>
      </w:r>
      <w:proofErr w:type="spellEnd"/>
      <w:r w:rsidRPr="000D300B">
        <w:rPr>
          <w:rFonts w:ascii="Times New Roman" w:hAnsi="Times New Roman" w:cs="Times New Roman"/>
          <w:lang w:val="es-CR"/>
        </w:rPr>
        <w:t xml:space="preserve"> Airlines, 2026, pp. 3–5, 17).</w:t>
      </w:r>
    </w:p>
    <w:p w14:paraId="4E5D5572" w14:textId="520260E0"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En primer lugar, la industria es altamente sensible al ciclo económico, ya que una desaceleración en la actividad económica impacta directamente la demanda de transporte aéreo, afectando los ingresos. Asimismo, el sector se caracteriza por niveles elevados de endeudamiento, lo cual incrementa la presión sobre los flujos de caja y limita la capacidad de reacción ante escenarios adversos.</w:t>
      </w:r>
    </w:p>
    <w:p w14:paraId="40BE1C2E" w14:textId="56B0B5DB"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Otro factor relevante es la alta dependencia del combustible, cuyo precio presenta una elevada volatilidad y una porción significativa de los costos operativos, afectando directamente los márgenes. Adicionalmente, se trata de una industria altamente competitiva, donde las decisiones de precios y capacidad están influenciadas por la dinámica del mercado.</w:t>
      </w:r>
    </w:p>
    <w:p w14:paraId="2F93285E" w14:textId="77777777" w:rsidR="002F6C01"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También existen riesgos regulatorios importantes, dado que las aerolíneas operan bajo estrictas normativas tanto a nivel nacional como internacional. </w:t>
      </w:r>
    </w:p>
    <w:p w14:paraId="75D35979" w14:textId="38910C57"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Finalmente, la industria está expuesta a eventos externos fuera de su control, como crisis económicas, conflictos geopolíticos, eventos climáticos extremos, accidentes, amenazas de seguridad o ciberataques, los cuales pueden afectar significativamente la demanda y la operación del negocio.</w:t>
      </w:r>
    </w:p>
    <w:p w14:paraId="10A7F931" w14:textId="75C8DBBA" w:rsidR="004A1BFD" w:rsidRPr="002F6C01" w:rsidRDefault="004A1BFD" w:rsidP="004A1BFD">
      <w:pPr>
        <w:jc w:val="both"/>
        <w:rPr>
          <w:rFonts w:ascii="Times New Roman" w:hAnsi="Times New Roman" w:cs="Times New Roman"/>
          <w:b/>
          <w:bCs/>
          <w:lang w:val="es-CR"/>
        </w:rPr>
      </w:pPr>
      <w:r w:rsidRPr="000D300B">
        <w:rPr>
          <w:rFonts w:ascii="Times New Roman" w:hAnsi="Times New Roman" w:cs="Times New Roman"/>
          <w:lang w:val="es-CR"/>
        </w:rPr>
        <w:t>En conjunto, estos riesgos estructurales permiten establecer el perfil base de riesgo de la industria, el cual debe considerarse como punto de partida para el análisis individual de cada empresa</w:t>
      </w:r>
      <w:r w:rsidR="009A765E">
        <w:rPr>
          <w:rFonts w:ascii="Times New Roman" w:hAnsi="Times New Roman" w:cs="Times New Roman"/>
          <w:lang w:val="es-CR"/>
        </w:rPr>
        <w:t>.</w:t>
      </w:r>
    </w:p>
    <w:p w14:paraId="4AE97C3F" w14:textId="59249EEF" w:rsidR="004A1BFD" w:rsidRPr="000D300B" w:rsidRDefault="00C40D56" w:rsidP="000D300B">
      <w:pPr>
        <w:pStyle w:val="Heading2"/>
        <w:rPr>
          <w:rFonts w:ascii="Times New Roman" w:hAnsi="Times New Roman" w:cs="Times New Roman"/>
          <w:b/>
          <w:bCs/>
          <w:color w:val="auto"/>
          <w:sz w:val="24"/>
          <w:szCs w:val="24"/>
          <w:lang w:val="es-CR"/>
        </w:rPr>
      </w:pPr>
      <w:bookmarkStart w:id="3" w:name="_Toc226530924"/>
      <w:r>
        <w:rPr>
          <w:rFonts w:ascii="Times New Roman" w:hAnsi="Times New Roman" w:cs="Times New Roman"/>
          <w:b/>
          <w:bCs/>
          <w:color w:val="auto"/>
          <w:sz w:val="24"/>
          <w:szCs w:val="24"/>
          <w:lang w:val="es-CR"/>
        </w:rPr>
        <w:t xml:space="preserve">2.2 </w:t>
      </w:r>
      <w:r w:rsidR="004A1BFD" w:rsidRPr="000D300B">
        <w:rPr>
          <w:rFonts w:ascii="Times New Roman" w:hAnsi="Times New Roman" w:cs="Times New Roman"/>
          <w:b/>
          <w:bCs/>
          <w:color w:val="auto"/>
          <w:sz w:val="24"/>
          <w:szCs w:val="24"/>
          <w:lang w:val="es-CR"/>
        </w:rPr>
        <w:t>Perfil y estrategia de Delta</w:t>
      </w:r>
      <w:bookmarkEnd w:id="3"/>
    </w:p>
    <w:p w14:paraId="77584C86" w14:textId="180CFB4C"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Delta</w:t>
      </w:r>
      <w:r w:rsidR="00DE07A1">
        <w:rPr>
          <w:rFonts w:ascii="Times New Roman" w:hAnsi="Times New Roman" w:cs="Times New Roman"/>
          <w:lang w:val="es-CR"/>
        </w:rPr>
        <w:t xml:space="preserve"> Air Line, en adelante, Delta,</w:t>
      </w:r>
      <w:r w:rsidRPr="000D300B">
        <w:rPr>
          <w:rFonts w:ascii="Times New Roman" w:hAnsi="Times New Roman" w:cs="Times New Roman"/>
          <w:lang w:val="es-CR"/>
        </w:rPr>
        <w:t xml:space="preserve"> es una aerolínea global con sede en Estados Unidos, enfocada en conectar pasajeros a través de una red internacional amplia. Según su Form 10-K de 202</w:t>
      </w:r>
      <w:r w:rsidR="006A33FB">
        <w:rPr>
          <w:rFonts w:ascii="Times New Roman" w:hAnsi="Times New Roman" w:cs="Times New Roman"/>
          <w:lang w:val="es-CR"/>
        </w:rPr>
        <w:t>6</w:t>
      </w:r>
      <w:r w:rsidRPr="000D300B">
        <w:rPr>
          <w:rFonts w:ascii="Times New Roman" w:hAnsi="Times New Roman" w:cs="Times New Roman"/>
          <w:lang w:val="es-CR"/>
        </w:rPr>
        <w:t>, la empresa atendió a más de 200 millones de clientes durante e</w:t>
      </w:r>
      <w:r w:rsidR="006A33FB">
        <w:rPr>
          <w:rFonts w:ascii="Times New Roman" w:hAnsi="Times New Roman" w:cs="Times New Roman"/>
          <w:lang w:val="es-CR"/>
        </w:rPr>
        <w:t>l 20</w:t>
      </w:r>
      <w:r w:rsidR="0054120F">
        <w:rPr>
          <w:rFonts w:ascii="Times New Roman" w:hAnsi="Times New Roman" w:cs="Times New Roman"/>
          <w:lang w:val="es-CR"/>
        </w:rPr>
        <w:t>25</w:t>
      </w:r>
      <w:r w:rsidRPr="000D300B">
        <w:rPr>
          <w:rFonts w:ascii="Times New Roman" w:hAnsi="Times New Roman" w:cs="Times New Roman"/>
          <w:lang w:val="es-CR"/>
        </w:rPr>
        <w:t xml:space="preserve"> y operaba una flota de 1.314 aeronaves, con hasta 5.500 vuelos diarios hacia más de 300 destinos en seis continentes. Además, su red internacional se apoya en alianzas estratégicas y </w:t>
      </w:r>
      <w:proofErr w:type="spellStart"/>
      <w:r w:rsidRPr="000D300B">
        <w:rPr>
          <w:rFonts w:ascii="Times New Roman" w:hAnsi="Times New Roman" w:cs="Times New Roman"/>
          <w:lang w:val="es-CR"/>
        </w:rPr>
        <w:t>joint</w:t>
      </w:r>
      <w:proofErr w:type="spellEnd"/>
      <w:r w:rsidRPr="000D300B">
        <w:rPr>
          <w:rFonts w:ascii="Times New Roman" w:hAnsi="Times New Roman" w:cs="Times New Roman"/>
          <w:lang w:val="es-CR"/>
        </w:rPr>
        <w:t xml:space="preserve"> ventures con aerolíneas como Air France-KLM, Virgin Atlantic, LATAM, </w:t>
      </w:r>
      <w:proofErr w:type="spellStart"/>
      <w:r w:rsidRPr="000D300B">
        <w:rPr>
          <w:rFonts w:ascii="Times New Roman" w:hAnsi="Times New Roman" w:cs="Times New Roman"/>
          <w:lang w:val="es-CR"/>
        </w:rPr>
        <w:t>Korean</w:t>
      </w:r>
      <w:proofErr w:type="spellEnd"/>
      <w:r w:rsidRPr="000D300B">
        <w:rPr>
          <w:rFonts w:ascii="Times New Roman" w:hAnsi="Times New Roman" w:cs="Times New Roman"/>
          <w:lang w:val="es-CR"/>
        </w:rPr>
        <w:t xml:space="preserve"> Air y Aeroméxico (Delta Air Lines, 2026, pp. 2–4).</w:t>
      </w:r>
    </w:p>
    <w:p w14:paraId="7613B16F" w14:textId="261AF16D"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La estrategia de Delta no se basa únicamente en volumen, sino en diferenciarse mediante calidad operativa, producto premium y fidelización del cliente. La empresa busca generar valor sostenible a través del crecimiento de márgenes, utilidades y flujo de caja libre, junto con la reducción </w:t>
      </w:r>
      <w:r w:rsidRPr="000D300B">
        <w:rPr>
          <w:rFonts w:ascii="Times New Roman" w:hAnsi="Times New Roman" w:cs="Times New Roman"/>
          <w:lang w:val="es-CR"/>
        </w:rPr>
        <w:lastRenderedPageBreak/>
        <w:t>progresiva de deuda. Asimismo, destaca su cultura organizacional como una de sus principales ventajas competitivas (Delta Air Lines, 2026, pp. 2–4).</w:t>
      </w:r>
    </w:p>
    <w:p w14:paraId="27CF0E7B" w14:textId="6B0BD769"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Dentro de su estrategia, Delta ha diversificado sus fuentes de ingreso más allá del transporte tradicional de pasajeros. Entre sus principales líneas se encuentran los productos premium, la relación con American Express mediante el programa </w:t>
      </w:r>
      <w:proofErr w:type="spellStart"/>
      <w:r w:rsidRPr="000D300B">
        <w:rPr>
          <w:rFonts w:ascii="Times New Roman" w:hAnsi="Times New Roman" w:cs="Times New Roman"/>
          <w:lang w:val="es-CR"/>
        </w:rPr>
        <w:t>SkyMiles</w:t>
      </w:r>
      <w:proofErr w:type="spellEnd"/>
      <w:r w:rsidRPr="000D300B">
        <w:rPr>
          <w:rFonts w:ascii="Times New Roman" w:hAnsi="Times New Roman" w:cs="Times New Roman"/>
          <w:lang w:val="es-CR"/>
        </w:rPr>
        <w:t xml:space="preserve">, el negocio de mantenimiento y actividades complementarias como carga aérea y turismo. En 2025, la remuneración proveniente de American Express alcanzó aproximadamente $8.2 mil millones, </w:t>
      </w:r>
      <w:r w:rsidR="007230AD">
        <w:rPr>
          <w:rFonts w:ascii="Times New Roman" w:hAnsi="Times New Roman" w:cs="Times New Roman"/>
          <w:lang w:val="es-CR"/>
        </w:rPr>
        <w:t>esperando crecer a $10 mil millones en los próximos años</w:t>
      </w:r>
      <w:r w:rsidRPr="000D300B">
        <w:rPr>
          <w:rFonts w:ascii="Times New Roman" w:hAnsi="Times New Roman" w:cs="Times New Roman"/>
          <w:lang w:val="es-CR"/>
        </w:rPr>
        <w:t xml:space="preserve"> (Delta Air Lines, 2026, pp. 40–66).</w:t>
      </w:r>
    </w:p>
    <w:p w14:paraId="282AADFA" w14:textId="661C797F"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Adicionalmente, la empresa incorpora objetivos de sostenibilidad a largo plazo, como la meta de alcanzar emisiones netas cero para el año 2050, reflejando una orientación hacia la gestión de riesgos ambientales y regulatorios (Delta Air Lines, 2026, p. 6).</w:t>
      </w:r>
    </w:p>
    <w:p w14:paraId="2064EB63" w14:textId="4D4E8BED" w:rsidR="004A1BFD" w:rsidRPr="000D300B" w:rsidRDefault="004A1BFD" w:rsidP="002D675B">
      <w:pPr>
        <w:pStyle w:val="ListParagraph"/>
        <w:numPr>
          <w:ilvl w:val="0"/>
          <w:numId w:val="8"/>
        </w:numPr>
        <w:jc w:val="both"/>
        <w:rPr>
          <w:rFonts w:ascii="Times New Roman" w:hAnsi="Times New Roman" w:cs="Times New Roman"/>
          <w:b/>
          <w:bCs/>
          <w:lang w:val="es-CR"/>
        </w:rPr>
      </w:pPr>
      <w:r w:rsidRPr="000D300B">
        <w:rPr>
          <w:rFonts w:ascii="Times New Roman" w:hAnsi="Times New Roman" w:cs="Times New Roman"/>
          <w:b/>
          <w:bCs/>
          <w:lang w:val="es-CR"/>
        </w:rPr>
        <w:t>Competencia</w:t>
      </w:r>
    </w:p>
    <w:p w14:paraId="53046822" w14:textId="0CBB8775"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La competencia en la industria aérea estadounidense es intensa y se da por rutas, tarifas, frecuencia, confiabilidad operativa y servicio. Delta identifica como principales competidores domésticos a American Airlines, </w:t>
      </w:r>
      <w:proofErr w:type="spellStart"/>
      <w:r w:rsidRPr="000D300B">
        <w:rPr>
          <w:rFonts w:ascii="Times New Roman" w:hAnsi="Times New Roman" w:cs="Times New Roman"/>
          <w:lang w:val="es-CR"/>
        </w:rPr>
        <w:t>United</w:t>
      </w:r>
      <w:proofErr w:type="spellEnd"/>
      <w:r w:rsidRPr="000D300B">
        <w:rPr>
          <w:rFonts w:ascii="Times New Roman" w:hAnsi="Times New Roman" w:cs="Times New Roman"/>
          <w:lang w:val="es-CR"/>
        </w:rPr>
        <w:t xml:space="preserve"> Airlines, Alaska Airlines, JetBlue y </w:t>
      </w:r>
      <w:proofErr w:type="spellStart"/>
      <w:r w:rsidRPr="000D300B">
        <w:rPr>
          <w:rFonts w:ascii="Times New Roman" w:hAnsi="Times New Roman" w:cs="Times New Roman"/>
          <w:lang w:val="es-CR"/>
        </w:rPr>
        <w:t>Southwest</w:t>
      </w:r>
      <w:proofErr w:type="spellEnd"/>
      <w:r w:rsidRPr="000D300B">
        <w:rPr>
          <w:rFonts w:ascii="Times New Roman" w:hAnsi="Times New Roman" w:cs="Times New Roman"/>
          <w:lang w:val="es-CR"/>
        </w:rPr>
        <w:t xml:space="preserve">, además de aerolíneas de bajo costo como </w:t>
      </w:r>
      <w:proofErr w:type="spellStart"/>
      <w:r w:rsidRPr="000D300B">
        <w:rPr>
          <w:rFonts w:ascii="Times New Roman" w:hAnsi="Times New Roman" w:cs="Times New Roman"/>
          <w:lang w:val="es-CR"/>
        </w:rPr>
        <w:t>Allegiant</w:t>
      </w:r>
      <w:proofErr w:type="spellEnd"/>
      <w:r w:rsidRPr="000D300B">
        <w:rPr>
          <w:rFonts w:ascii="Times New Roman" w:hAnsi="Times New Roman" w:cs="Times New Roman"/>
          <w:lang w:val="es-CR"/>
        </w:rPr>
        <w:t xml:space="preserve">, </w:t>
      </w:r>
      <w:proofErr w:type="spellStart"/>
      <w:r w:rsidRPr="000D300B">
        <w:rPr>
          <w:rFonts w:ascii="Times New Roman" w:hAnsi="Times New Roman" w:cs="Times New Roman"/>
          <w:lang w:val="es-CR"/>
        </w:rPr>
        <w:t>Frontier</w:t>
      </w:r>
      <w:proofErr w:type="spellEnd"/>
      <w:r w:rsidRPr="000D300B">
        <w:rPr>
          <w:rFonts w:ascii="Times New Roman" w:hAnsi="Times New Roman" w:cs="Times New Roman"/>
          <w:lang w:val="es-CR"/>
        </w:rPr>
        <w:t xml:space="preserve"> y Spirit (Delta Air Lines, 2026, p. 9).</w:t>
      </w:r>
    </w:p>
    <w:p w14:paraId="214A00E8" w14:textId="11485AB0"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Esto refuerza el carácter altamente competitivo del sector, donde las aerolíneas deben equilibrar costos, precios y calidad de servicio para mantener su participación de mercado.</w:t>
      </w:r>
    </w:p>
    <w:p w14:paraId="4F0BFE0A" w14:textId="14E82B23" w:rsidR="004A1BFD" w:rsidRPr="000D300B" w:rsidRDefault="004A1BFD" w:rsidP="002D675B">
      <w:pPr>
        <w:pStyle w:val="ListParagraph"/>
        <w:numPr>
          <w:ilvl w:val="0"/>
          <w:numId w:val="8"/>
        </w:numPr>
        <w:jc w:val="both"/>
        <w:rPr>
          <w:rFonts w:ascii="Times New Roman" w:hAnsi="Times New Roman" w:cs="Times New Roman"/>
          <w:b/>
          <w:bCs/>
          <w:lang w:val="es-CR"/>
        </w:rPr>
      </w:pPr>
      <w:r w:rsidRPr="000D300B">
        <w:rPr>
          <w:rFonts w:ascii="Times New Roman" w:hAnsi="Times New Roman" w:cs="Times New Roman"/>
          <w:b/>
          <w:bCs/>
          <w:lang w:val="es-CR"/>
        </w:rPr>
        <w:t>Ventajas competitivas y barreras de entrada</w:t>
      </w:r>
    </w:p>
    <w:p w14:paraId="004A564D" w14:textId="7A40B501"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Delta mantiene varias ventajas competitivas, entre ellas su confiabilidad operativa, red global, lealtad del cliente y fortaleza financiera. Asimismo, su posicionamiento como aerolínea premium y su capacidad de generar ingresos adicionales fortalecen su modelo de negocio (Delta Air Lines, 2026, pp. 2–4).</w:t>
      </w:r>
    </w:p>
    <w:p w14:paraId="1F28B1CE" w14:textId="4C521BD4"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Por otro lado, la industria presenta barreras de entrada significativas, incluyendo la necesidad de inversiones elevadas, acceso limitado a infraestructura aeroportuaria, regulaciones estrictas y economías de escala, lo que limita la entrada de nuevos competidores (Delta Air Lines, 2026, pp. 6–7).</w:t>
      </w:r>
    </w:p>
    <w:p w14:paraId="069F9F0B" w14:textId="42C046C0" w:rsidR="004A1BFD" w:rsidRPr="000D300B" w:rsidRDefault="00C40D56" w:rsidP="000D300B">
      <w:pPr>
        <w:pStyle w:val="Heading2"/>
        <w:rPr>
          <w:rFonts w:ascii="Times New Roman" w:hAnsi="Times New Roman" w:cs="Times New Roman"/>
          <w:b/>
          <w:bCs/>
          <w:color w:val="auto"/>
          <w:sz w:val="24"/>
          <w:szCs w:val="24"/>
          <w:lang w:val="es-CR"/>
        </w:rPr>
      </w:pPr>
      <w:bookmarkStart w:id="4" w:name="_Toc226530925"/>
      <w:r>
        <w:rPr>
          <w:rFonts w:ascii="Times New Roman" w:hAnsi="Times New Roman" w:cs="Times New Roman"/>
          <w:b/>
          <w:bCs/>
          <w:color w:val="auto"/>
          <w:sz w:val="24"/>
          <w:szCs w:val="24"/>
          <w:lang w:val="es-CR"/>
        </w:rPr>
        <w:t>2.3</w:t>
      </w:r>
      <w:r w:rsidR="000D300B" w:rsidRPr="000D300B">
        <w:rPr>
          <w:rFonts w:ascii="Times New Roman" w:hAnsi="Times New Roman" w:cs="Times New Roman"/>
          <w:b/>
          <w:bCs/>
          <w:color w:val="auto"/>
          <w:sz w:val="24"/>
          <w:szCs w:val="24"/>
          <w:lang w:val="es-CR"/>
        </w:rPr>
        <w:t xml:space="preserve"> </w:t>
      </w:r>
      <w:r w:rsidR="004A1BFD" w:rsidRPr="000D300B">
        <w:rPr>
          <w:rFonts w:ascii="Times New Roman" w:hAnsi="Times New Roman" w:cs="Times New Roman"/>
          <w:b/>
          <w:bCs/>
          <w:color w:val="auto"/>
          <w:sz w:val="24"/>
          <w:szCs w:val="24"/>
          <w:lang w:val="es-CR"/>
        </w:rPr>
        <w:t>Riesgos específicos de Delt</w:t>
      </w:r>
      <w:r w:rsidR="00072E67">
        <w:rPr>
          <w:rFonts w:ascii="Times New Roman" w:hAnsi="Times New Roman" w:cs="Times New Roman"/>
          <w:b/>
          <w:bCs/>
          <w:color w:val="auto"/>
          <w:sz w:val="24"/>
          <w:szCs w:val="24"/>
          <w:lang w:val="es-CR"/>
        </w:rPr>
        <w:t>a</w:t>
      </w:r>
      <w:bookmarkEnd w:id="4"/>
    </w:p>
    <w:p w14:paraId="3C95A764" w14:textId="4C0EBBC5"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Además de los riesgos estructurales propios de la industria aeronáutica, Delta presenta una serie de exposiciones particulares que deben considerarse dentro del análisis de riesgo de crédito, ya que pueden afectar directamente su estabilidad operativa, financiera y reputacional.</w:t>
      </w:r>
    </w:p>
    <w:p w14:paraId="397D85CC" w14:textId="58455D78" w:rsidR="004A1BFD" w:rsidRPr="000D300B" w:rsidRDefault="004A1BFD" w:rsidP="000D300B">
      <w:pPr>
        <w:pStyle w:val="ListParagraph"/>
        <w:numPr>
          <w:ilvl w:val="0"/>
          <w:numId w:val="8"/>
        </w:numPr>
        <w:jc w:val="both"/>
        <w:rPr>
          <w:rFonts w:ascii="Times New Roman" w:hAnsi="Times New Roman" w:cs="Times New Roman"/>
          <w:b/>
          <w:bCs/>
          <w:lang w:val="es-CR"/>
        </w:rPr>
      </w:pPr>
      <w:r w:rsidRPr="000D300B">
        <w:rPr>
          <w:rFonts w:ascii="Times New Roman" w:hAnsi="Times New Roman" w:cs="Times New Roman"/>
          <w:b/>
          <w:bCs/>
          <w:lang w:val="es-CR"/>
        </w:rPr>
        <w:t>Riesgo reputacional y de eventos catastróficos</w:t>
      </w:r>
    </w:p>
    <w:p w14:paraId="76667EA2" w14:textId="4D408195"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Delta identifica como un riesgo relevante la posibilidad de pérdidas y publicidad adversa derivadas de un accidente serio que involucre sus aeronaves o las de sus socios comerciales. Este tipo de </w:t>
      </w:r>
      <w:r w:rsidRPr="000D300B">
        <w:rPr>
          <w:rFonts w:ascii="Times New Roman" w:hAnsi="Times New Roman" w:cs="Times New Roman"/>
          <w:lang w:val="es-CR"/>
        </w:rPr>
        <w:lastRenderedPageBreak/>
        <w:t xml:space="preserve">evento puede generar responsabilidades legales significativas y deteriorar la percepción de seguridad por parte del público, afectando la demanda. </w:t>
      </w:r>
      <w:r w:rsidR="00A1197A">
        <w:rPr>
          <w:rFonts w:ascii="Times New Roman" w:hAnsi="Times New Roman" w:cs="Times New Roman"/>
          <w:lang w:val="es-CR"/>
        </w:rPr>
        <w:t>E</w:t>
      </w:r>
      <w:r w:rsidRPr="000D300B">
        <w:rPr>
          <w:rFonts w:ascii="Times New Roman" w:hAnsi="Times New Roman" w:cs="Times New Roman"/>
          <w:lang w:val="es-CR"/>
        </w:rPr>
        <w:t>sto podría impactar rápidamente los ingresos y los flujos de efectivo, incrementando la presión sobre la liquidez (Delta Air Lines, 2026, p. 16).</w:t>
      </w:r>
    </w:p>
    <w:p w14:paraId="25185306" w14:textId="7755BD7F" w:rsidR="004A1BFD" w:rsidRPr="000D300B" w:rsidRDefault="004A1BFD" w:rsidP="000D300B">
      <w:pPr>
        <w:pStyle w:val="ListParagraph"/>
        <w:numPr>
          <w:ilvl w:val="0"/>
          <w:numId w:val="8"/>
        </w:numPr>
        <w:jc w:val="both"/>
        <w:rPr>
          <w:rFonts w:ascii="Times New Roman" w:hAnsi="Times New Roman" w:cs="Times New Roman"/>
          <w:b/>
          <w:bCs/>
          <w:lang w:val="es-CR"/>
        </w:rPr>
      </w:pPr>
      <w:r w:rsidRPr="000D300B">
        <w:rPr>
          <w:rFonts w:ascii="Times New Roman" w:hAnsi="Times New Roman" w:cs="Times New Roman"/>
          <w:b/>
          <w:bCs/>
          <w:lang w:val="es-CR"/>
        </w:rPr>
        <w:t>Riesgo tecnológico y ciberseguridad</w:t>
      </w:r>
    </w:p>
    <w:p w14:paraId="775A911F" w14:textId="0B68F624"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La empresa reconoce que maneja grandes volúmenes de información sensible y que sus sistemas, así como los de terceros, están expuestos a amenazas crecientes de ciberseguridad. Un incidente relevante podría generar interrupciones operativas, costos adicionales, afectación reputacional y posibles responsabilidades legales. Aunque en los últimos años no se han reportado eventos materiales, el riesgo sigue siendo significativo debido a la alta dependencia operativa de sus sistemas (Delta Air Lines, 2026, pp. 16, 26–27).</w:t>
      </w:r>
    </w:p>
    <w:p w14:paraId="0E48F57F" w14:textId="1F6CE6AB"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Delta también enfrenta riesgos asociados a fallas en su infraestructura tecnológica, incluyendo sistemas internos, proveedores externos y servicios en la nube. La compañía señala que interrupciones o fallas en estos sistemas pueden afectar directamente su operación, el servicio al cliente y los ingresos (Delta Air Lines, 2026, p. 16).</w:t>
      </w:r>
    </w:p>
    <w:p w14:paraId="0C7C6EDB" w14:textId="6DD4FF96" w:rsidR="004A1BFD" w:rsidRPr="000D300B" w:rsidRDefault="004A1BFD" w:rsidP="000D300B">
      <w:pPr>
        <w:pStyle w:val="ListParagraph"/>
        <w:numPr>
          <w:ilvl w:val="0"/>
          <w:numId w:val="8"/>
        </w:numPr>
        <w:jc w:val="both"/>
        <w:rPr>
          <w:rFonts w:ascii="Times New Roman" w:hAnsi="Times New Roman" w:cs="Times New Roman"/>
          <w:b/>
          <w:bCs/>
          <w:lang w:val="es-CR"/>
        </w:rPr>
      </w:pPr>
      <w:r w:rsidRPr="000D300B">
        <w:rPr>
          <w:rFonts w:ascii="Times New Roman" w:hAnsi="Times New Roman" w:cs="Times New Roman"/>
          <w:b/>
          <w:bCs/>
          <w:lang w:val="es-CR"/>
        </w:rPr>
        <w:t xml:space="preserve">Riesgo asociado al combustible y a Monroe </w:t>
      </w:r>
      <w:proofErr w:type="spellStart"/>
      <w:r w:rsidRPr="000D300B">
        <w:rPr>
          <w:rFonts w:ascii="Times New Roman" w:hAnsi="Times New Roman" w:cs="Times New Roman"/>
          <w:b/>
          <w:bCs/>
          <w:lang w:val="es-CR"/>
        </w:rPr>
        <w:t>Refinery</w:t>
      </w:r>
      <w:proofErr w:type="spellEnd"/>
    </w:p>
    <w:p w14:paraId="784984EE" w14:textId="3EB81250"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Además de la exposición general al precio del combustible, Delta enfrenta un riesgo particular derivado de su integración parcial en la refinación mediante Monroe. La empresa indica que interrupciones en esta operación o variaciones en los márgenes de refinación pueden afectar sus resultados. (Delta Air Lines, 2026, pp. 17–18, 37, 90).</w:t>
      </w:r>
    </w:p>
    <w:p w14:paraId="69EC098A" w14:textId="1E601CE7" w:rsidR="004A1BFD" w:rsidRPr="000D300B" w:rsidRDefault="004A1BFD" w:rsidP="000D300B">
      <w:pPr>
        <w:pStyle w:val="ListParagraph"/>
        <w:numPr>
          <w:ilvl w:val="0"/>
          <w:numId w:val="8"/>
        </w:numPr>
        <w:jc w:val="both"/>
        <w:rPr>
          <w:rFonts w:ascii="Times New Roman" w:hAnsi="Times New Roman" w:cs="Times New Roman"/>
          <w:b/>
          <w:bCs/>
          <w:lang w:val="es-CR"/>
        </w:rPr>
      </w:pPr>
      <w:r w:rsidRPr="000D300B">
        <w:rPr>
          <w:rFonts w:ascii="Times New Roman" w:hAnsi="Times New Roman" w:cs="Times New Roman"/>
          <w:b/>
          <w:bCs/>
          <w:lang w:val="es-CR"/>
        </w:rPr>
        <w:t xml:space="preserve">Riesgo de concentración en fuentes de ingreso (American Express / </w:t>
      </w:r>
      <w:proofErr w:type="spellStart"/>
      <w:r w:rsidRPr="000D300B">
        <w:rPr>
          <w:rFonts w:ascii="Times New Roman" w:hAnsi="Times New Roman" w:cs="Times New Roman"/>
          <w:b/>
          <w:bCs/>
          <w:lang w:val="es-CR"/>
        </w:rPr>
        <w:t>SkyMiles</w:t>
      </w:r>
      <w:proofErr w:type="spellEnd"/>
      <w:r w:rsidRPr="000D300B">
        <w:rPr>
          <w:rFonts w:ascii="Times New Roman" w:hAnsi="Times New Roman" w:cs="Times New Roman"/>
          <w:b/>
          <w:bCs/>
          <w:lang w:val="es-CR"/>
        </w:rPr>
        <w:t>)</w:t>
      </w:r>
    </w:p>
    <w:p w14:paraId="16E3414B" w14:textId="6A5E3F5B"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Delta mantiene una dependencia relevante de ciertas relaciones comerciales estratégicas, especialmente con American Express a través del programa </w:t>
      </w:r>
      <w:proofErr w:type="spellStart"/>
      <w:r w:rsidRPr="000D300B">
        <w:rPr>
          <w:rFonts w:ascii="Times New Roman" w:hAnsi="Times New Roman" w:cs="Times New Roman"/>
          <w:lang w:val="es-CR"/>
        </w:rPr>
        <w:t>SkyMiles</w:t>
      </w:r>
      <w:proofErr w:type="spellEnd"/>
      <w:r w:rsidRPr="000D300B">
        <w:rPr>
          <w:rFonts w:ascii="Times New Roman" w:hAnsi="Times New Roman" w:cs="Times New Roman"/>
          <w:lang w:val="es-CR"/>
        </w:rPr>
        <w:t>. Esta relación representa una fuente significativa de ingresos, por lo que cualquier cambio en la misma podría afectar la estabilidad de dichos flujos (Delta Air Lines, 2026, pp. 3–4).</w:t>
      </w:r>
    </w:p>
    <w:p w14:paraId="3F16A1AE" w14:textId="6EC36FF5" w:rsidR="004A1BFD" w:rsidRPr="000D300B" w:rsidRDefault="004A1BFD" w:rsidP="000D300B">
      <w:pPr>
        <w:pStyle w:val="ListParagraph"/>
        <w:numPr>
          <w:ilvl w:val="0"/>
          <w:numId w:val="8"/>
        </w:numPr>
        <w:jc w:val="both"/>
        <w:rPr>
          <w:rFonts w:ascii="Times New Roman" w:hAnsi="Times New Roman" w:cs="Times New Roman"/>
          <w:b/>
          <w:bCs/>
          <w:lang w:val="es-CR"/>
        </w:rPr>
      </w:pPr>
      <w:r w:rsidRPr="000D300B">
        <w:rPr>
          <w:rFonts w:ascii="Times New Roman" w:hAnsi="Times New Roman" w:cs="Times New Roman"/>
          <w:b/>
          <w:bCs/>
          <w:lang w:val="es-CR"/>
        </w:rPr>
        <w:t>Riesgo asociado a alianzas estratégicas y operaciones globales</w:t>
      </w:r>
    </w:p>
    <w:p w14:paraId="1CF0DBAA" w14:textId="7D9E965E"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La empresa depende de alianzas internacionales y </w:t>
      </w:r>
      <w:proofErr w:type="spellStart"/>
      <w:r w:rsidRPr="000D300B">
        <w:rPr>
          <w:rFonts w:ascii="Times New Roman" w:hAnsi="Times New Roman" w:cs="Times New Roman"/>
          <w:lang w:val="es-CR"/>
        </w:rPr>
        <w:t>joint</w:t>
      </w:r>
      <w:proofErr w:type="spellEnd"/>
      <w:r w:rsidRPr="000D300B">
        <w:rPr>
          <w:rFonts w:ascii="Times New Roman" w:hAnsi="Times New Roman" w:cs="Times New Roman"/>
          <w:lang w:val="es-CR"/>
        </w:rPr>
        <w:t xml:space="preserve"> ventures para sostener su red global, lo cual incrementa la complejidad operativa y la exposición a riesgos regulatorios y geopolíticos (Delta Air Lines, 2026, pp. 4–5, 9–10).</w:t>
      </w:r>
    </w:p>
    <w:p w14:paraId="12D776B0" w14:textId="47FB8DFB" w:rsidR="004A1BFD" w:rsidRDefault="004A1BFD" w:rsidP="004A1BFD">
      <w:pPr>
        <w:jc w:val="both"/>
        <w:rPr>
          <w:rFonts w:ascii="Times New Roman" w:hAnsi="Times New Roman" w:cs="Times New Roman"/>
          <w:lang w:val="es-CR"/>
        </w:rPr>
      </w:pPr>
      <w:r w:rsidRPr="000D300B">
        <w:rPr>
          <w:rFonts w:ascii="Times New Roman" w:hAnsi="Times New Roman" w:cs="Times New Roman"/>
          <w:lang w:val="es-CR"/>
        </w:rPr>
        <w:t>En conjunto, estos riesgos evidencian que Delta no solo enfrenta los desafíos estructurales de la industria, sino también exposiciones específicas derivadas de su modelo de negocio, su escala operativa y sus decisiones estratégicas.</w:t>
      </w:r>
    </w:p>
    <w:p w14:paraId="53FF3302" w14:textId="77777777" w:rsidR="00F80B73" w:rsidRDefault="00F80B73" w:rsidP="004A1BFD">
      <w:pPr>
        <w:jc w:val="both"/>
        <w:rPr>
          <w:rFonts w:ascii="Times New Roman" w:hAnsi="Times New Roman" w:cs="Times New Roman"/>
          <w:lang w:val="es-CR"/>
        </w:rPr>
      </w:pPr>
    </w:p>
    <w:p w14:paraId="4C7C3ADF" w14:textId="77777777" w:rsidR="00F80B73" w:rsidRPr="000D300B" w:rsidRDefault="00F80B73" w:rsidP="004A1BFD">
      <w:pPr>
        <w:jc w:val="both"/>
        <w:rPr>
          <w:rFonts w:ascii="Times New Roman" w:hAnsi="Times New Roman" w:cs="Times New Roman"/>
          <w:lang w:val="es-CR"/>
        </w:rPr>
      </w:pPr>
    </w:p>
    <w:p w14:paraId="2C7E6047" w14:textId="690B4BDF" w:rsidR="004A1BFD" w:rsidRPr="000D300B" w:rsidRDefault="004A1BFD" w:rsidP="000D300B">
      <w:pPr>
        <w:pStyle w:val="ListParagraph"/>
        <w:numPr>
          <w:ilvl w:val="0"/>
          <w:numId w:val="8"/>
        </w:numPr>
        <w:jc w:val="both"/>
        <w:rPr>
          <w:rFonts w:ascii="Times New Roman" w:hAnsi="Times New Roman" w:cs="Times New Roman"/>
          <w:b/>
          <w:bCs/>
          <w:lang w:val="es-CR"/>
        </w:rPr>
      </w:pPr>
      <w:r w:rsidRPr="000D300B">
        <w:rPr>
          <w:rFonts w:ascii="Times New Roman" w:hAnsi="Times New Roman" w:cs="Times New Roman"/>
          <w:b/>
          <w:bCs/>
          <w:lang w:val="es-CR"/>
        </w:rPr>
        <w:lastRenderedPageBreak/>
        <w:t>Exposición a riesgos de mercado</w:t>
      </w:r>
    </w:p>
    <w:p w14:paraId="46F3D3F6" w14:textId="6AAD1092"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Adicionalmente a los riesgos cualitativos identificados, Delta presenta una exposición relevante a riesgos de mercado que pueden impactar directamente sus resultados financieros.</w:t>
      </w:r>
    </w:p>
    <w:p w14:paraId="01D970B0" w14:textId="07BFA230"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En primer lugar, el riesgo de combustible representa una de las principales fuentes de volatilidad. La empresa indica que un aumento de un centavo por galón en el precio del jet fuel implicaría aproximadamente $40 millones adicionales en gastos anuales</w:t>
      </w:r>
      <w:r w:rsidR="00774C36">
        <w:rPr>
          <w:rFonts w:ascii="Times New Roman" w:hAnsi="Times New Roman" w:cs="Times New Roman"/>
          <w:lang w:val="es-CR"/>
        </w:rPr>
        <w:t xml:space="preserve"> (</w:t>
      </w:r>
      <w:r w:rsidR="00774C36" w:rsidRPr="000D300B">
        <w:rPr>
          <w:rFonts w:ascii="Times New Roman" w:hAnsi="Times New Roman" w:cs="Times New Roman"/>
          <w:lang w:val="es-CR"/>
        </w:rPr>
        <w:t>Delta Air Lines, 2026</w:t>
      </w:r>
      <w:r w:rsidR="00774C36">
        <w:rPr>
          <w:rFonts w:ascii="Times New Roman" w:hAnsi="Times New Roman" w:cs="Times New Roman"/>
          <w:lang w:val="es-CR"/>
        </w:rPr>
        <w:t>, p. 51).</w:t>
      </w:r>
    </w:p>
    <w:p w14:paraId="5307AE79" w14:textId="5B7E4D02"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Asimismo, la compañía presenta exposición a cambios en tasas de interés, principalmente asociados a su deuda y obligaciones de arrendamiento. Un incremento de </w:t>
      </w:r>
      <w:r w:rsidR="008B4CAA">
        <w:rPr>
          <w:rFonts w:ascii="Times New Roman" w:hAnsi="Times New Roman" w:cs="Times New Roman"/>
          <w:lang w:val="es-CR"/>
        </w:rPr>
        <w:t>1%</w:t>
      </w:r>
      <w:r w:rsidRPr="000D300B">
        <w:rPr>
          <w:rFonts w:ascii="Times New Roman" w:hAnsi="Times New Roman" w:cs="Times New Roman"/>
          <w:lang w:val="es-CR"/>
        </w:rPr>
        <w:t xml:space="preserve"> en las tasas podría aumentar los gastos financieros en aproximadamente $11 millones anuales</w:t>
      </w:r>
      <w:r w:rsidR="00774C36">
        <w:rPr>
          <w:rFonts w:ascii="Times New Roman" w:hAnsi="Times New Roman" w:cs="Times New Roman"/>
          <w:lang w:val="es-CR"/>
        </w:rPr>
        <w:t xml:space="preserve"> (</w:t>
      </w:r>
      <w:r w:rsidR="00774C36" w:rsidRPr="000D300B">
        <w:rPr>
          <w:rFonts w:ascii="Times New Roman" w:hAnsi="Times New Roman" w:cs="Times New Roman"/>
          <w:lang w:val="es-CR"/>
        </w:rPr>
        <w:t>Delta Air Lines, 2026</w:t>
      </w:r>
      <w:r w:rsidR="00774C36">
        <w:rPr>
          <w:rFonts w:ascii="Times New Roman" w:hAnsi="Times New Roman" w:cs="Times New Roman"/>
          <w:lang w:val="es-CR"/>
        </w:rPr>
        <w:t>, p. 51).</w:t>
      </w:r>
    </w:p>
    <w:p w14:paraId="3BADE1FB" w14:textId="59BC1C3E"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Por otro lado, Delta está expuesta a riesgo cambiario debido a operaciones internacionales y a inversiones en otras aerolíneas. Una variación del 10% en las monedas extranjeras podría generar un impacto aproximado de $290 millones en sus estados financieros</w:t>
      </w:r>
      <w:r w:rsidR="00296D4E">
        <w:rPr>
          <w:rFonts w:ascii="Times New Roman" w:hAnsi="Times New Roman" w:cs="Times New Roman"/>
          <w:lang w:val="es-CR"/>
        </w:rPr>
        <w:t xml:space="preserve"> (</w:t>
      </w:r>
      <w:r w:rsidR="00296D4E" w:rsidRPr="000D300B">
        <w:rPr>
          <w:rFonts w:ascii="Times New Roman" w:hAnsi="Times New Roman" w:cs="Times New Roman"/>
          <w:lang w:val="es-CR"/>
        </w:rPr>
        <w:t>Delta Air Lines, 2026</w:t>
      </w:r>
      <w:r w:rsidR="00296D4E">
        <w:rPr>
          <w:rFonts w:ascii="Times New Roman" w:hAnsi="Times New Roman" w:cs="Times New Roman"/>
          <w:lang w:val="es-CR"/>
        </w:rPr>
        <w:t>, p. 51).</w:t>
      </w:r>
    </w:p>
    <w:p w14:paraId="1544E99F" w14:textId="717B005F" w:rsidR="004A1BFD" w:rsidRPr="000D300B" w:rsidRDefault="004A1BFD" w:rsidP="004A1BFD">
      <w:pPr>
        <w:jc w:val="both"/>
        <w:rPr>
          <w:rFonts w:ascii="Times New Roman" w:hAnsi="Times New Roman" w:cs="Times New Roman"/>
          <w:lang w:val="es-CR"/>
        </w:rPr>
      </w:pPr>
      <w:r w:rsidRPr="000D300B">
        <w:rPr>
          <w:rFonts w:ascii="Times New Roman" w:hAnsi="Times New Roman" w:cs="Times New Roman"/>
          <w:lang w:val="es-CR"/>
        </w:rPr>
        <w:t xml:space="preserve">Finalmente, la empresa enfrenta riesgo en el valor de sus inversiones en </w:t>
      </w:r>
      <w:r w:rsidR="008C67EC">
        <w:rPr>
          <w:rFonts w:ascii="Times New Roman" w:hAnsi="Times New Roman" w:cs="Times New Roman"/>
          <w:lang w:val="es-CR"/>
        </w:rPr>
        <w:t>Equidad</w:t>
      </w:r>
      <w:r w:rsidRPr="000D300B">
        <w:rPr>
          <w:rFonts w:ascii="Times New Roman" w:hAnsi="Times New Roman" w:cs="Times New Roman"/>
          <w:lang w:val="es-CR"/>
        </w:rPr>
        <w:t>, donde una variación del 10% en su valor podría impactar los resultados en aproximadamente $360 millones</w:t>
      </w:r>
      <w:r w:rsidR="0014263C">
        <w:rPr>
          <w:rFonts w:ascii="Times New Roman" w:hAnsi="Times New Roman" w:cs="Times New Roman"/>
          <w:lang w:val="es-CR"/>
        </w:rPr>
        <w:t xml:space="preserve"> </w:t>
      </w:r>
      <w:r w:rsidR="00A8765A">
        <w:rPr>
          <w:rFonts w:ascii="Times New Roman" w:hAnsi="Times New Roman" w:cs="Times New Roman"/>
          <w:lang w:val="es-CR"/>
        </w:rPr>
        <w:t>(</w:t>
      </w:r>
      <w:r w:rsidR="00A8765A" w:rsidRPr="000D300B">
        <w:rPr>
          <w:rFonts w:ascii="Times New Roman" w:hAnsi="Times New Roman" w:cs="Times New Roman"/>
          <w:lang w:val="es-CR"/>
        </w:rPr>
        <w:t>Delta Air Lines, 2026</w:t>
      </w:r>
      <w:r w:rsidR="00A8765A">
        <w:rPr>
          <w:rFonts w:ascii="Times New Roman" w:hAnsi="Times New Roman" w:cs="Times New Roman"/>
          <w:lang w:val="es-CR"/>
        </w:rPr>
        <w:t>, p. 51).</w:t>
      </w:r>
    </w:p>
    <w:p w14:paraId="055034CA" w14:textId="203F2FD9" w:rsidR="004A1BFD" w:rsidRPr="000D300B" w:rsidRDefault="0014263C" w:rsidP="004A1BFD">
      <w:pPr>
        <w:jc w:val="both"/>
        <w:rPr>
          <w:rFonts w:ascii="Times New Roman" w:hAnsi="Times New Roman" w:cs="Times New Roman"/>
          <w:lang w:val="es-CR"/>
        </w:rPr>
      </w:pPr>
      <w:r>
        <w:rPr>
          <w:rFonts w:ascii="Times New Roman" w:hAnsi="Times New Roman" w:cs="Times New Roman"/>
          <w:lang w:val="es-CR"/>
        </w:rPr>
        <w:t xml:space="preserve">Estas </w:t>
      </w:r>
      <w:r w:rsidR="004A1BFD" w:rsidRPr="000D300B">
        <w:rPr>
          <w:rFonts w:ascii="Times New Roman" w:hAnsi="Times New Roman" w:cs="Times New Roman"/>
          <w:lang w:val="es-CR"/>
        </w:rPr>
        <w:t>exposiciones son particularmente relevantes, ya que pueden afectar directamente la rentabilidad, el flujo de caja y la estabilidad financiera de la empresa, incrementando la volatilidad en su capacidad de pago.</w:t>
      </w:r>
    </w:p>
    <w:p w14:paraId="59050C38" w14:textId="15DB1DF9" w:rsidR="000B2FCB" w:rsidRPr="000D300B" w:rsidRDefault="000B2FCB" w:rsidP="000D300B">
      <w:pPr>
        <w:pStyle w:val="Heading1"/>
        <w:numPr>
          <w:ilvl w:val="0"/>
          <w:numId w:val="9"/>
        </w:numPr>
        <w:rPr>
          <w:rFonts w:ascii="Times New Roman" w:hAnsi="Times New Roman" w:cs="Times New Roman"/>
          <w:b/>
          <w:bCs/>
          <w:color w:val="auto"/>
          <w:sz w:val="24"/>
          <w:szCs w:val="24"/>
          <w:lang w:val="es-CR"/>
        </w:rPr>
      </w:pPr>
      <w:bookmarkStart w:id="5" w:name="_Toc226530926"/>
      <w:r w:rsidRPr="000D300B">
        <w:rPr>
          <w:rFonts w:ascii="Times New Roman" w:hAnsi="Times New Roman" w:cs="Times New Roman"/>
          <w:b/>
          <w:bCs/>
          <w:color w:val="auto"/>
          <w:sz w:val="24"/>
          <w:szCs w:val="24"/>
          <w:lang w:val="es-CR"/>
        </w:rPr>
        <w:t>Análisis Financiero</w:t>
      </w:r>
      <w:bookmarkEnd w:id="5"/>
    </w:p>
    <w:p w14:paraId="2E7DF005" w14:textId="7F903BAE" w:rsidR="00F23DF0" w:rsidRPr="000D300B" w:rsidRDefault="00F23DF0" w:rsidP="00F23DF0">
      <w:pPr>
        <w:jc w:val="both"/>
        <w:rPr>
          <w:rFonts w:ascii="Times New Roman" w:hAnsi="Times New Roman" w:cs="Times New Roman"/>
          <w:lang w:val="es-CR"/>
        </w:rPr>
      </w:pPr>
      <w:r w:rsidRPr="000D300B">
        <w:rPr>
          <w:rFonts w:ascii="Times New Roman" w:hAnsi="Times New Roman" w:cs="Times New Roman"/>
          <w:lang w:val="es-CR"/>
        </w:rPr>
        <w:t>Las partidas utilizadas en el análisis corresponden a valores en libros, los cuales ya reflejan provisiones, depreciaciones y amortizaciones acumuladas, según lo presentado en los estados financieros de la empresa.</w:t>
      </w:r>
    </w:p>
    <w:p w14:paraId="2620CF69" w14:textId="6DAB4415" w:rsidR="00F23DF0" w:rsidRPr="000D300B" w:rsidRDefault="00F23DF0" w:rsidP="00F23DF0">
      <w:pPr>
        <w:jc w:val="both"/>
        <w:rPr>
          <w:rFonts w:ascii="Times New Roman" w:hAnsi="Times New Roman" w:cs="Times New Roman"/>
          <w:lang w:val="es-CR"/>
        </w:rPr>
      </w:pPr>
      <w:r w:rsidRPr="000D300B">
        <w:rPr>
          <w:rFonts w:ascii="Times New Roman" w:hAnsi="Times New Roman" w:cs="Times New Roman"/>
          <w:lang w:val="es-CR"/>
        </w:rPr>
        <w:t xml:space="preserve">Primeramente, se analizará el desempeño de </w:t>
      </w:r>
      <w:r w:rsidR="009E1592">
        <w:rPr>
          <w:rFonts w:ascii="Times New Roman" w:hAnsi="Times New Roman" w:cs="Times New Roman"/>
          <w:lang w:val="es-CR"/>
        </w:rPr>
        <w:t>Delta</w:t>
      </w:r>
      <w:r w:rsidRPr="000D300B">
        <w:rPr>
          <w:rFonts w:ascii="Times New Roman" w:hAnsi="Times New Roman" w:cs="Times New Roman"/>
          <w:lang w:val="es-CR"/>
        </w:rPr>
        <w:t xml:space="preserve"> mediante indicadores financieros clave, con el fin de evaluar su capacidad operativa, liquidez y perfil de riesgo.</w:t>
      </w:r>
    </w:p>
    <w:p w14:paraId="6FD0D886" w14:textId="4997B695" w:rsidR="00F23DF0" w:rsidRPr="00741E52" w:rsidRDefault="00F23DF0" w:rsidP="00741E52">
      <w:pPr>
        <w:jc w:val="center"/>
        <w:rPr>
          <w:rFonts w:ascii="Times New Roman" w:hAnsi="Times New Roman" w:cs="Times New Roman"/>
          <w:i/>
          <w:iCs/>
          <w:lang w:val="es-CR"/>
        </w:rPr>
      </w:pPr>
      <w:r w:rsidRPr="00741E52">
        <w:rPr>
          <w:rFonts w:ascii="Times New Roman" w:hAnsi="Times New Roman" w:cs="Times New Roman"/>
          <w:lang w:val="es-CR"/>
        </w:rPr>
        <w:t xml:space="preserve">Tabla 1. </w:t>
      </w:r>
      <w:r w:rsidRPr="00741E52">
        <w:rPr>
          <w:rFonts w:ascii="Times New Roman" w:hAnsi="Times New Roman" w:cs="Times New Roman"/>
          <w:i/>
          <w:iCs/>
          <w:lang w:val="es-CR"/>
        </w:rPr>
        <w:t>Indicadores clave de Delta Air Lines (millones USD, excepto porcentajes)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312"/>
        <w:gridCol w:w="1208"/>
        <w:gridCol w:w="1164"/>
      </w:tblGrid>
      <w:tr w:rsidR="00484C75" w:rsidRPr="000D300B" w14:paraId="683F5121" w14:textId="77777777" w:rsidTr="00484C75">
        <w:trPr>
          <w:trHeight w:val="323"/>
          <w:jc w:val="center"/>
        </w:trPr>
        <w:tc>
          <w:tcPr>
            <w:tcW w:w="2430" w:type="dxa"/>
            <w:tcBorders>
              <w:top w:val="single" w:sz="4" w:space="0" w:color="auto"/>
              <w:bottom w:val="single" w:sz="4" w:space="0" w:color="auto"/>
            </w:tcBorders>
          </w:tcPr>
          <w:p w14:paraId="4C543FDB" w14:textId="508CB7E5" w:rsidR="00F23DF0" w:rsidRPr="000D300B" w:rsidRDefault="00F23DF0" w:rsidP="00F23DF0">
            <w:pPr>
              <w:rPr>
                <w:rFonts w:ascii="Times New Roman" w:hAnsi="Times New Roman" w:cs="Times New Roman"/>
                <w:b/>
                <w:bCs/>
                <w:lang w:val="es-CR"/>
              </w:rPr>
            </w:pPr>
            <w:r w:rsidRPr="000D300B">
              <w:rPr>
                <w:rFonts w:ascii="Times New Roman" w:hAnsi="Times New Roman" w:cs="Times New Roman"/>
                <w:b/>
                <w:bCs/>
                <w:lang w:val="es-CR"/>
              </w:rPr>
              <w:t>Métrica</w:t>
            </w:r>
          </w:p>
        </w:tc>
        <w:tc>
          <w:tcPr>
            <w:tcW w:w="1312" w:type="dxa"/>
            <w:tcBorders>
              <w:top w:val="single" w:sz="4" w:space="0" w:color="auto"/>
              <w:bottom w:val="single" w:sz="4" w:space="0" w:color="auto"/>
            </w:tcBorders>
          </w:tcPr>
          <w:p w14:paraId="57229E6E" w14:textId="47F8A989" w:rsidR="00F23DF0" w:rsidRPr="000D300B" w:rsidRDefault="00F23DF0" w:rsidP="00AE0789">
            <w:pPr>
              <w:jc w:val="center"/>
              <w:rPr>
                <w:rFonts w:ascii="Times New Roman" w:hAnsi="Times New Roman" w:cs="Times New Roman"/>
                <w:b/>
                <w:bCs/>
                <w:lang w:val="es-CR"/>
              </w:rPr>
            </w:pPr>
            <w:r w:rsidRPr="000D300B">
              <w:rPr>
                <w:rFonts w:ascii="Times New Roman" w:hAnsi="Times New Roman" w:cs="Times New Roman"/>
                <w:b/>
                <w:bCs/>
                <w:lang w:val="es-CR"/>
              </w:rPr>
              <w:t>2024</w:t>
            </w:r>
          </w:p>
        </w:tc>
        <w:tc>
          <w:tcPr>
            <w:tcW w:w="1208" w:type="dxa"/>
            <w:tcBorders>
              <w:top w:val="single" w:sz="4" w:space="0" w:color="auto"/>
              <w:bottom w:val="single" w:sz="4" w:space="0" w:color="auto"/>
            </w:tcBorders>
          </w:tcPr>
          <w:p w14:paraId="6624D50C" w14:textId="7C173A36" w:rsidR="00F23DF0" w:rsidRPr="000D300B" w:rsidRDefault="00F23DF0" w:rsidP="00AE0789">
            <w:pPr>
              <w:jc w:val="center"/>
              <w:rPr>
                <w:rFonts w:ascii="Times New Roman" w:hAnsi="Times New Roman" w:cs="Times New Roman"/>
                <w:b/>
                <w:bCs/>
                <w:lang w:val="es-CR"/>
              </w:rPr>
            </w:pPr>
            <w:r w:rsidRPr="000D300B">
              <w:rPr>
                <w:rFonts w:ascii="Times New Roman" w:hAnsi="Times New Roman" w:cs="Times New Roman"/>
                <w:b/>
                <w:bCs/>
                <w:lang w:val="es-CR"/>
              </w:rPr>
              <w:t>2025</w:t>
            </w:r>
          </w:p>
        </w:tc>
        <w:tc>
          <w:tcPr>
            <w:tcW w:w="1164" w:type="dxa"/>
            <w:tcBorders>
              <w:top w:val="single" w:sz="4" w:space="0" w:color="auto"/>
              <w:bottom w:val="single" w:sz="4" w:space="0" w:color="auto"/>
            </w:tcBorders>
          </w:tcPr>
          <w:p w14:paraId="2E0E2D90" w14:textId="711D8C0E" w:rsidR="00F23DF0" w:rsidRPr="000D300B" w:rsidRDefault="00F23DF0" w:rsidP="00AE0789">
            <w:pPr>
              <w:jc w:val="center"/>
              <w:rPr>
                <w:rFonts w:ascii="Times New Roman" w:hAnsi="Times New Roman" w:cs="Times New Roman"/>
                <w:b/>
                <w:bCs/>
                <w:lang w:val="es-CR"/>
              </w:rPr>
            </w:pPr>
            <w:r w:rsidRPr="000D300B">
              <w:rPr>
                <w:rFonts w:ascii="Times New Roman" w:hAnsi="Times New Roman" w:cs="Times New Roman"/>
                <w:b/>
                <w:bCs/>
                <w:lang w:val="es-CR"/>
              </w:rPr>
              <w:t>g</w:t>
            </w:r>
          </w:p>
        </w:tc>
      </w:tr>
      <w:tr w:rsidR="00484C75" w:rsidRPr="000D300B" w14:paraId="426467EC" w14:textId="77777777" w:rsidTr="00484C75">
        <w:trPr>
          <w:trHeight w:val="323"/>
          <w:jc w:val="center"/>
        </w:trPr>
        <w:tc>
          <w:tcPr>
            <w:tcW w:w="2430" w:type="dxa"/>
            <w:tcBorders>
              <w:top w:val="single" w:sz="4" w:space="0" w:color="auto"/>
            </w:tcBorders>
          </w:tcPr>
          <w:p w14:paraId="60184D35" w14:textId="2D86CD6C" w:rsidR="00F23DF0" w:rsidRPr="000D300B" w:rsidRDefault="00F23DF0" w:rsidP="00F23DF0">
            <w:pPr>
              <w:rPr>
                <w:rFonts w:ascii="Times New Roman" w:hAnsi="Times New Roman" w:cs="Times New Roman"/>
                <w:lang w:val="es-CR"/>
              </w:rPr>
            </w:pPr>
            <w:proofErr w:type="spellStart"/>
            <w:r w:rsidRPr="000D300B">
              <w:rPr>
                <w:rFonts w:ascii="Times New Roman" w:hAnsi="Times New Roman" w:cs="Times New Roman"/>
                <w:lang w:val="es-CR"/>
              </w:rPr>
              <w:t>Revenues</w:t>
            </w:r>
            <w:proofErr w:type="spellEnd"/>
          </w:p>
        </w:tc>
        <w:tc>
          <w:tcPr>
            <w:tcW w:w="1312" w:type="dxa"/>
            <w:tcBorders>
              <w:top w:val="single" w:sz="4" w:space="0" w:color="auto"/>
            </w:tcBorders>
          </w:tcPr>
          <w:p w14:paraId="1F56CB83" w14:textId="7F5A4558"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50,894</w:t>
            </w:r>
          </w:p>
        </w:tc>
        <w:tc>
          <w:tcPr>
            <w:tcW w:w="1208" w:type="dxa"/>
            <w:tcBorders>
              <w:top w:val="single" w:sz="4" w:space="0" w:color="auto"/>
            </w:tcBorders>
          </w:tcPr>
          <w:p w14:paraId="5FCA3196" w14:textId="4EEB91A5"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51,768</w:t>
            </w:r>
          </w:p>
        </w:tc>
        <w:tc>
          <w:tcPr>
            <w:tcW w:w="1164" w:type="dxa"/>
            <w:tcBorders>
              <w:top w:val="single" w:sz="4" w:space="0" w:color="auto"/>
            </w:tcBorders>
          </w:tcPr>
          <w:p w14:paraId="6ADD2EE4" w14:textId="5150245D"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1.72%</w:t>
            </w:r>
          </w:p>
        </w:tc>
      </w:tr>
      <w:tr w:rsidR="00484C75" w:rsidRPr="000D300B" w14:paraId="30A3A9DD" w14:textId="77777777" w:rsidTr="00484C75">
        <w:trPr>
          <w:trHeight w:val="346"/>
          <w:jc w:val="center"/>
        </w:trPr>
        <w:tc>
          <w:tcPr>
            <w:tcW w:w="2430" w:type="dxa"/>
          </w:tcPr>
          <w:p w14:paraId="372E9C72" w14:textId="2BF7EA83" w:rsidR="00F23DF0" w:rsidRPr="000D300B" w:rsidRDefault="00F23DF0" w:rsidP="00F23DF0">
            <w:pPr>
              <w:rPr>
                <w:rFonts w:ascii="Times New Roman" w:hAnsi="Times New Roman" w:cs="Times New Roman"/>
                <w:lang w:val="es-CR"/>
              </w:rPr>
            </w:pPr>
            <w:r w:rsidRPr="000D300B">
              <w:rPr>
                <w:rFonts w:ascii="Times New Roman" w:hAnsi="Times New Roman" w:cs="Times New Roman"/>
                <w:lang w:val="es-CR"/>
              </w:rPr>
              <w:t>Current Ratio</w:t>
            </w:r>
          </w:p>
        </w:tc>
        <w:tc>
          <w:tcPr>
            <w:tcW w:w="1312" w:type="dxa"/>
          </w:tcPr>
          <w:p w14:paraId="1234A06D" w14:textId="5912AC7B"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0.37</w:t>
            </w:r>
          </w:p>
        </w:tc>
        <w:tc>
          <w:tcPr>
            <w:tcW w:w="1208" w:type="dxa"/>
          </w:tcPr>
          <w:p w14:paraId="07FB355E" w14:textId="12FE91A1"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0.40</w:t>
            </w:r>
          </w:p>
        </w:tc>
        <w:tc>
          <w:tcPr>
            <w:tcW w:w="1164" w:type="dxa"/>
          </w:tcPr>
          <w:p w14:paraId="4B3AFA5D" w14:textId="6BAF6F83" w:rsidR="00F23DF0" w:rsidRPr="000D300B" w:rsidRDefault="00484C75" w:rsidP="00AE0789">
            <w:pPr>
              <w:jc w:val="center"/>
              <w:rPr>
                <w:rFonts w:ascii="Times New Roman" w:hAnsi="Times New Roman" w:cs="Times New Roman"/>
                <w:lang w:val="es-CR"/>
              </w:rPr>
            </w:pPr>
            <w:r w:rsidRPr="000D300B">
              <w:rPr>
                <w:rFonts w:ascii="Times New Roman" w:hAnsi="Times New Roman" w:cs="Times New Roman"/>
                <w:lang w:val="es-CR"/>
              </w:rPr>
              <w:t>7%</w:t>
            </w:r>
          </w:p>
        </w:tc>
      </w:tr>
      <w:tr w:rsidR="00484C75" w:rsidRPr="000D300B" w14:paraId="376A1434" w14:textId="77777777" w:rsidTr="00484C75">
        <w:trPr>
          <w:trHeight w:val="395"/>
          <w:jc w:val="center"/>
        </w:trPr>
        <w:tc>
          <w:tcPr>
            <w:tcW w:w="2430" w:type="dxa"/>
          </w:tcPr>
          <w:p w14:paraId="2DC2305B" w14:textId="0A525846" w:rsidR="00F23DF0" w:rsidRPr="000D300B" w:rsidRDefault="00F23DF0" w:rsidP="00F23DF0">
            <w:pPr>
              <w:rPr>
                <w:rFonts w:ascii="Times New Roman" w:hAnsi="Times New Roman" w:cs="Times New Roman"/>
                <w:lang w:val="es-CR"/>
              </w:rPr>
            </w:pPr>
            <w:proofErr w:type="spellStart"/>
            <w:r w:rsidRPr="000D300B">
              <w:rPr>
                <w:rFonts w:ascii="Times New Roman" w:hAnsi="Times New Roman" w:cs="Times New Roman"/>
                <w:lang w:val="es-CR"/>
              </w:rPr>
              <w:t>Operating</w:t>
            </w:r>
            <w:proofErr w:type="spellEnd"/>
            <w:r w:rsidRPr="000D300B">
              <w:rPr>
                <w:rFonts w:ascii="Times New Roman" w:hAnsi="Times New Roman" w:cs="Times New Roman"/>
                <w:lang w:val="es-CR"/>
              </w:rPr>
              <w:t xml:space="preserve"> Cash Flow</w:t>
            </w:r>
          </w:p>
        </w:tc>
        <w:tc>
          <w:tcPr>
            <w:tcW w:w="1312" w:type="dxa"/>
          </w:tcPr>
          <w:p w14:paraId="0DC5D839" w14:textId="77342014"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8,025</w:t>
            </w:r>
          </w:p>
        </w:tc>
        <w:tc>
          <w:tcPr>
            <w:tcW w:w="1208" w:type="dxa"/>
          </w:tcPr>
          <w:p w14:paraId="7A04A8EB" w14:textId="7B2726E9"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8,342</w:t>
            </w:r>
          </w:p>
        </w:tc>
        <w:tc>
          <w:tcPr>
            <w:tcW w:w="1164" w:type="dxa"/>
          </w:tcPr>
          <w:p w14:paraId="1FD131A4" w14:textId="0A89951A"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4%</w:t>
            </w:r>
          </w:p>
        </w:tc>
      </w:tr>
      <w:tr w:rsidR="00484C75" w:rsidRPr="000D300B" w14:paraId="7FED580B" w14:textId="77777777" w:rsidTr="00484C75">
        <w:trPr>
          <w:trHeight w:val="323"/>
          <w:jc w:val="center"/>
        </w:trPr>
        <w:tc>
          <w:tcPr>
            <w:tcW w:w="2430" w:type="dxa"/>
          </w:tcPr>
          <w:p w14:paraId="3FE1BDAC" w14:textId="5ADC1DA2" w:rsidR="00F23DF0" w:rsidRPr="000D300B" w:rsidRDefault="00F23DF0" w:rsidP="00F23DF0">
            <w:pPr>
              <w:rPr>
                <w:rFonts w:ascii="Times New Roman" w:hAnsi="Times New Roman" w:cs="Times New Roman"/>
                <w:lang w:val="es-CR"/>
              </w:rPr>
            </w:pPr>
            <w:proofErr w:type="spellStart"/>
            <w:r w:rsidRPr="000D300B">
              <w:rPr>
                <w:rFonts w:ascii="Times New Roman" w:hAnsi="Times New Roman" w:cs="Times New Roman"/>
                <w:lang w:val="es-CR"/>
              </w:rPr>
              <w:t>Capex</w:t>
            </w:r>
            <w:proofErr w:type="spellEnd"/>
          </w:p>
        </w:tc>
        <w:tc>
          <w:tcPr>
            <w:tcW w:w="1312" w:type="dxa"/>
          </w:tcPr>
          <w:p w14:paraId="523639BD" w14:textId="23AB5BA6" w:rsidR="00F23DF0" w:rsidRPr="000D300B" w:rsidRDefault="00484C75" w:rsidP="00AE0789">
            <w:pPr>
              <w:jc w:val="center"/>
              <w:rPr>
                <w:rFonts w:ascii="Times New Roman" w:hAnsi="Times New Roman" w:cs="Times New Roman"/>
                <w:lang w:val="es-CR"/>
              </w:rPr>
            </w:pPr>
            <w:r w:rsidRPr="000D300B">
              <w:rPr>
                <w:rFonts w:ascii="Times New Roman" w:hAnsi="Times New Roman" w:cs="Times New Roman"/>
                <w:lang w:val="es-CR"/>
              </w:rPr>
              <w:t>(5,140)</w:t>
            </w:r>
          </w:p>
        </w:tc>
        <w:tc>
          <w:tcPr>
            <w:tcW w:w="1208" w:type="dxa"/>
          </w:tcPr>
          <w:p w14:paraId="0551E1BA" w14:textId="70DA4D1D" w:rsidR="00F23DF0" w:rsidRPr="000D300B" w:rsidRDefault="00484C75" w:rsidP="00AE0789">
            <w:pPr>
              <w:jc w:val="center"/>
              <w:rPr>
                <w:rFonts w:ascii="Times New Roman" w:hAnsi="Times New Roman" w:cs="Times New Roman"/>
                <w:lang w:val="es-CR"/>
              </w:rPr>
            </w:pPr>
            <w:r w:rsidRPr="000D300B">
              <w:rPr>
                <w:rFonts w:ascii="Times New Roman" w:hAnsi="Times New Roman" w:cs="Times New Roman"/>
                <w:lang w:val="es-CR"/>
              </w:rPr>
              <w:t>(4,499)</w:t>
            </w:r>
          </w:p>
        </w:tc>
        <w:tc>
          <w:tcPr>
            <w:tcW w:w="1164" w:type="dxa"/>
          </w:tcPr>
          <w:p w14:paraId="314D5CC9" w14:textId="15DB06E3" w:rsidR="00F23DF0" w:rsidRPr="000D300B" w:rsidRDefault="00484C75" w:rsidP="00AE0789">
            <w:pPr>
              <w:jc w:val="center"/>
              <w:rPr>
                <w:rFonts w:ascii="Times New Roman" w:hAnsi="Times New Roman" w:cs="Times New Roman"/>
                <w:lang w:val="es-CR"/>
              </w:rPr>
            </w:pPr>
            <w:r w:rsidRPr="000D300B">
              <w:rPr>
                <w:rFonts w:ascii="Times New Roman" w:hAnsi="Times New Roman" w:cs="Times New Roman"/>
                <w:lang w:val="es-CR"/>
              </w:rPr>
              <w:t>14%</w:t>
            </w:r>
          </w:p>
        </w:tc>
      </w:tr>
      <w:tr w:rsidR="00484C75" w:rsidRPr="000D300B" w14:paraId="7769D19C" w14:textId="77777777" w:rsidTr="00484C75">
        <w:trPr>
          <w:trHeight w:val="323"/>
          <w:jc w:val="center"/>
        </w:trPr>
        <w:tc>
          <w:tcPr>
            <w:tcW w:w="2430" w:type="dxa"/>
          </w:tcPr>
          <w:p w14:paraId="32BF439F" w14:textId="7648D31B" w:rsidR="00F23DF0" w:rsidRPr="000D300B" w:rsidRDefault="00F23DF0" w:rsidP="00F23DF0">
            <w:pPr>
              <w:rPr>
                <w:rFonts w:ascii="Times New Roman" w:hAnsi="Times New Roman" w:cs="Times New Roman"/>
                <w:lang w:val="es-CR"/>
              </w:rPr>
            </w:pPr>
            <w:r w:rsidRPr="000D300B">
              <w:rPr>
                <w:rFonts w:ascii="Times New Roman" w:hAnsi="Times New Roman" w:cs="Times New Roman"/>
                <w:lang w:val="es-CR"/>
              </w:rPr>
              <w:t>Free Cash Flow</w:t>
            </w:r>
          </w:p>
        </w:tc>
        <w:tc>
          <w:tcPr>
            <w:tcW w:w="1312" w:type="dxa"/>
          </w:tcPr>
          <w:p w14:paraId="6E91F277" w14:textId="53B90CFB"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2,885</w:t>
            </w:r>
          </w:p>
        </w:tc>
        <w:tc>
          <w:tcPr>
            <w:tcW w:w="1208" w:type="dxa"/>
          </w:tcPr>
          <w:p w14:paraId="700FB8E9" w14:textId="22AF32D8"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3,843</w:t>
            </w:r>
          </w:p>
        </w:tc>
        <w:tc>
          <w:tcPr>
            <w:tcW w:w="1164" w:type="dxa"/>
          </w:tcPr>
          <w:p w14:paraId="2635C240" w14:textId="61F0DB93" w:rsidR="00F23DF0" w:rsidRPr="000D300B" w:rsidRDefault="00F23DF0" w:rsidP="00AE0789">
            <w:pPr>
              <w:jc w:val="center"/>
              <w:rPr>
                <w:rFonts w:ascii="Times New Roman" w:hAnsi="Times New Roman" w:cs="Times New Roman"/>
                <w:lang w:val="es-CR"/>
              </w:rPr>
            </w:pPr>
            <w:r w:rsidRPr="000D300B">
              <w:rPr>
                <w:rFonts w:ascii="Times New Roman" w:hAnsi="Times New Roman" w:cs="Times New Roman"/>
                <w:lang w:val="es-CR"/>
              </w:rPr>
              <w:t>25%</w:t>
            </w:r>
          </w:p>
        </w:tc>
      </w:tr>
      <w:tr w:rsidR="00484C75" w:rsidRPr="000D300B" w14:paraId="60E24EED" w14:textId="77777777" w:rsidTr="00484C75">
        <w:trPr>
          <w:trHeight w:val="76"/>
          <w:jc w:val="center"/>
        </w:trPr>
        <w:tc>
          <w:tcPr>
            <w:tcW w:w="2430" w:type="dxa"/>
          </w:tcPr>
          <w:p w14:paraId="32794184" w14:textId="2BA6B424" w:rsidR="00F23DF0" w:rsidRPr="000D300B" w:rsidRDefault="00AE0789" w:rsidP="00F23DF0">
            <w:pPr>
              <w:rPr>
                <w:rFonts w:ascii="Times New Roman" w:hAnsi="Times New Roman" w:cs="Times New Roman"/>
                <w:lang w:val="es-CR"/>
              </w:rPr>
            </w:pPr>
            <w:r w:rsidRPr="000D300B">
              <w:rPr>
                <w:rFonts w:ascii="Times New Roman" w:hAnsi="Times New Roman" w:cs="Times New Roman"/>
                <w:lang w:val="es-CR"/>
              </w:rPr>
              <w:t>OWK</w:t>
            </w:r>
          </w:p>
        </w:tc>
        <w:tc>
          <w:tcPr>
            <w:tcW w:w="1312" w:type="dxa"/>
          </w:tcPr>
          <w:p w14:paraId="70D327B6" w14:textId="39159071" w:rsidR="00F23DF0" w:rsidRPr="000D300B" w:rsidRDefault="00AE0789" w:rsidP="00AE0789">
            <w:pPr>
              <w:jc w:val="center"/>
              <w:rPr>
                <w:rFonts w:ascii="Times New Roman" w:hAnsi="Times New Roman" w:cs="Times New Roman"/>
                <w:lang w:val="es-CR"/>
              </w:rPr>
            </w:pPr>
            <w:r w:rsidRPr="000D300B">
              <w:rPr>
                <w:rFonts w:ascii="Times New Roman" w:hAnsi="Times New Roman" w:cs="Times New Roman"/>
                <w:lang w:val="es-CR"/>
              </w:rPr>
              <w:t>(16,957)</w:t>
            </w:r>
          </w:p>
        </w:tc>
        <w:tc>
          <w:tcPr>
            <w:tcW w:w="1208" w:type="dxa"/>
          </w:tcPr>
          <w:p w14:paraId="6FA76B3F" w14:textId="147BF43D" w:rsidR="00F23DF0" w:rsidRPr="000D300B" w:rsidRDefault="00AE0789" w:rsidP="00AE0789">
            <w:pPr>
              <w:jc w:val="center"/>
              <w:rPr>
                <w:rFonts w:ascii="Times New Roman" w:hAnsi="Times New Roman" w:cs="Times New Roman"/>
                <w:lang w:val="es-CR"/>
              </w:rPr>
            </w:pPr>
            <w:r w:rsidRPr="000D300B">
              <w:rPr>
                <w:rFonts w:ascii="Times New Roman" w:hAnsi="Times New Roman" w:cs="Times New Roman"/>
                <w:lang w:val="es-CR"/>
              </w:rPr>
              <w:t>(18,552)</w:t>
            </w:r>
          </w:p>
        </w:tc>
        <w:tc>
          <w:tcPr>
            <w:tcW w:w="1164" w:type="dxa"/>
          </w:tcPr>
          <w:p w14:paraId="04CA5317" w14:textId="7CB376F2" w:rsidR="00F23DF0" w:rsidRPr="000D300B" w:rsidRDefault="00484C75" w:rsidP="00AE0789">
            <w:pPr>
              <w:jc w:val="center"/>
              <w:rPr>
                <w:rFonts w:ascii="Times New Roman" w:hAnsi="Times New Roman" w:cs="Times New Roman"/>
                <w:lang w:val="es-CR"/>
              </w:rPr>
            </w:pPr>
            <w:r w:rsidRPr="000D300B">
              <w:rPr>
                <w:rFonts w:ascii="Times New Roman" w:hAnsi="Times New Roman" w:cs="Times New Roman"/>
                <w:lang w:val="es-CR"/>
              </w:rPr>
              <w:t>-9%</w:t>
            </w:r>
          </w:p>
        </w:tc>
      </w:tr>
    </w:tbl>
    <w:p w14:paraId="3F5A06AD" w14:textId="77777777" w:rsidR="00AE0789" w:rsidRPr="000D300B" w:rsidRDefault="00AE0789" w:rsidP="00F23DF0">
      <w:pPr>
        <w:jc w:val="both"/>
        <w:rPr>
          <w:rFonts w:ascii="Times New Roman" w:hAnsi="Times New Roman" w:cs="Times New Roman"/>
          <w:lang w:val="es-CR"/>
        </w:rPr>
      </w:pPr>
    </w:p>
    <w:p w14:paraId="7B7F64A1" w14:textId="4EA2F9D3" w:rsidR="000D300B" w:rsidRPr="00D2341C" w:rsidRDefault="00AE0789" w:rsidP="00741E52">
      <w:pPr>
        <w:jc w:val="center"/>
        <w:rPr>
          <w:rFonts w:ascii="Times New Roman" w:hAnsi="Times New Roman" w:cs="Times New Roman"/>
          <w:lang w:val="es-CR"/>
        </w:rPr>
      </w:pPr>
      <w:r w:rsidRPr="00741E52">
        <w:rPr>
          <w:rFonts w:ascii="Times New Roman" w:hAnsi="Times New Roman" w:cs="Times New Roman"/>
          <w:i/>
          <w:iCs/>
          <w:lang w:val="es-CR"/>
        </w:rPr>
        <w:lastRenderedPageBreak/>
        <w:t>Nota:</w:t>
      </w:r>
      <w:r w:rsidR="00741E52">
        <w:rPr>
          <w:rFonts w:ascii="Times New Roman" w:hAnsi="Times New Roman" w:cs="Times New Roman"/>
          <w:lang w:val="es-CR"/>
        </w:rPr>
        <w:t xml:space="preserve"> </w:t>
      </w:r>
      <w:r w:rsidR="00741E52" w:rsidRPr="00741E52">
        <w:rPr>
          <w:rFonts w:ascii="Times New Roman" w:hAnsi="Times New Roman" w:cs="Times New Roman"/>
          <w:lang w:val="es-CR"/>
        </w:rPr>
        <w:t>Fuente:</w:t>
      </w:r>
      <w:r w:rsidRPr="00741E52">
        <w:rPr>
          <w:rFonts w:ascii="Times New Roman" w:hAnsi="Times New Roman" w:cs="Times New Roman"/>
          <w:lang w:val="es-CR"/>
        </w:rPr>
        <w:t xml:space="preserve"> Elaboración propia con </w:t>
      </w:r>
      <w:r w:rsidR="0093757E">
        <w:rPr>
          <w:rFonts w:ascii="Times New Roman" w:hAnsi="Times New Roman" w:cs="Times New Roman"/>
          <w:lang w:val="es-CR"/>
        </w:rPr>
        <w:t>datos del 10-K de Delta</w:t>
      </w:r>
      <w:r w:rsidRPr="00741E52">
        <w:rPr>
          <w:rFonts w:ascii="Times New Roman" w:hAnsi="Times New Roman" w:cs="Times New Roman"/>
          <w:lang w:val="es-CR"/>
        </w:rPr>
        <w:t>.</w:t>
      </w:r>
    </w:p>
    <w:p w14:paraId="7607AC75" w14:textId="12199BEC" w:rsidR="00A94EA7" w:rsidRPr="000D300B" w:rsidRDefault="00A94EA7" w:rsidP="00CE5A16">
      <w:pPr>
        <w:pStyle w:val="ListParagraph"/>
        <w:numPr>
          <w:ilvl w:val="0"/>
          <w:numId w:val="2"/>
        </w:numPr>
        <w:jc w:val="both"/>
        <w:rPr>
          <w:rFonts w:ascii="Times New Roman" w:hAnsi="Times New Roman" w:cs="Times New Roman"/>
          <w:b/>
          <w:bCs/>
          <w:lang w:val="es-CR"/>
        </w:rPr>
      </w:pPr>
      <w:r w:rsidRPr="000D300B">
        <w:rPr>
          <w:rFonts w:ascii="Times New Roman" w:hAnsi="Times New Roman" w:cs="Times New Roman"/>
          <w:b/>
          <w:bCs/>
          <w:lang w:val="es-CR"/>
        </w:rPr>
        <w:t>Crecimiento en ingresos</w:t>
      </w:r>
    </w:p>
    <w:p w14:paraId="28B916C2" w14:textId="6EC9C308" w:rsidR="00A94EA7" w:rsidRPr="000D300B" w:rsidRDefault="00A94EA7" w:rsidP="00A94EA7">
      <w:pPr>
        <w:jc w:val="both"/>
        <w:rPr>
          <w:rFonts w:ascii="Times New Roman" w:hAnsi="Times New Roman" w:cs="Times New Roman"/>
          <w:lang w:val="es-CR"/>
        </w:rPr>
      </w:pPr>
      <w:r w:rsidRPr="000D300B">
        <w:rPr>
          <w:rFonts w:ascii="Times New Roman" w:hAnsi="Times New Roman" w:cs="Times New Roman"/>
          <w:lang w:val="es-CR"/>
        </w:rPr>
        <w:t>El crecimiento de los ingresos del 1.72% refleja una etapa de estabilización del negocio posterior a la recuperación del sector aeronáutico. A diferencia de industrias en expansión acelerada, este comportamiento es consistente con un sector maduro, donde el crecimiento depende principalmente de la demanda y condiciones macroeconómicas.</w:t>
      </w:r>
    </w:p>
    <w:p w14:paraId="3A7BDC24" w14:textId="386501A4" w:rsidR="00A94EA7" w:rsidRPr="000D300B" w:rsidRDefault="00A145C8" w:rsidP="00A94EA7">
      <w:pPr>
        <w:jc w:val="both"/>
        <w:rPr>
          <w:rFonts w:ascii="Times New Roman" w:hAnsi="Times New Roman" w:cs="Times New Roman"/>
          <w:lang w:val="es-CR"/>
        </w:rPr>
      </w:pPr>
      <w:r>
        <w:rPr>
          <w:rFonts w:ascii="Times New Roman" w:hAnsi="Times New Roman" w:cs="Times New Roman"/>
          <w:lang w:val="es-CR"/>
        </w:rPr>
        <w:t>Este</w:t>
      </w:r>
      <w:r w:rsidR="00A94EA7" w:rsidRPr="000D300B">
        <w:rPr>
          <w:rFonts w:ascii="Times New Roman" w:hAnsi="Times New Roman" w:cs="Times New Roman"/>
          <w:lang w:val="es-CR"/>
        </w:rPr>
        <w:t xml:space="preserve"> crecimiento moderado es positivo en términos de estabilidad, aunque limitado en cuanto a expansión, lo cual implica que la mejora en el perfil financiero dependerá más de la eficiencia operativa que del crecimiento en ingresos.</w:t>
      </w:r>
    </w:p>
    <w:p w14:paraId="27B5DF47" w14:textId="6DA1A70C" w:rsidR="00A94EA7" w:rsidRPr="000D300B" w:rsidRDefault="00A94EA7" w:rsidP="00CE5A16">
      <w:pPr>
        <w:pStyle w:val="ListParagraph"/>
        <w:numPr>
          <w:ilvl w:val="0"/>
          <w:numId w:val="2"/>
        </w:numPr>
        <w:jc w:val="both"/>
        <w:rPr>
          <w:rFonts w:ascii="Times New Roman" w:hAnsi="Times New Roman" w:cs="Times New Roman"/>
          <w:b/>
          <w:bCs/>
          <w:lang w:val="es-CR"/>
        </w:rPr>
      </w:pPr>
      <w:r w:rsidRPr="000D300B">
        <w:rPr>
          <w:rFonts w:ascii="Times New Roman" w:hAnsi="Times New Roman" w:cs="Times New Roman"/>
          <w:b/>
          <w:bCs/>
          <w:lang w:val="es-CR"/>
        </w:rPr>
        <w:t>Liquidez</w:t>
      </w:r>
    </w:p>
    <w:p w14:paraId="23610D0D" w14:textId="46BE58C7" w:rsidR="00A94EA7" w:rsidRPr="000D300B" w:rsidRDefault="00A94EA7" w:rsidP="00A94EA7">
      <w:pPr>
        <w:jc w:val="both"/>
        <w:rPr>
          <w:rFonts w:ascii="Times New Roman" w:hAnsi="Times New Roman" w:cs="Times New Roman"/>
          <w:lang w:val="es-CR"/>
        </w:rPr>
      </w:pPr>
      <w:r w:rsidRPr="000D300B">
        <w:rPr>
          <w:rFonts w:ascii="Times New Roman" w:hAnsi="Times New Roman" w:cs="Times New Roman"/>
          <w:lang w:val="es-CR"/>
        </w:rPr>
        <w:t>El Current Ratio</w:t>
      </w:r>
      <w:r w:rsidR="00A145C8">
        <w:rPr>
          <w:rFonts w:ascii="Times New Roman" w:hAnsi="Times New Roman" w:cs="Times New Roman"/>
          <w:lang w:val="es-CR"/>
        </w:rPr>
        <w:t xml:space="preserve"> pasa </w:t>
      </w:r>
      <w:r w:rsidRPr="000D300B">
        <w:rPr>
          <w:rFonts w:ascii="Times New Roman" w:hAnsi="Times New Roman" w:cs="Times New Roman"/>
          <w:lang w:val="es-CR"/>
        </w:rPr>
        <w:t>de 0.37 a 0.40, lo que indica una ligera mejora en la capacidad de la empresa para cubrir sus obligaciones de corto plazo</w:t>
      </w:r>
      <w:r w:rsidR="00E62D68">
        <w:rPr>
          <w:rFonts w:ascii="Times New Roman" w:hAnsi="Times New Roman" w:cs="Times New Roman"/>
          <w:lang w:val="es-CR"/>
        </w:rPr>
        <w:t>, no</w:t>
      </w:r>
      <w:r w:rsidRPr="000D300B">
        <w:rPr>
          <w:rFonts w:ascii="Times New Roman" w:hAnsi="Times New Roman" w:cs="Times New Roman"/>
          <w:lang w:val="es-CR"/>
        </w:rPr>
        <w:t xml:space="preserve"> obstante, el indicador se mantiene por debajo de 1</w:t>
      </w:r>
      <w:r w:rsidR="00C21690">
        <w:rPr>
          <w:rFonts w:ascii="Times New Roman" w:hAnsi="Times New Roman" w:cs="Times New Roman"/>
          <w:lang w:val="es-CR"/>
        </w:rPr>
        <w:t>, que es el punto de referencia principal</w:t>
      </w:r>
      <w:r w:rsidRPr="000D300B">
        <w:rPr>
          <w:rFonts w:ascii="Times New Roman" w:hAnsi="Times New Roman" w:cs="Times New Roman"/>
          <w:lang w:val="es-CR"/>
        </w:rPr>
        <w:t xml:space="preserve">, lo cual, en otros sectores, podría interpretarse como una señal de riesgo, sin embargo, en el caso de Delta, esta dinámica responde a su modelo de negocio, donde los pasivos operativos </w:t>
      </w:r>
      <w:r w:rsidR="00E62D68">
        <w:rPr>
          <w:rFonts w:ascii="Times New Roman" w:hAnsi="Times New Roman" w:cs="Times New Roman"/>
          <w:lang w:val="es-CR"/>
        </w:rPr>
        <w:t>(</w:t>
      </w:r>
      <w:r w:rsidRPr="000D300B">
        <w:rPr>
          <w:rFonts w:ascii="Times New Roman" w:hAnsi="Times New Roman" w:cs="Times New Roman"/>
          <w:lang w:val="es-CR"/>
        </w:rPr>
        <w:t>especialmente ingresos diferidos por boletos</w:t>
      </w:r>
      <w:r w:rsidR="00E62D68">
        <w:rPr>
          <w:rFonts w:ascii="Times New Roman" w:hAnsi="Times New Roman" w:cs="Times New Roman"/>
          <w:lang w:val="es-CR"/>
        </w:rPr>
        <w:t>)</w:t>
      </w:r>
      <w:r w:rsidRPr="000D300B">
        <w:rPr>
          <w:rFonts w:ascii="Times New Roman" w:hAnsi="Times New Roman" w:cs="Times New Roman"/>
          <w:lang w:val="es-CR"/>
        </w:rPr>
        <w:t xml:space="preserve"> son elevados.</w:t>
      </w:r>
    </w:p>
    <w:p w14:paraId="4071AFB0" w14:textId="4D1B7597" w:rsidR="00A94EA7" w:rsidRPr="000D300B" w:rsidRDefault="009D725F" w:rsidP="00A94EA7">
      <w:pPr>
        <w:jc w:val="both"/>
        <w:rPr>
          <w:rFonts w:ascii="Times New Roman" w:hAnsi="Times New Roman" w:cs="Times New Roman"/>
          <w:lang w:val="es-CR"/>
        </w:rPr>
      </w:pPr>
      <w:r>
        <w:rPr>
          <w:rFonts w:ascii="Times New Roman" w:hAnsi="Times New Roman" w:cs="Times New Roman"/>
          <w:lang w:val="es-CR"/>
        </w:rPr>
        <w:t>Esto</w:t>
      </w:r>
      <w:r w:rsidR="00A94EA7" w:rsidRPr="000D300B">
        <w:rPr>
          <w:rFonts w:ascii="Times New Roman" w:hAnsi="Times New Roman" w:cs="Times New Roman"/>
          <w:lang w:val="es-CR"/>
        </w:rPr>
        <w:t xml:space="preserve"> implica que la liquidez debe analizarse en conjunto con el flujo de efectivo, más que de forma aislada mediante ratios tradicionales.</w:t>
      </w:r>
    </w:p>
    <w:p w14:paraId="607E80AF" w14:textId="65D3CCBE" w:rsidR="00A94EA7" w:rsidRPr="000D300B" w:rsidRDefault="00A94EA7" w:rsidP="00CE5A16">
      <w:pPr>
        <w:pStyle w:val="ListParagraph"/>
        <w:numPr>
          <w:ilvl w:val="0"/>
          <w:numId w:val="2"/>
        </w:numPr>
        <w:jc w:val="both"/>
        <w:rPr>
          <w:rFonts w:ascii="Times New Roman" w:hAnsi="Times New Roman" w:cs="Times New Roman"/>
          <w:b/>
          <w:bCs/>
          <w:lang w:val="es-CR"/>
        </w:rPr>
      </w:pPr>
      <w:r w:rsidRPr="000D300B">
        <w:rPr>
          <w:rFonts w:ascii="Times New Roman" w:hAnsi="Times New Roman" w:cs="Times New Roman"/>
          <w:b/>
          <w:bCs/>
          <w:lang w:val="es-CR"/>
        </w:rPr>
        <w:t>Flujo de efectivo y capacidad de repago</w:t>
      </w:r>
    </w:p>
    <w:p w14:paraId="6DE7702F" w14:textId="703AAED2" w:rsidR="00A94EA7" w:rsidRPr="000D300B" w:rsidRDefault="00A94EA7" w:rsidP="00A94EA7">
      <w:pPr>
        <w:jc w:val="both"/>
        <w:rPr>
          <w:rFonts w:ascii="Times New Roman" w:hAnsi="Times New Roman" w:cs="Times New Roman"/>
          <w:lang w:val="es-CR"/>
        </w:rPr>
      </w:pPr>
      <w:r w:rsidRPr="000D300B">
        <w:rPr>
          <w:rFonts w:ascii="Times New Roman" w:hAnsi="Times New Roman" w:cs="Times New Roman"/>
          <w:lang w:val="es-CR"/>
        </w:rPr>
        <w:t>El flujo de efectivo operativo muestra un crecimiento del 4%, alcanzando $8,342 millones, lo cual refleja una sólida capacidad de generación de liquidez a partir de las operaciones.</w:t>
      </w:r>
    </w:p>
    <w:p w14:paraId="22996DDA" w14:textId="460A80DD" w:rsidR="00A94EA7" w:rsidRPr="000D300B" w:rsidRDefault="00A94EA7" w:rsidP="00A94EA7">
      <w:pPr>
        <w:jc w:val="both"/>
        <w:rPr>
          <w:rFonts w:ascii="Times New Roman" w:hAnsi="Times New Roman" w:cs="Times New Roman"/>
          <w:lang w:val="es-CR"/>
        </w:rPr>
      </w:pPr>
      <w:r w:rsidRPr="000D300B">
        <w:rPr>
          <w:rFonts w:ascii="Times New Roman" w:hAnsi="Times New Roman" w:cs="Times New Roman"/>
          <w:lang w:val="es-CR"/>
        </w:rPr>
        <w:t xml:space="preserve">Por otro lado, el </w:t>
      </w:r>
      <w:proofErr w:type="spellStart"/>
      <w:r w:rsidRPr="000D300B">
        <w:rPr>
          <w:rFonts w:ascii="Times New Roman" w:hAnsi="Times New Roman" w:cs="Times New Roman"/>
          <w:lang w:val="es-CR"/>
        </w:rPr>
        <w:t>CapEx</w:t>
      </w:r>
      <w:proofErr w:type="spellEnd"/>
      <w:r w:rsidRPr="000D300B">
        <w:rPr>
          <w:rFonts w:ascii="Times New Roman" w:hAnsi="Times New Roman" w:cs="Times New Roman"/>
          <w:lang w:val="es-CR"/>
        </w:rPr>
        <w:t xml:space="preserve"> disminuye en un 14%, pasando de </w:t>
      </w:r>
      <w:r w:rsidR="006F3833">
        <w:rPr>
          <w:rFonts w:ascii="Times New Roman" w:hAnsi="Times New Roman" w:cs="Times New Roman"/>
          <w:lang w:val="es-CR"/>
        </w:rPr>
        <w:t>(</w:t>
      </w:r>
      <w:r w:rsidRPr="000D300B">
        <w:rPr>
          <w:rFonts w:ascii="Times New Roman" w:hAnsi="Times New Roman" w:cs="Times New Roman"/>
          <w:lang w:val="es-CR"/>
        </w:rPr>
        <w:t>$5,140</w:t>
      </w:r>
      <w:r w:rsidR="006F3833">
        <w:rPr>
          <w:rFonts w:ascii="Times New Roman" w:hAnsi="Times New Roman" w:cs="Times New Roman"/>
          <w:lang w:val="es-CR"/>
        </w:rPr>
        <w:t>)</w:t>
      </w:r>
      <w:r w:rsidRPr="000D300B">
        <w:rPr>
          <w:rFonts w:ascii="Times New Roman" w:hAnsi="Times New Roman" w:cs="Times New Roman"/>
          <w:lang w:val="es-CR"/>
        </w:rPr>
        <w:t xml:space="preserve"> millones a </w:t>
      </w:r>
      <w:r w:rsidR="006F3833">
        <w:rPr>
          <w:rFonts w:ascii="Times New Roman" w:hAnsi="Times New Roman" w:cs="Times New Roman"/>
          <w:lang w:val="es-CR"/>
        </w:rPr>
        <w:t>(</w:t>
      </w:r>
      <w:r w:rsidRPr="000D300B">
        <w:rPr>
          <w:rFonts w:ascii="Times New Roman" w:hAnsi="Times New Roman" w:cs="Times New Roman"/>
          <w:lang w:val="es-CR"/>
        </w:rPr>
        <w:t>$4,499</w:t>
      </w:r>
      <w:r w:rsidR="006F3833">
        <w:rPr>
          <w:rFonts w:ascii="Times New Roman" w:hAnsi="Times New Roman" w:cs="Times New Roman"/>
          <w:lang w:val="es-CR"/>
        </w:rPr>
        <w:t>)</w:t>
      </w:r>
      <w:r w:rsidRPr="000D300B">
        <w:rPr>
          <w:rFonts w:ascii="Times New Roman" w:hAnsi="Times New Roman" w:cs="Times New Roman"/>
          <w:lang w:val="es-CR"/>
        </w:rPr>
        <w:t xml:space="preserve"> millones, lo cual reduce la presión sobre el flujo disponible.</w:t>
      </w:r>
    </w:p>
    <w:p w14:paraId="7EB83746" w14:textId="561BAF78" w:rsidR="00A94EA7" w:rsidRPr="000D300B" w:rsidRDefault="00A94EA7" w:rsidP="00A94EA7">
      <w:pPr>
        <w:jc w:val="both"/>
        <w:rPr>
          <w:rFonts w:ascii="Times New Roman" w:hAnsi="Times New Roman" w:cs="Times New Roman"/>
          <w:lang w:val="es-CR"/>
        </w:rPr>
      </w:pPr>
      <w:r w:rsidRPr="000D300B">
        <w:rPr>
          <w:rFonts w:ascii="Times New Roman" w:hAnsi="Times New Roman" w:cs="Times New Roman"/>
          <w:lang w:val="es-CR"/>
        </w:rPr>
        <w:t>Como resultado, el Free Cash Flow presenta un crecimiento significativo del 25%, alcanzando $3,843 millones.</w:t>
      </w:r>
    </w:p>
    <w:p w14:paraId="78EF5FC8" w14:textId="7FA541B4" w:rsidR="00A94EA7" w:rsidRPr="000D300B" w:rsidRDefault="004B7501" w:rsidP="00A94EA7">
      <w:pPr>
        <w:jc w:val="both"/>
        <w:rPr>
          <w:rFonts w:ascii="Times New Roman" w:hAnsi="Times New Roman" w:cs="Times New Roman"/>
          <w:lang w:val="es-CR"/>
        </w:rPr>
      </w:pPr>
      <w:r>
        <w:rPr>
          <w:rFonts w:ascii="Times New Roman" w:hAnsi="Times New Roman" w:cs="Times New Roman"/>
          <w:lang w:val="es-CR"/>
        </w:rPr>
        <w:t>Este</w:t>
      </w:r>
      <w:r w:rsidR="00A94EA7" w:rsidRPr="000D300B">
        <w:rPr>
          <w:rFonts w:ascii="Times New Roman" w:hAnsi="Times New Roman" w:cs="Times New Roman"/>
          <w:lang w:val="es-CR"/>
        </w:rPr>
        <w:t xml:space="preserve"> es uno de los puntos más positivos del análisis, ya que indica una mayor capacidad de generación de efectivo disponible para el pago de deuda y otras obligaciones financieras.</w:t>
      </w:r>
    </w:p>
    <w:p w14:paraId="69DF2AF5" w14:textId="37A9109F" w:rsidR="00A94EA7" w:rsidRPr="000D300B" w:rsidRDefault="00A94EA7" w:rsidP="00CE5A16">
      <w:pPr>
        <w:pStyle w:val="ListParagraph"/>
        <w:numPr>
          <w:ilvl w:val="0"/>
          <w:numId w:val="2"/>
        </w:numPr>
        <w:jc w:val="both"/>
        <w:rPr>
          <w:rFonts w:ascii="Times New Roman" w:hAnsi="Times New Roman" w:cs="Times New Roman"/>
          <w:b/>
          <w:bCs/>
          <w:lang w:val="es-CR"/>
        </w:rPr>
      </w:pPr>
      <w:r w:rsidRPr="000D300B">
        <w:rPr>
          <w:rFonts w:ascii="Times New Roman" w:hAnsi="Times New Roman" w:cs="Times New Roman"/>
          <w:b/>
          <w:bCs/>
          <w:lang w:val="es-CR"/>
        </w:rPr>
        <w:t>Capital de trabajo operativo</w:t>
      </w:r>
    </w:p>
    <w:p w14:paraId="14492649" w14:textId="08EED2BE" w:rsidR="00A94EA7" w:rsidRPr="000D300B" w:rsidRDefault="00A94EA7" w:rsidP="00A94EA7">
      <w:pPr>
        <w:jc w:val="both"/>
        <w:rPr>
          <w:rFonts w:ascii="Times New Roman" w:hAnsi="Times New Roman" w:cs="Times New Roman"/>
          <w:lang w:val="es-CR"/>
        </w:rPr>
      </w:pPr>
      <w:r w:rsidRPr="000D300B">
        <w:rPr>
          <w:rFonts w:ascii="Times New Roman" w:hAnsi="Times New Roman" w:cs="Times New Roman"/>
          <w:lang w:val="es-CR"/>
        </w:rPr>
        <w:t xml:space="preserve">El capital de trabajo operativo se mantiene negativo y aumenta en magnitud, pasando de </w:t>
      </w:r>
      <w:r w:rsidR="009079DB">
        <w:rPr>
          <w:rFonts w:ascii="Times New Roman" w:hAnsi="Times New Roman" w:cs="Times New Roman"/>
          <w:lang w:val="es-CR"/>
        </w:rPr>
        <w:t>(</w:t>
      </w:r>
      <w:r w:rsidRPr="000D300B">
        <w:rPr>
          <w:rFonts w:ascii="Times New Roman" w:hAnsi="Times New Roman" w:cs="Times New Roman"/>
          <w:lang w:val="es-CR"/>
        </w:rPr>
        <w:t>$16,957</w:t>
      </w:r>
      <w:r w:rsidR="009079DB">
        <w:rPr>
          <w:rFonts w:ascii="Times New Roman" w:hAnsi="Times New Roman" w:cs="Times New Roman"/>
          <w:lang w:val="es-CR"/>
        </w:rPr>
        <w:t>)</w:t>
      </w:r>
      <w:r w:rsidRPr="000D300B">
        <w:rPr>
          <w:rFonts w:ascii="Times New Roman" w:hAnsi="Times New Roman" w:cs="Times New Roman"/>
          <w:lang w:val="es-CR"/>
        </w:rPr>
        <w:t xml:space="preserve"> millones a </w:t>
      </w:r>
      <w:r w:rsidR="009079DB">
        <w:rPr>
          <w:rFonts w:ascii="Times New Roman" w:hAnsi="Times New Roman" w:cs="Times New Roman"/>
          <w:lang w:val="es-CR"/>
        </w:rPr>
        <w:t>(</w:t>
      </w:r>
      <w:r w:rsidRPr="000D300B">
        <w:rPr>
          <w:rFonts w:ascii="Times New Roman" w:hAnsi="Times New Roman" w:cs="Times New Roman"/>
          <w:lang w:val="es-CR"/>
        </w:rPr>
        <w:t>$18,552</w:t>
      </w:r>
      <w:r w:rsidR="009079DB">
        <w:rPr>
          <w:rFonts w:ascii="Times New Roman" w:hAnsi="Times New Roman" w:cs="Times New Roman"/>
          <w:lang w:val="es-CR"/>
        </w:rPr>
        <w:t>)</w:t>
      </w:r>
      <w:r w:rsidRPr="000D300B">
        <w:rPr>
          <w:rFonts w:ascii="Times New Roman" w:hAnsi="Times New Roman" w:cs="Times New Roman"/>
          <w:lang w:val="es-CR"/>
        </w:rPr>
        <w:t xml:space="preserve"> millones.</w:t>
      </w:r>
    </w:p>
    <w:p w14:paraId="3CF6BB21" w14:textId="29D25990" w:rsidR="00A94EA7" w:rsidRDefault="00A94EA7" w:rsidP="00A94EA7">
      <w:pPr>
        <w:jc w:val="both"/>
        <w:rPr>
          <w:rFonts w:ascii="Times New Roman" w:hAnsi="Times New Roman" w:cs="Times New Roman"/>
          <w:lang w:val="es-CR"/>
        </w:rPr>
      </w:pPr>
      <w:r w:rsidRPr="000D300B">
        <w:rPr>
          <w:rFonts w:ascii="Times New Roman" w:hAnsi="Times New Roman" w:cs="Times New Roman"/>
          <w:lang w:val="es-CR"/>
        </w:rPr>
        <w:t>Este comportamiento es consistente con el modelo de negocio de la industria aeronáutica, donde las empresas reciben pagos anticipados de clientes y difieren pagos a proveedores.</w:t>
      </w:r>
    </w:p>
    <w:p w14:paraId="6516563E" w14:textId="77777777" w:rsidR="00F80B73" w:rsidRDefault="00F80B73" w:rsidP="00A94EA7">
      <w:pPr>
        <w:jc w:val="both"/>
        <w:rPr>
          <w:rFonts w:ascii="Times New Roman" w:hAnsi="Times New Roman" w:cs="Times New Roman"/>
          <w:lang w:val="es-CR"/>
        </w:rPr>
      </w:pPr>
    </w:p>
    <w:p w14:paraId="59E75491" w14:textId="278D3064" w:rsidR="0069574C" w:rsidRDefault="0069574C" w:rsidP="0069574C">
      <w:pPr>
        <w:jc w:val="center"/>
        <w:rPr>
          <w:rFonts w:ascii="Times New Roman" w:hAnsi="Times New Roman" w:cs="Times New Roman"/>
          <w:i/>
          <w:iCs/>
          <w:lang w:val="es-CR"/>
        </w:rPr>
      </w:pPr>
      <w:r>
        <w:rPr>
          <w:rFonts w:ascii="Times New Roman" w:hAnsi="Times New Roman" w:cs="Times New Roman"/>
          <w:lang w:val="es-CR"/>
        </w:rPr>
        <w:lastRenderedPageBreak/>
        <w:t>Tabla 2</w:t>
      </w:r>
      <w:r w:rsidR="00741E52">
        <w:rPr>
          <w:rFonts w:ascii="Times New Roman" w:hAnsi="Times New Roman" w:cs="Times New Roman"/>
          <w:lang w:val="es-CR"/>
        </w:rPr>
        <w:t xml:space="preserve">. </w:t>
      </w:r>
      <w:r w:rsidRPr="0069574C">
        <w:rPr>
          <w:rFonts w:ascii="Times New Roman" w:hAnsi="Times New Roman" w:cs="Times New Roman"/>
          <w:i/>
          <w:iCs/>
          <w:lang w:val="es-CR"/>
        </w:rPr>
        <w:t>Balance Resumido</w:t>
      </w:r>
      <w:r>
        <w:rPr>
          <w:rFonts w:ascii="Times New Roman" w:hAnsi="Times New Roman" w:cs="Times New Roman"/>
          <w:i/>
          <w:iCs/>
          <w:lang w:val="es-CR"/>
        </w:rPr>
        <w:t xml:space="preserve"> (millones de USD, menos porcentajes).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
        <w:gridCol w:w="876"/>
        <w:gridCol w:w="876"/>
        <w:gridCol w:w="1036"/>
        <w:gridCol w:w="1116"/>
        <w:gridCol w:w="1872"/>
        <w:gridCol w:w="1950"/>
      </w:tblGrid>
      <w:tr w:rsidR="0069574C" w:rsidRPr="003E7B70" w14:paraId="4565DB28" w14:textId="77777777" w:rsidTr="0069574C">
        <w:trPr>
          <w:trHeight w:val="5"/>
          <w:jc w:val="center"/>
        </w:trPr>
        <w:tc>
          <w:tcPr>
            <w:tcW w:w="1029" w:type="dxa"/>
            <w:tcBorders>
              <w:top w:val="single" w:sz="4" w:space="0" w:color="auto"/>
              <w:bottom w:val="single" w:sz="4" w:space="0" w:color="auto"/>
            </w:tcBorders>
          </w:tcPr>
          <w:p w14:paraId="2F5D3D71" w14:textId="77777777" w:rsidR="0069574C" w:rsidRPr="003E7B70" w:rsidRDefault="0069574C" w:rsidP="00AE051F">
            <w:pPr>
              <w:jc w:val="center"/>
              <w:rPr>
                <w:rFonts w:ascii="Times New Roman" w:hAnsi="Times New Roman" w:cs="Times New Roman"/>
                <w:b/>
                <w:bCs/>
                <w:lang w:val="es-CR"/>
              </w:rPr>
            </w:pPr>
            <w:r w:rsidRPr="003E7B70">
              <w:rPr>
                <w:rFonts w:ascii="Times New Roman" w:hAnsi="Times New Roman" w:cs="Times New Roman"/>
                <w:b/>
                <w:bCs/>
                <w:lang w:val="es-CR"/>
              </w:rPr>
              <w:t>Métrica</w:t>
            </w:r>
          </w:p>
        </w:tc>
        <w:tc>
          <w:tcPr>
            <w:tcW w:w="876" w:type="dxa"/>
            <w:tcBorders>
              <w:top w:val="single" w:sz="4" w:space="0" w:color="auto"/>
              <w:bottom w:val="single" w:sz="4" w:space="0" w:color="auto"/>
            </w:tcBorders>
          </w:tcPr>
          <w:p w14:paraId="270AEBE6" w14:textId="0B479B4B" w:rsidR="0069574C" w:rsidRPr="003E7B70" w:rsidRDefault="0069574C" w:rsidP="00AE051F">
            <w:pPr>
              <w:jc w:val="center"/>
              <w:rPr>
                <w:rFonts w:ascii="Times New Roman" w:hAnsi="Times New Roman" w:cs="Times New Roman"/>
                <w:b/>
                <w:bCs/>
                <w:lang w:val="es-CR"/>
              </w:rPr>
            </w:pPr>
            <w:r w:rsidRPr="003E7B70">
              <w:rPr>
                <w:rFonts w:ascii="Times New Roman" w:hAnsi="Times New Roman" w:cs="Times New Roman"/>
                <w:b/>
                <w:bCs/>
                <w:lang w:val="es-CR"/>
              </w:rPr>
              <w:t>202</w:t>
            </w:r>
            <w:r>
              <w:rPr>
                <w:rFonts w:ascii="Times New Roman" w:hAnsi="Times New Roman" w:cs="Times New Roman"/>
                <w:b/>
                <w:bCs/>
                <w:lang w:val="es-CR"/>
              </w:rPr>
              <w:t>4</w:t>
            </w:r>
          </w:p>
        </w:tc>
        <w:tc>
          <w:tcPr>
            <w:tcW w:w="876" w:type="dxa"/>
            <w:tcBorders>
              <w:top w:val="single" w:sz="4" w:space="0" w:color="auto"/>
              <w:bottom w:val="single" w:sz="4" w:space="0" w:color="auto"/>
            </w:tcBorders>
          </w:tcPr>
          <w:p w14:paraId="690893D8" w14:textId="60027848" w:rsidR="0069574C" w:rsidRPr="003E7B70" w:rsidRDefault="0069574C" w:rsidP="00AE051F">
            <w:pPr>
              <w:jc w:val="center"/>
              <w:rPr>
                <w:rFonts w:ascii="Times New Roman" w:hAnsi="Times New Roman" w:cs="Times New Roman"/>
                <w:b/>
                <w:bCs/>
                <w:lang w:val="es-CR"/>
              </w:rPr>
            </w:pPr>
            <w:r w:rsidRPr="003E7B70">
              <w:rPr>
                <w:rFonts w:ascii="Times New Roman" w:hAnsi="Times New Roman" w:cs="Times New Roman"/>
                <w:b/>
                <w:bCs/>
                <w:lang w:val="es-CR"/>
              </w:rPr>
              <w:t>202</w:t>
            </w:r>
            <w:r>
              <w:rPr>
                <w:rFonts w:ascii="Times New Roman" w:hAnsi="Times New Roman" w:cs="Times New Roman"/>
                <w:b/>
                <w:bCs/>
                <w:lang w:val="es-CR"/>
              </w:rPr>
              <w:t>5</w:t>
            </w:r>
          </w:p>
        </w:tc>
        <w:tc>
          <w:tcPr>
            <w:tcW w:w="876" w:type="dxa"/>
            <w:tcBorders>
              <w:top w:val="single" w:sz="4" w:space="0" w:color="auto"/>
              <w:bottom w:val="single" w:sz="4" w:space="0" w:color="auto"/>
            </w:tcBorders>
          </w:tcPr>
          <w:p w14:paraId="091CB5A4" w14:textId="77777777" w:rsidR="0069574C" w:rsidRPr="003E7B70" w:rsidRDefault="0069574C" w:rsidP="00AE051F">
            <w:pPr>
              <w:jc w:val="center"/>
              <w:rPr>
                <w:rFonts w:ascii="Times New Roman" w:hAnsi="Times New Roman" w:cs="Times New Roman"/>
                <w:b/>
                <w:bCs/>
                <w:lang w:val="es-CR"/>
              </w:rPr>
            </w:pPr>
            <m:oMathPara>
              <m:oMath>
                <m:r>
                  <m:rPr>
                    <m:sty m:val="bi"/>
                  </m:rPr>
                  <w:rPr>
                    <w:rFonts w:ascii="Cambria Math" w:hAnsi="Cambria Math" w:cs="Times New Roman"/>
                    <w:lang w:val="es-CR"/>
                  </w:rPr>
                  <m:t>∆</m:t>
                </m:r>
              </m:oMath>
            </m:oMathPara>
          </w:p>
        </w:tc>
        <w:tc>
          <w:tcPr>
            <w:tcW w:w="1076" w:type="dxa"/>
            <w:tcBorders>
              <w:top w:val="single" w:sz="4" w:space="0" w:color="auto"/>
              <w:bottom w:val="single" w:sz="4" w:space="0" w:color="auto"/>
            </w:tcBorders>
          </w:tcPr>
          <w:p w14:paraId="2D7104D5" w14:textId="77777777" w:rsidR="0069574C" w:rsidRPr="003E7B70" w:rsidRDefault="0069574C" w:rsidP="00AE051F">
            <w:pPr>
              <w:jc w:val="center"/>
              <w:rPr>
                <w:rFonts w:ascii="Times New Roman" w:hAnsi="Times New Roman" w:cs="Times New Roman"/>
                <w:b/>
                <w:bCs/>
                <w:lang w:val="es-CR"/>
              </w:rPr>
            </w:pPr>
            <w:r w:rsidRPr="003E7B70">
              <w:rPr>
                <w:rFonts w:ascii="Times New Roman" w:hAnsi="Times New Roman" w:cs="Times New Roman"/>
                <w:b/>
                <w:bCs/>
                <w:lang w:val="es-CR"/>
              </w:rPr>
              <w:t>g</w:t>
            </w:r>
          </w:p>
        </w:tc>
        <w:tc>
          <w:tcPr>
            <w:tcW w:w="1872" w:type="dxa"/>
            <w:tcBorders>
              <w:top w:val="single" w:sz="4" w:space="0" w:color="auto"/>
              <w:bottom w:val="single" w:sz="4" w:space="0" w:color="auto"/>
            </w:tcBorders>
          </w:tcPr>
          <w:p w14:paraId="63D33851" w14:textId="27AF74A7" w:rsidR="0069574C" w:rsidRPr="003E7B70" w:rsidRDefault="0069574C" w:rsidP="00AE051F">
            <w:pPr>
              <w:jc w:val="center"/>
              <w:rPr>
                <w:rFonts w:ascii="Times New Roman" w:hAnsi="Times New Roman" w:cs="Times New Roman"/>
                <w:b/>
                <w:bCs/>
                <w:lang w:val="es-CR"/>
              </w:rPr>
            </w:pPr>
            <w:r w:rsidRPr="003E7B70">
              <w:rPr>
                <w:rFonts w:ascii="Times New Roman" w:hAnsi="Times New Roman" w:cs="Times New Roman"/>
                <w:b/>
                <w:bCs/>
                <w:lang w:val="es-CR"/>
              </w:rPr>
              <w:t xml:space="preserve">IC peso </w:t>
            </w:r>
            <w:r>
              <w:rPr>
                <w:rFonts w:ascii="Times New Roman" w:hAnsi="Times New Roman" w:cs="Times New Roman"/>
                <w:b/>
                <w:bCs/>
                <w:lang w:val="es-CR"/>
              </w:rPr>
              <w:t>–</w:t>
            </w:r>
            <w:r w:rsidRPr="003E7B70">
              <w:rPr>
                <w:rFonts w:ascii="Times New Roman" w:hAnsi="Times New Roman" w:cs="Times New Roman"/>
                <w:b/>
                <w:bCs/>
                <w:lang w:val="es-CR"/>
              </w:rPr>
              <w:t xml:space="preserve"> 202</w:t>
            </w:r>
            <w:r>
              <w:rPr>
                <w:rFonts w:ascii="Times New Roman" w:hAnsi="Times New Roman" w:cs="Times New Roman"/>
                <w:b/>
                <w:bCs/>
                <w:lang w:val="es-CR"/>
              </w:rPr>
              <w:t>4</w:t>
            </w:r>
          </w:p>
        </w:tc>
        <w:tc>
          <w:tcPr>
            <w:tcW w:w="1950" w:type="dxa"/>
            <w:tcBorders>
              <w:top w:val="single" w:sz="4" w:space="0" w:color="auto"/>
              <w:bottom w:val="single" w:sz="4" w:space="0" w:color="auto"/>
            </w:tcBorders>
          </w:tcPr>
          <w:p w14:paraId="39246C91" w14:textId="50BA4CBD" w:rsidR="0069574C" w:rsidRPr="003E7B70" w:rsidRDefault="0069574C" w:rsidP="00AE051F">
            <w:pPr>
              <w:jc w:val="center"/>
              <w:rPr>
                <w:rFonts w:ascii="Times New Roman" w:hAnsi="Times New Roman" w:cs="Times New Roman"/>
                <w:b/>
                <w:bCs/>
                <w:lang w:val="es-CR"/>
              </w:rPr>
            </w:pPr>
            <w:r w:rsidRPr="003E7B70">
              <w:rPr>
                <w:rFonts w:ascii="Times New Roman" w:hAnsi="Times New Roman" w:cs="Times New Roman"/>
                <w:b/>
                <w:bCs/>
                <w:lang w:val="es-CR"/>
              </w:rPr>
              <w:t>IC peso - 202</w:t>
            </w:r>
            <w:r>
              <w:rPr>
                <w:rFonts w:ascii="Times New Roman" w:hAnsi="Times New Roman" w:cs="Times New Roman"/>
                <w:b/>
                <w:bCs/>
                <w:lang w:val="es-CR"/>
              </w:rPr>
              <w:t>5</w:t>
            </w:r>
          </w:p>
        </w:tc>
      </w:tr>
      <w:tr w:rsidR="0069574C" w14:paraId="40D401B7" w14:textId="77777777" w:rsidTr="0069574C">
        <w:trPr>
          <w:jc w:val="center"/>
        </w:trPr>
        <w:tc>
          <w:tcPr>
            <w:tcW w:w="1029" w:type="dxa"/>
            <w:tcBorders>
              <w:top w:val="single" w:sz="4" w:space="0" w:color="auto"/>
            </w:tcBorders>
          </w:tcPr>
          <w:p w14:paraId="6F955742" w14:textId="77777777" w:rsidR="0069574C" w:rsidRDefault="0069574C" w:rsidP="00AE051F">
            <w:pPr>
              <w:rPr>
                <w:rFonts w:ascii="Times New Roman" w:hAnsi="Times New Roman" w:cs="Times New Roman"/>
                <w:lang w:val="es-CR"/>
              </w:rPr>
            </w:pPr>
            <w:r>
              <w:rPr>
                <w:rFonts w:ascii="Times New Roman" w:hAnsi="Times New Roman" w:cs="Times New Roman"/>
                <w:lang w:val="es-CR"/>
              </w:rPr>
              <w:t>OWK</w:t>
            </w:r>
          </w:p>
        </w:tc>
        <w:tc>
          <w:tcPr>
            <w:tcW w:w="876" w:type="dxa"/>
            <w:tcBorders>
              <w:top w:val="single" w:sz="4" w:space="0" w:color="auto"/>
            </w:tcBorders>
          </w:tcPr>
          <w:p w14:paraId="4F4174FD" w14:textId="0E6FCE87" w:rsidR="0069574C" w:rsidRDefault="0069574C" w:rsidP="00AE051F">
            <w:pPr>
              <w:jc w:val="center"/>
              <w:rPr>
                <w:rFonts w:ascii="Times New Roman" w:hAnsi="Times New Roman" w:cs="Times New Roman"/>
                <w:lang w:val="es-CR"/>
              </w:rPr>
            </w:pPr>
            <w:r>
              <w:rPr>
                <w:rFonts w:ascii="Times New Roman" w:hAnsi="Times New Roman" w:cs="Times New Roman"/>
                <w:lang w:val="es-CR"/>
              </w:rPr>
              <w:t>10,707</w:t>
            </w:r>
          </w:p>
        </w:tc>
        <w:tc>
          <w:tcPr>
            <w:tcW w:w="876" w:type="dxa"/>
            <w:tcBorders>
              <w:top w:val="single" w:sz="4" w:space="0" w:color="auto"/>
            </w:tcBorders>
          </w:tcPr>
          <w:p w14:paraId="1D31EB0C" w14:textId="3B25B53E" w:rsidR="0069574C" w:rsidRDefault="0069574C" w:rsidP="00AE051F">
            <w:pPr>
              <w:jc w:val="center"/>
              <w:rPr>
                <w:rFonts w:ascii="Times New Roman" w:hAnsi="Times New Roman" w:cs="Times New Roman"/>
                <w:lang w:val="es-CR"/>
              </w:rPr>
            </w:pPr>
            <w:r>
              <w:rPr>
                <w:rFonts w:ascii="Times New Roman" w:hAnsi="Times New Roman" w:cs="Times New Roman"/>
                <w:lang w:val="es-CR"/>
              </w:rPr>
              <w:t>1,384</w:t>
            </w:r>
          </w:p>
        </w:tc>
        <w:tc>
          <w:tcPr>
            <w:tcW w:w="876" w:type="dxa"/>
            <w:tcBorders>
              <w:top w:val="single" w:sz="4" w:space="0" w:color="auto"/>
            </w:tcBorders>
          </w:tcPr>
          <w:p w14:paraId="1F12FCBC" w14:textId="4BA1FC97" w:rsidR="0069574C" w:rsidRDefault="0069574C" w:rsidP="00AE051F">
            <w:pPr>
              <w:jc w:val="center"/>
              <w:rPr>
                <w:rFonts w:ascii="Times New Roman" w:hAnsi="Times New Roman" w:cs="Times New Roman"/>
                <w:lang w:val="es-CR"/>
              </w:rPr>
            </w:pPr>
            <w:r>
              <w:rPr>
                <w:rFonts w:ascii="Times New Roman" w:hAnsi="Times New Roman" w:cs="Times New Roman"/>
                <w:lang w:val="es-CR"/>
              </w:rPr>
              <w:t>(9,323)</w:t>
            </w:r>
          </w:p>
        </w:tc>
        <w:tc>
          <w:tcPr>
            <w:tcW w:w="1076" w:type="dxa"/>
            <w:tcBorders>
              <w:top w:val="single" w:sz="4" w:space="0" w:color="auto"/>
            </w:tcBorders>
          </w:tcPr>
          <w:p w14:paraId="367675D0" w14:textId="3D20084D" w:rsidR="0069574C" w:rsidRDefault="0069574C" w:rsidP="00AE051F">
            <w:pPr>
              <w:jc w:val="center"/>
              <w:rPr>
                <w:rFonts w:ascii="Times New Roman" w:hAnsi="Times New Roman" w:cs="Times New Roman"/>
                <w:lang w:val="es-CR"/>
              </w:rPr>
            </w:pPr>
            <w:r>
              <w:rPr>
                <w:rFonts w:ascii="Times New Roman" w:hAnsi="Times New Roman" w:cs="Times New Roman"/>
                <w:lang w:val="es-CR"/>
              </w:rPr>
              <w:t>(87.07%)</w:t>
            </w:r>
          </w:p>
        </w:tc>
        <w:tc>
          <w:tcPr>
            <w:tcW w:w="1872" w:type="dxa"/>
            <w:tcBorders>
              <w:top w:val="single" w:sz="4" w:space="0" w:color="auto"/>
            </w:tcBorders>
          </w:tcPr>
          <w:p w14:paraId="79928B45" w14:textId="03A03203" w:rsidR="0069574C" w:rsidRDefault="0069574C" w:rsidP="00AE051F">
            <w:pPr>
              <w:jc w:val="center"/>
              <w:rPr>
                <w:rFonts w:ascii="Times New Roman" w:hAnsi="Times New Roman" w:cs="Times New Roman"/>
                <w:lang w:val="es-CR"/>
              </w:rPr>
            </w:pPr>
            <w:r>
              <w:rPr>
                <w:rFonts w:ascii="Times New Roman" w:hAnsi="Times New Roman" w:cs="Times New Roman"/>
                <w:lang w:val="es-CR"/>
              </w:rPr>
              <w:t>22.17%</w:t>
            </w:r>
          </w:p>
        </w:tc>
        <w:tc>
          <w:tcPr>
            <w:tcW w:w="1950" w:type="dxa"/>
            <w:tcBorders>
              <w:top w:val="single" w:sz="4" w:space="0" w:color="auto"/>
            </w:tcBorders>
          </w:tcPr>
          <w:p w14:paraId="05F5C6B0" w14:textId="07B5A764" w:rsidR="0069574C" w:rsidRDefault="0069574C" w:rsidP="00AE051F">
            <w:pPr>
              <w:jc w:val="center"/>
              <w:rPr>
                <w:rFonts w:ascii="Times New Roman" w:hAnsi="Times New Roman" w:cs="Times New Roman"/>
                <w:lang w:val="es-CR"/>
              </w:rPr>
            </w:pPr>
            <w:r>
              <w:rPr>
                <w:rFonts w:ascii="Times New Roman" w:hAnsi="Times New Roman" w:cs="Times New Roman"/>
                <w:lang w:val="es-CR"/>
              </w:rPr>
              <w:t>3.37%</w:t>
            </w:r>
          </w:p>
        </w:tc>
      </w:tr>
      <w:tr w:rsidR="0069574C" w14:paraId="4D2AFF7B" w14:textId="77777777" w:rsidTr="0069574C">
        <w:trPr>
          <w:trHeight w:val="5"/>
          <w:jc w:val="center"/>
        </w:trPr>
        <w:tc>
          <w:tcPr>
            <w:tcW w:w="1029" w:type="dxa"/>
          </w:tcPr>
          <w:p w14:paraId="205290AA" w14:textId="77777777" w:rsidR="0069574C" w:rsidRDefault="0069574C" w:rsidP="00AE051F">
            <w:pPr>
              <w:rPr>
                <w:rFonts w:ascii="Times New Roman" w:hAnsi="Times New Roman" w:cs="Times New Roman"/>
                <w:lang w:val="es-CR"/>
              </w:rPr>
            </w:pPr>
            <w:r>
              <w:rPr>
                <w:rFonts w:ascii="Times New Roman" w:hAnsi="Times New Roman" w:cs="Times New Roman"/>
                <w:lang w:val="es-CR"/>
              </w:rPr>
              <w:t>FA</w:t>
            </w:r>
          </w:p>
        </w:tc>
        <w:tc>
          <w:tcPr>
            <w:tcW w:w="876" w:type="dxa"/>
          </w:tcPr>
          <w:p w14:paraId="1A8492AA" w14:textId="187FADC1" w:rsidR="0069574C" w:rsidRDefault="0069574C" w:rsidP="00AE051F">
            <w:pPr>
              <w:jc w:val="center"/>
              <w:rPr>
                <w:rFonts w:ascii="Times New Roman" w:hAnsi="Times New Roman" w:cs="Times New Roman"/>
                <w:lang w:val="es-CR"/>
              </w:rPr>
            </w:pPr>
            <w:r>
              <w:rPr>
                <w:rFonts w:ascii="Times New Roman" w:hAnsi="Times New Roman" w:cs="Times New Roman"/>
                <w:lang w:val="es-CR"/>
              </w:rPr>
              <w:t>37,595</w:t>
            </w:r>
          </w:p>
        </w:tc>
        <w:tc>
          <w:tcPr>
            <w:tcW w:w="876" w:type="dxa"/>
          </w:tcPr>
          <w:p w14:paraId="6AFB537B" w14:textId="5C7E5D40" w:rsidR="0069574C" w:rsidRDefault="0069574C" w:rsidP="00AE051F">
            <w:pPr>
              <w:jc w:val="center"/>
              <w:rPr>
                <w:rFonts w:ascii="Times New Roman" w:hAnsi="Times New Roman" w:cs="Times New Roman"/>
                <w:lang w:val="es-CR"/>
              </w:rPr>
            </w:pPr>
            <w:r>
              <w:rPr>
                <w:rFonts w:ascii="Times New Roman" w:hAnsi="Times New Roman" w:cs="Times New Roman"/>
                <w:lang w:val="es-CR"/>
              </w:rPr>
              <w:t>39,743</w:t>
            </w:r>
          </w:p>
        </w:tc>
        <w:tc>
          <w:tcPr>
            <w:tcW w:w="876" w:type="dxa"/>
          </w:tcPr>
          <w:p w14:paraId="46BE79B6" w14:textId="2B348E5A" w:rsidR="0069574C" w:rsidRDefault="0069574C" w:rsidP="00AE051F">
            <w:pPr>
              <w:jc w:val="center"/>
              <w:rPr>
                <w:rFonts w:ascii="Times New Roman" w:hAnsi="Times New Roman" w:cs="Times New Roman"/>
                <w:lang w:val="es-CR"/>
              </w:rPr>
            </w:pPr>
            <w:r>
              <w:rPr>
                <w:rFonts w:ascii="Times New Roman" w:hAnsi="Times New Roman" w:cs="Times New Roman"/>
                <w:lang w:val="es-CR"/>
              </w:rPr>
              <w:t>2,148</w:t>
            </w:r>
          </w:p>
        </w:tc>
        <w:tc>
          <w:tcPr>
            <w:tcW w:w="1076" w:type="dxa"/>
          </w:tcPr>
          <w:p w14:paraId="145027D7" w14:textId="39F7B7BA" w:rsidR="0069574C" w:rsidRDefault="0069574C" w:rsidP="00AE051F">
            <w:pPr>
              <w:jc w:val="center"/>
              <w:rPr>
                <w:rFonts w:ascii="Times New Roman" w:hAnsi="Times New Roman" w:cs="Times New Roman"/>
                <w:lang w:val="es-CR"/>
              </w:rPr>
            </w:pPr>
            <w:r>
              <w:rPr>
                <w:rFonts w:ascii="Times New Roman" w:hAnsi="Times New Roman" w:cs="Times New Roman"/>
                <w:lang w:val="es-CR"/>
              </w:rPr>
              <w:t>5.71%</w:t>
            </w:r>
          </w:p>
        </w:tc>
        <w:tc>
          <w:tcPr>
            <w:tcW w:w="1872" w:type="dxa"/>
          </w:tcPr>
          <w:p w14:paraId="62152C15" w14:textId="218A519C" w:rsidR="0069574C" w:rsidRDefault="0069574C" w:rsidP="00AE051F">
            <w:pPr>
              <w:jc w:val="center"/>
              <w:rPr>
                <w:rFonts w:ascii="Times New Roman" w:hAnsi="Times New Roman" w:cs="Times New Roman"/>
                <w:lang w:val="es-CR"/>
              </w:rPr>
            </w:pPr>
            <w:r>
              <w:rPr>
                <w:rFonts w:ascii="Times New Roman" w:hAnsi="Times New Roman" w:cs="Times New Roman"/>
                <w:lang w:val="es-CR"/>
              </w:rPr>
              <w:t>77.83%</w:t>
            </w:r>
          </w:p>
        </w:tc>
        <w:tc>
          <w:tcPr>
            <w:tcW w:w="1950" w:type="dxa"/>
          </w:tcPr>
          <w:p w14:paraId="61491EAF" w14:textId="0D42932C" w:rsidR="0069574C" w:rsidRDefault="0069574C" w:rsidP="00AE051F">
            <w:pPr>
              <w:jc w:val="center"/>
              <w:rPr>
                <w:rFonts w:ascii="Times New Roman" w:hAnsi="Times New Roman" w:cs="Times New Roman"/>
                <w:lang w:val="es-CR"/>
              </w:rPr>
            </w:pPr>
            <w:r>
              <w:rPr>
                <w:rFonts w:ascii="Times New Roman" w:hAnsi="Times New Roman" w:cs="Times New Roman"/>
                <w:lang w:val="es-CR"/>
              </w:rPr>
              <w:t>96.63%</w:t>
            </w:r>
          </w:p>
        </w:tc>
      </w:tr>
      <w:tr w:rsidR="0069574C" w14:paraId="2E9130B9" w14:textId="77777777" w:rsidTr="0069574C">
        <w:trPr>
          <w:jc w:val="center"/>
        </w:trPr>
        <w:tc>
          <w:tcPr>
            <w:tcW w:w="1029" w:type="dxa"/>
          </w:tcPr>
          <w:p w14:paraId="0597FEB5" w14:textId="77777777" w:rsidR="0069574C" w:rsidRPr="003E7B70" w:rsidRDefault="0069574C" w:rsidP="00AE051F">
            <w:pPr>
              <w:rPr>
                <w:rFonts w:ascii="Times New Roman" w:hAnsi="Times New Roman" w:cs="Times New Roman"/>
                <w:b/>
                <w:bCs/>
                <w:lang w:val="es-CR"/>
              </w:rPr>
            </w:pPr>
            <w:r w:rsidRPr="003E7B70">
              <w:rPr>
                <w:rFonts w:ascii="Times New Roman" w:hAnsi="Times New Roman" w:cs="Times New Roman"/>
                <w:b/>
                <w:bCs/>
                <w:lang w:val="es-CR"/>
              </w:rPr>
              <w:t>IC</w:t>
            </w:r>
          </w:p>
        </w:tc>
        <w:tc>
          <w:tcPr>
            <w:tcW w:w="876" w:type="dxa"/>
          </w:tcPr>
          <w:p w14:paraId="3313243F" w14:textId="77131E7B" w:rsidR="0069574C" w:rsidRPr="003E7B70" w:rsidRDefault="0069574C" w:rsidP="00AE051F">
            <w:pPr>
              <w:jc w:val="center"/>
              <w:rPr>
                <w:rFonts w:ascii="Times New Roman" w:hAnsi="Times New Roman" w:cs="Times New Roman"/>
                <w:b/>
                <w:bCs/>
                <w:lang w:val="es-CR"/>
              </w:rPr>
            </w:pPr>
            <w:r>
              <w:rPr>
                <w:rFonts w:ascii="Times New Roman" w:hAnsi="Times New Roman" w:cs="Times New Roman"/>
                <w:b/>
                <w:bCs/>
                <w:lang w:val="es-CR"/>
              </w:rPr>
              <w:t>48,302</w:t>
            </w:r>
          </w:p>
        </w:tc>
        <w:tc>
          <w:tcPr>
            <w:tcW w:w="876" w:type="dxa"/>
          </w:tcPr>
          <w:p w14:paraId="00624B19" w14:textId="5796D0CE" w:rsidR="0069574C" w:rsidRPr="003E7B70" w:rsidRDefault="0069574C" w:rsidP="00AE051F">
            <w:pPr>
              <w:jc w:val="center"/>
              <w:rPr>
                <w:rFonts w:ascii="Times New Roman" w:hAnsi="Times New Roman" w:cs="Times New Roman"/>
                <w:b/>
                <w:bCs/>
                <w:lang w:val="es-CR"/>
              </w:rPr>
            </w:pPr>
            <w:r>
              <w:rPr>
                <w:rFonts w:ascii="Times New Roman" w:hAnsi="Times New Roman" w:cs="Times New Roman"/>
                <w:b/>
                <w:bCs/>
                <w:lang w:val="es-CR"/>
              </w:rPr>
              <w:t>41,127</w:t>
            </w:r>
          </w:p>
        </w:tc>
        <w:tc>
          <w:tcPr>
            <w:tcW w:w="876" w:type="dxa"/>
          </w:tcPr>
          <w:p w14:paraId="55E7B920" w14:textId="7C425DFA" w:rsidR="0069574C" w:rsidRPr="003E7B70" w:rsidRDefault="0069574C" w:rsidP="00AE051F">
            <w:pPr>
              <w:jc w:val="center"/>
              <w:rPr>
                <w:rFonts w:ascii="Times New Roman" w:hAnsi="Times New Roman" w:cs="Times New Roman"/>
                <w:b/>
                <w:bCs/>
                <w:lang w:val="es-CR"/>
              </w:rPr>
            </w:pPr>
            <w:r>
              <w:rPr>
                <w:rFonts w:ascii="Times New Roman" w:hAnsi="Times New Roman" w:cs="Times New Roman"/>
                <w:b/>
                <w:bCs/>
                <w:lang w:val="es-CR"/>
              </w:rPr>
              <w:t>(7,175)</w:t>
            </w:r>
          </w:p>
        </w:tc>
        <w:tc>
          <w:tcPr>
            <w:tcW w:w="1076" w:type="dxa"/>
          </w:tcPr>
          <w:p w14:paraId="35B5DF90" w14:textId="7D16127F" w:rsidR="0069574C" w:rsidRDefault="0069574C" w:rsidP="00AE051F">
            <w:pPr>
              <w:jc w:val="center"/>
              <w:rPr>
                <w:rFonts w:ascii="Times New Roman" w:hAnsi="Times New Roman" w:cs="Times New Roman"/>
                <w:lang w:val="es-CR"/>
              </w:rPr>
            </w:pPr>
            <w:r>
              <w:rPr>
                <w:rFonts w:ascii="Times New Roman" w:hAnsi="Times New Roman" w:cs="Times New Roman"/>
                <w:lang w:val="es-CR"/>
              </w:rPr>
              <w:t>(14.85%)</w:t>
            </w:r>
          </w:p>
        </w:tc>
        <w:tc>
          <w:tcPr>
            <w:tcW w:w="1872" w:type="dxa"/>
          </w:tcPr>
          <w:p w14:paraId="1D4E5E7F" w14:textId="77777777" w:rsidR="0069574C" w:rsidRDefault="0069574C" w:rsidP="00AE051F">
            <w:pPr>
              <w:jc w:val="center"/>
              <w:rPr>
                <w:rFonts w:ascii="Times New Roman" w:hAnsi="Times New Roman" w:cs="Times New Roman"/>
                <w:lang w:val="es-CR"/>
              </w:rPr>
            </w:pPr>
          </w:p>
        </w:tc>
        <w:tc>
          <w:tcPr>
            <w:tcW w:w="1950" w:type="dxa"/>
          </w:tcPr>
          <w:p w14:paraId="628BF70A" w14:textId="77777777" w:rsidR="0069574C" w:rsidRDefault="0069574C" w:rsidP="00AE051F">
            <w:pPr>
              <w:jc w:val="center"/>
              <w:rPr>
                <w:rFonts w:ascii="Times New Roman" w:hAnsi="Times New Roman" w:cs="Times New Roman"/>
                <w:lang w:val="es-CR"/>
              </w:rPr>
            </w:pPr>
          </w:p>
        </w:tc>
      </w:tr>
      <w:tr w:rsidR="0069574C" w14:paraId="466E264E" w14:textId="77777777" w:rsidTr="0069574C">
        <w:trPr>
          <w:trHeight w:val="242"/>
          <w:jc w:val="center"/>
        </w:trPr>
        <w:tc>
          <w:tcPr>
            <w:tcW w:w="1029" w:type="dxa"/>
          </w:tcPr>
          <w:p w14:paraId="1306E6E0" w14:textId="77777777" w:rsidR="0069574C" w:rsidRDefault="0069574C" w:rsidP="00AE051F">
            <w:pPr>
              <w:rPr>
                <w:rFonts w:ascii="Times New Roman" w:hAnsi="Times New Roman" w:cs="Times New Roman"/>
                <w:lang w:val="es-CR"/>
              </w:rPr>
            </w:pPr>
            <w:r>
              <w:rPr>
                <w:rFonts w:ascii="Times New Roman" w:hAnsi="Times New Roman" w:cs="Times New Roman"/>
                <w:lang w:val="es-CR"/>
              </w:rPr>
              <w:t>BVD</w:t>
            </w:r>
          </w:p>
        </w:tc>
        <w:tc>
          <w:tcPr>
            <w:tcW w:w="876" w:type="dxa"/>
          </w:tcPr>
          <w:p w14:paraId="0AD3E5A9" w14:textId="6F1414D6" w:rsidR="0069574C" w:rsidRDefault="0069574C" w:rsidP="00AE051F">
            <w:pPr>
              <w:jc w:val="center"/>
              <w:rPr>
                <w:rFonts w:ascii="Times New Roman" w:hAnsi="Times New Roman" w:cs="Times New Roman"/>
                <w:lang w:val="es-CR"/>
              </w:rPr>
            </w:pPr>
            <w:r>
              <w:rPr>
                <w:rFonts w:ascii="Times New Roman" w:hAnsi="Times New Roman" w:cs="Times New Roman"/>
                <w:lang w:val="es-CR"/>
              </w:rPr>
              <w:t>33,009</w:t>
            </w:r>
          </w:p>
        </w:tc>
        <w:tc>
          <w:tcPr>
            <w:tcW w:w="876" w:type="dxa"/>
          </w:tcPr>
          <w:p w14:paraId="7E1E4667" w14:textId="3A45A323" w:rsidR="0069574C" w:rsidRDefault="0069574C" w:rsidP="00AE051F">
            <w:pPr>
              <w:jc w:val="center"/>
              <w:rPr>
                <w:rFonts w:ascii="Times New Roman" w:hAnsi="Times New Roman" w:cs="Times New Roman"/>
                <w:lang w:val="es-CR"/>
              </w:rPr>
            </w:pPr>
            <w:r>
              <w:rPr>
                <w:rFonts w:ascii="Times New Roman" w:hAnsi="Times New Roman" w:cs="Times New Roman"/>
                <w:lang w:val="es-CR"/>
              </w:rPr>
              <w:t>20,274</w:t>
            </w:r>
          </w:p>
        </w:tc>
        <w:tc>
          <w:tcPr>
            <w:tcW w:w="876" w:type="dxa"/>
          </w:tcPr>
          <w:p w14:paraId="6A7FDE98" w14:textId="4FA1E45F" w:rsidR="0069574C" w:rsidRDefault="0069574C" w:rsidP="00AE051F">
            <w:pPr>
              <w:jc w:val="center"/>
              <w:rPr>
                <w:rFonts w:ascii="Times New Roman" w:hAnsi="Times New Roman" w:cs="Times New Roman"/>
                <w:lang w:val="es-CR"/>
              </w:rPr>
            </w:pPr>
            <w:r>
              <w:rPr>
                <w:rFonts w:ascii="Times New Roman" w:hAnsi="Times New Roman" w:cs="Times New Roman"/>
                <w:lang w:val="es-CR"/>
              </w:rPr>
              <w:t>(12,735)</w:t>
            </w:r>
          </w:p>
        </w:tc>
        <w:tc>
          <w:tcPr>
            <w:tcW w:w="1076" w:type="dxa"/>
          </w:tcPr>
          <w:p w14:paraId="468B4CC1" w14:textId="43AB158F" w:rsidR="0069574C" w:rsidRDefault="0069574C" w:rsidP="00AE051F">
            <w:pPr>
              <w:jc w:val="center"/>
              <w:rPr>
                <w:rFonts w:ascii="Times New Roman" w:hAnsi="Times New Roman" w:cs="Times New Roman"/>
                <w:lang w:val="es-CR"/>
              </w:rPr>
            </w:pPr>
            <w:r>
              <w:rPr>
                <w:rFonts w:ascii="Times New Roman" w:hAnsi="Times New Roman" w:cs="Times New Roman"/>
                <w:lang w:val="es-CR"/>
              </w:rPr>
              <w:t>(38.58%)</w:t>
            </w:r>
          </w:p>
        </w:tc>
        <w:tc>
          <w:tcPr>
            <w:tcW w:w="1872" w:type="dxa"/>
          </w:tcPr>
          <w:p w14:paraId="690C524A" w14:textId="07E6E14D" w:rsidR="0069574C" w:rsidRDefault="0069574C" w:rsidP="00AE051F">
            <w:pPr>
              <w:jc w:val="center"/>
              <w:rPr>
                <w:rFonts w:ascii="Times New Roman" w:hAnsi="Times New Roman" w:cs="Times New Roman"/>
                <w:lang w:val="es-CR"/>
              </w:rPr>
            </w:pPr>
            <w:r>
              <w:rPr>
                <w:rFonts w:ascii="Times New Roman" w:hAnsi="Times New Roman" w:cs="Times New Roman"/>
                <w:lang w:val="es-CR"/>
              </w:rPr>
              <w:t>68.34%</w:t>
            </w:r>
          </w:p>
        </w:tc>
        <w:tc>
          <w:tcPr>
            <w:tcW w:w="1950" w:type="dxa"/>
          </w:tcPr>
          <w:p w14:paraId="18BDDA58" w14:textId="336AAB5E" w:rsidR="0069574C" w:rsidRDefault="0069574C" w:rsidP="00AE051F">
            <w:pPr>
              <w:jc w:val="center"/>
              <w:rPr>
                <w:rFonts w:ascii="Times New Roman" w:hAnsi="Times New Roman" w:cs="Times New Roman"/>
                <w:lang w:val="es-CR"/>
              </w:rPr>
            </w:pPr>
            <w:r>
              <w:rPr>
                <w:rFonts w:ascii="Times New Roman" w:hAnsi="Times New Roman" w:cs="Times New Roman"/>
                <w:lang w:val="es-CR"/>
              </w:rPr>
              <w:t>49.30%</w:t>
            </w:r>
          </w:p>
        </w:tc>
      </w:tr>
      <w:tr w:rsidR="0069574C" w14:paraId="47A669A2" w14:textId="77777777" w:rsidTr="0069574C">
        <w:trPr>
          <w:jc w:val="center"/>
        </w:trPr>
        <w:tc>
          <w:tcPr>
            <w:tcW w:w="1029" w:type="dxa"/>
          </w:tcPr>
          <w:p w14:paraId="0AC04AFE" w14:textId="77777777" w:rsidR="0069574C" w:rsidRDefault="0069574C" w:rsidP="00AE051F">
            <w:pPr>
              <w:rPr>
                <w:rFonts w:ascii="Times New Roman" w:hAnsi="Times New Roman" w:cs="Times New Roman"/>
                <w:lang w:val="es-CR"/>
              </w:rPr>
            </w:pPr>
            <w:r>
              <w:rPr>
                <w:rFonts w:ascii="Times New Roman" w:hAnsi="Times New Roman" w:cs="Times New Roman"/>
                <w:lang w:val="es-CR"/>
              </w:rPr>
              <w:t>BVE</w:t>
            </w:r>
          </w:p>
        </w:tc>
        <w:tc>
          <w:tcPr>
            <w:tcW w:w="876" w:type="dxa"/>
          </w:tcPr>
          <w:p w14:paraId="0E099EC9" w14:textId="483879A3" w:rsidR="0069574C" w:rsidRDefault="0069574C" w:rsidP="00AE051F">
            <w:pPr>
              <w:jc w:val="center"/>
              <w:rPr>
                <w:rFonts w:ascii="Times New Roman" w:hAnsi="Times New Roman" w:cs="Times New Roman"/>
                <w:lang w:val="es-CR"/>
              </w:rPr>
            </w:pPr>
            <w:r>
              <w:rPr>
                <w:rFonts w:ascii="Times New Roman" w:hAnsi="Times New Roman" w:cs="Times New Roman"/>
                <w:lang w:val="es-CR"/>
              </w:rPr>
              <w:t>15,293</w:t>
            </w:r>
          </w:p>
        </w:tc>
        <w:tc>
          <w:tcPr>
            <w:tcW w:w="876" w:type="dxa"/>
          </w:tcPr>
          <w:p w14:paraId="221D3474" w14:textId="6619CE67" w:rsidR="0069574C" w:rsidRDefault="0069574C" w:rsidP="00AE051F">
            <w:pPr>
              <w:jc w:val="center"/>
              <w:rPr>
                <w:rFonts w:ascii="Times New Roman" w:hAnsi="Times New Roman" w:cs="Times New Roman"/>
                <w:lang w:val="es-CR"/>
              </w:rPr>
            </w:pPr>
            <w:r>
              <w:rPr>
                <w:rFonts w:ascii="Times New Roman" w:hAnsi="Times New Roman" w:cs="Times New Roman"/>
                <w:lang w:val="es-CR"/>
              </w:rPr>
              <w:t>20,853</w:t>
            </w:r>
          </w:p>
        </w:tc>
        <w:tc>
          <w:tcPr>
            <w:tcW w:w="876" w:type="dxa"/>
          </w:tcPr>
          <w:p w14:paraId="5571F8CB" w14:textId="0AE34AB2" w:rsidR="0069574C" w:rsidRDefault="0069574C" w:rsidP="00AE051F">
            <w:pPr>
              <w:jc w:val="center"/>
              <w:rPr>
                <w:rFonts w:ascii="Times New Roman" w:hAnsi="Times New Roman" w:cs="Times New Roman"/>
                <w:lang w:val="es-CR"/>
              </w:rPr>
            </w:pPr>
            <w:r>
              <w:rPr>
                <w:rFonts w:ascii="Times New Roman" w:hAnsi="Times New Roman" w:cs="Times New Roman"/>
                <w:lang w:val="es-CR"/>
              </w:rPr>
              <w:t>5,560</w:t>
            </w:r>
          </w:p>
        </w:tc>
        <w:tc>
          <w:tcPr>
            <w:tcW w:w="1076" w:type="dxa"/>
          </w:tcPr>
          <w:p w14:paraId="1062557F" w14:textId="662F07EE" w:rsidR="0069574C" w:rsidRDefault="0069574C" w:rsidP="00AE051F">
            <w:pPr>
              <w:jc w:val="center"/>
              <w:rPr>
                <w:rFonts w:ascii="Times New Roman" w:hAnsi="Times New Roman" w:cs="Times New Roman"/>
                <w:lang w:val="es-CR"/>
              </w:rPr>
            </w:pPr>
            <w:r>
              <w:rPr>
                <w:rFonts w:ascii="Times New Roman" w:hAnsi="Times New Roman" w:cs="Times New Roman"/>
                <w:lang w:val="es-CR"/>
              </w:rPr>
              <w:t>36.36%</w:t>
            </w:r>
          </w:p>
        </w:tc>
        <w:tc>
          <w:tcPr>
            <w:tcW w:w="1872" w:type="dxa"/>
          </w:tcPr>
          <w:p w14:paraId="2776A322" w14:textId="743AA15D" w:rsidR="0069574C" w:rsidRDefault="0069574C" w:rsidP="00AE051F">
            <w:pPr>
              <w:jc w:val="center"/>
              <w:rPr>
                <w:rFonts w:ascii="Times New Roman" w:hAnsi="Times New Roman" w:cs="Times New Roman"/>
                <w:lang w:val="es-CR"/>
              </w:rPr>
            </w:pPr>
            <w:r>
              <w:rPr>
                <w:rFonts w:ascii="Times New Roman" w:hAnsi="Times New Roman" w:cs="Times New Roman"/>
                <w:lang w:val="es-CR"/>
              </w:rPr>
              <w:t>31.66%</w:t>
            </w:r>
          </w:p>
        </w:tc>
        <w:tc>
          <w:tcPr>
            <w:tcW w:w="1950" w:type="dxa"/>
          </w:tcPr>
          <w:p w14:paraId="0D5D1976" w14:textId="36E98D74" w:rsidR="0069574C" w:rsidRDefault="0069574C" w:rsidP="00AE051F">
            <w:pPr>
              <w:jc w:val="center"/>
              <w:rPr>
                <w:rFonts w:ascii="Times New Roman" w:hAnsi="Times New Roman" w:cs="Times New Roman"/>
                <w:lang w:val="es-CR"/>
              </w:rPr>
            </w:pPr>
            <w:r>
              <w:rPr>
                <w:rFonts w:ascii="Times New Roman" w:hAnsi="Times New Roman" w:cs="Times New Roman"/>
                <w:lang w:val="es-CR"/>
              </w:rPr>
              <w:t>50.70%</w:t>
            </w:r>
          </w:p>
        </w:tc>
      </w:tr>
      <w:tr w:rsidR="0069574C" w14:paraId="378AF56A" w14:textId="77777777" w:rsidTr="0069574C">
        <w:trPr>
          <w:trHeight w:val="229"/>
          <w:jc w:val="center"/>
        </w:trPr>
        <w:tc>
          <w:tcPr>
            <w:tcW w:w="1029" w:type="dxa"/>
          </w:tcPr>
          <w:p w14:paraId="562F344E" w14:textId="77777777" w:rsidR="0069574C" w:rsidRPr="003E7B70" w:rsidRDefault="0069574C" w:rsidP="00AE051F">
            <w:pPr>
              <w:rPr>
                <w:rFonts w:ascii="Times New Roman" w:hAnsi="Times New Roman" w:cs="Times New Roman"/>
                <w:b/>
                <w:bCs/>
                <w:lang w:val="es-CR"/>
              </w:rPr>
            </w:pPr>
            <w:r w:rsidRPr="003E7B70">
              <w:rPr>
                <w:rFonts w:ascii="Times New Roman" w:hAnsi="Times New Roman" w:cs="Times New Roman"/>
                <w:b/>
                <w:bCs/>
                <w:lang w:val="es-CR"/>
              </w:rPr>
              <w:t>IC</w:t>
            </w:r>
          </w:p>
        </w:tc>
        <w:tc>
          <w:tcPr>
            <w:tcW w:w="876" w:type="dxa"/>
          </w:tcPr>
          <w:p w14:paraId="6BF686F9" w14:textId="5DA79EA1" w:rsidR="0069574C" w:rsidRPr="003E7B70" w:rsidRDefault="0069574C" w:rsidP="00AE051F">
            <w:pPr>
              <w:jc w:val="center"/>
              <w:rPr>
                <w:rFonts w:ascii="Times New Roman" w:hAnsi="Times New Roman" w:cs="Times New Roman"/>
                <w:b/>
                <w:bCs/>
                <w:lang w:val="es-CR"/>
              </w:rPr>
            </w:pPr>
            <w:r>
              <w:rPr>
                <w:rFonts w:ascii="Times New Roman" w:hAnsi="Times New Roman" w:cs="Times New Roman"/>
                <w:b/>
                <w:bCs/>
                <w:lang w:val="es-CR"/>
              </w:rPr>
              <w:t>48,302</w:t>
            </w:r>
          </w:p>
        </w:tc>
        <w:tc>
          <w:tcPr>
            <w:tcW w:w="876" w:type="dxa"/>
          </w:tcPr>
          <w:p w14:paraId="6BA4FB36" w14:textId="217950BD" w:rsidR="0069574C" w:rsidRPr="003E7B70" w:rsidRDefault="0069574C" w:rsidP="00AE051F">
            <w:pPr>
              <w:jc w:val="center"/>
              <w:rPr>
                <w:rFonts w:ascii="Times New Roman" w:hAnsi="Times New Roman" w:cs="Times New Roman"/>
                <w:b/>
                <w:bCs/>
                <w:lang w:val="es-CR"/>
              </w:rPr>
            </w:pPr>
            <w:r>
              <w:rPr>
                <w:rFonts w:ascii="Times New Roman" w:hAnsi="Times New Roman" w:cs="Times New Roman"/>
                <w:b/>
                <w:bCs/>
                <w:lang w:val="es-CR"/>
              </w:rPr>
              <w:t>41,127</w:t>
            </w:r>
          </w:p>
        </w:tc>
        <w:tc>
          <w:tcPr>
            <w:tcW w:w="876" w:type="dxa"/>
          </w:tcPr>
          <w:p w14:paraId="33463117" w14:textId="4B12BC9E" w:rsidR="0069574C" w:rsidRPr="003E7B70" w:rsidRDefault="0069574C" w:rsidP="00AE051F">
            <w:pPr>
              <w:jc w:val="center"/>
              <w:rPr>
                <w:rFonts w:ascii="Times New Roman" w:hAnsi="Times New Roman" w:cs="Times New Roman"/>
                <w:b/>
                <w:bCs/>
                <w:lang w:val="es-CR"/>
              </w:rPr>
            </w:pPr>
            <w:r>
              <w:rPr>
                <w:rFonts w:ascii="Times New Roman" w:hAnsi="Times New Roman" w:cs="Times New Roman"/>
                <w:b/>
                <w:bCs/>
                <w:lang w:val="es-CR"/>
              </w:rPr>
              <w:t>(7,175)</w:t>
            </w:r>
          </w:p>
        </w:tc>
        <w:tc>
          <w:tcPr>
            <w:tcW w:w="1076" w:type="dxa"/>
          </w:tcPr>
          <w:p w14:paraId="26D61D8B" w14:textId="161068BD" w:rsidR="0069574C" w:rsidRDefault="00741E52" w:rsidP="00AE051F">
            <w:pPr>
              <w:jc w:val="center"/>
              <w:rPr>
                <w:rFonts w:ascii="Times New Roman" w:hAnsi="Times New Roman" w:cs="Times New Roman"/>
                <w:lang w:val="es-CR"/>
              </w:rPr>
            </w:pPr>
            <w:r>
              <w:rPr>
                <w:rFonts w:ascii="Times New Roman" w:hAnsi="Times New Roman" w:cs="Times New Roman"/>
                <w:lang w:val="es-CR"/>
              </w:rPr>
              <w:t>(14.85%)</w:t>
            </w:r>
          </w:p>
        </w:tc>
        <w:tc>
          <w:tcPr>
            <w:tcW w:w="1872" w:type="dxa"/>
          </w:tcPr>
          <w:p w14:paraId="7F381D55" w14:textId="77777777" w:rsidR="0069574C" w:rsidRDefault="0069574C" w:rsidP="00AE051F">
            <w:pPr>
              <w:jc w:val="center"/>
              <w:rPr>
                <w:rFonts w:ascii="Times New Roman" w:hAnsi="Times New Roman" w:cs="Times New Roman"/>
                <w:lang w:val="es-CR"/>
              </w:rPr>
            </w:pPr>
          </w:p>
        </w:tc>
        <w:tc>
          <w:tcPr>
            <w:tcW w:w="1950" w:type="dxa"/>
          </w:tcPr>
          <w:p w14:paraId="26CA3CCB" w14:textId="77777777" w:rsidR="0069574C" w:rsidRDefault="0069574C" w:rsidP="00AE051F">
            <w:pPr>
              <w:jc w:val="center"/>
              <w:rPr>
                <w:rFonts w:ascii="Times New Roman" w:hAnsi="Times New Roman" w:cs="Times New Roman"/>
                <w:lang w:val="es-CR"/>
              </w:rPr>
            </w:pPr>
          </w:p>
        </w:tc>
      </w:tr>
    </w:tbl>
    <w:p w14:paraId="683A2792" w14:textId="77777777" w:rsidR="0069574C" w:rsidRDefault="0069574C" w:rsidP="00A94EA7">
      <w:pPr>
        <w:jc w:val="both"/>
        <w:rPr>
          <w:rFonts w:ascii="Times New Roman" w:hAnsi="Times New Roman" w:cs="Times New Roman"/>
          <w:lang w:val="es-CR"/>
        </w:rPr>
      </w:pPr>
    </w:p>
    <w:p w14:paraId="22E0D3D5" w14:textId="72E2EE4D" w:rsidR="0069574C" w:rsidRDefault="0069574C" w:rsidP="0069574C">
      <w:pPr>
        <w:jc w:val="center"/>
        <w:rPr>
          <w:rFonts w:ascii="Times New Roman" w:hAnsi="Times New Roman" w:cs="Times New Roman"/>
          <w:lang w:val="es-CR"/>
        </w:rPr>
      </w:pPr>
      <w:r w:rsidRPr="00741E52">
        <w:rPr>
          <w:rFonts w:ascii="Times New Roman" w:hAnsi="Times New Roman" w:cs="Times New Roman"/>
          <w:i/>
          <w:iCs/>
          <w:lang w:val="es-CR"/>
        </w:rPr>
        <w:t>Nota</w:t>
      </w:r>
      <w:r w:rsidRPr="0069574C">
        <w:rPr>
          <w:rFonts w:ascii="Times New Roman" w:hAnsi="Times New Roman" w:cs="Times New Roman"/>
          <w:lang w:val="es-CR"/>
        </w:rPr>
        <w:t xml:space="preserve">. Fuente: Elaboración propia con datos del </w:t>
      </w:r>
      <w:r>
        <w:rPr>
          <w:rFonts w:ascii="Times New Roman" w:hAnsi="Times New Roman" w:cs="Times New Roman"/>
          <w:lang w:val="es-CR"/>
        </w:rPr>
        <w:t>10-K</w:t>
      </w:r>
      <w:r w:rsidR="0093757E">
        <w:rPr>
          <w:rFonts w:ascii="Times New Roman" w:hAnsi="Times New Roman" w:cs="Times New Roman"/>
          <w:lang w:val="es-CR"/>
        </w:rPr>
        <w:t xml:space="preserve"> de Delta</w:t>
      </w:r>
      <w:r w:rsidRPr="0069574C">
        <w:rPr>
          <w:rFonts w:ascii="Times New Roman" w:hAnsi="Times New Roman" w:cs="Times New Roman"/>
          <w:lang w:val="es-CR"/>
        </w:rPr>
        <w:t>.</w:t>
      </w:r>
    </w:p>
    <w:p w14:paraId="62D52C8A" w14:textId="62FD0849" w:rsidR="00741E52" w:rsidRPr="00741E52" w:rsidRDefault="00741E52" w:rsidP="00741E52">
      <w:pPr>
        <w:rPr>
          <w:rFonts w:ascii="Times New Roman" w:hAnsi="Times New Roman" w:cs="Times New Roman"/>
          <w:lang w:val="es-CR"/>
        </w:rPr>
      </w:pPr>
      <w:r w:rsidRPr="00741E52">
        <w:rPr>
          <w:rFonts w:ascii="Times New Roman" w:hAnsi="Times New Roman" w:cs="Times New Roman"/>
          <w:lang w:val="es-CR"/>
        </w:rPr>
        <w:t xml:space="preserve">Con base en el balance resumido, Delta muestra una mejora en su estructura de capital entre 2024 y 2025. La </w:t>
      </w:r>
      <w:r w:rsidR="00CA5529">
        <w:rPr>
          <w:rFonts w:ascii="Times New Roman" w:hAnsi="Times New Roman" w:cs="Times New Roman"/>
          <w:lang w:val="es-CR"/>
        </w:rPr>
        <w:t>D</w:t>
      </w:r>
      <w:r w:rsidRPr="00741E52">
        <w:rPr>
          <w:rFonts w:ascii="Times New Roman" w:hAnsi="Times New Roman" w:cs="Times New Roman"/>
          <w:lang w:val="es-CR"/>
        </w:rPr>
        <w:t xml:space="preserve">euda con costo disminuyó de $33,009 millones a $20,274 millones, lo que representa una reducción de 38.58%, mientras que </w:t>
      </w:r>
      <w:r w:rsidR="00FF73DA">
        <w:rPr>
          <w:rFonts w:ascii="Times New Roman" w:hAnsi="Times New Roman" w:cs="Times New Roman"/>
          <w:lang w:val="es-CR"/>
        </w:rPr>
        <w:t xml:space="preserve">el Patrimonio </w:t>
      </w:r>
      <w:r w:rsidRPr="00741E52">
        <w:rPr>
          <w:rFonts w:ascii="Times New Roman" w:hAnsi="Times New Roman" w:cs="Times New Roman"/>
          <w:lang w:val="es-CR"/>
        </w:rPr>
        <w:t>aumentó de $15,293 millones a $20,853 millones, con un crecimiento de 36.36%. Como resultado, la participación de la deuda dentro de la estructura de capital pasó de 68.34% a 49.30%, mientras que el patrimonio aumentó de 31.66% a 50.70%.</w:t>
      </w:r>
    </w:p>
    <w:p w14:paraId="02AA3614" w14:textId="737C91E4" w:rsidR="00741E52" w:rsidRPr="0069574C" w:rsidRDefault="00741E52" w:rsidP="00741E52">
      <w:pPr>
        <w:rPr>
          <w:rFonts w:ascii="Times New Roman" w:hAnsi="Times New Roman" w:cs="Times New Roman"/>
          <w:lang w:val="es-CR"/>
        </w:rPr>
      </w:pPr>
      <w:r w:rsidRPr="00741E52">
        <w:rPr>
          <w:rFonts w:ascii="Times New Roman" w:hAnsi="Times New Roman" w:cs="Times New Roman"/>
          <w:lang w:val="es-CR"/>
        </w:rPr>
        <w:t>Este cambio refleja una estructura financiera menos apalancada y más equilibrada, lo cual es positiv</w:t>
      </w:r>
      <w:r w:rsidR="00CA5529">
        <w:rPr>
          <w:rFonts w:ascii="Times New Roman" w:hAnsi="Times New Roman" w:cs="Times New Roman"/>
          <w:lang w:val="es-CR"/>
        </w:rPr>
        <w:t>o</w:t>
      </w:r>
      <w:r w:rsidRPr="00741E52">
        <w:rPr>
          <w:rFonts w:ascii="Times New Roman" w:hAnsi="Times New Roman" w:cs="Times New Roman"/>
          <w:lang w:val="es-CR"/>
        </w:rPr>
        <w:t>, ya que reduce la presión financiera y fortalece la capacidad de la empresa para absorber escenarios adversos</w:t>
      </w:r>
      <w:r w:rsidR="00FF73DA">
        <w:rPr>
          <w:rFonts w:ascii="Times New Roman" w:hAnsi="Times New Roman" w:cs="Times New Roman"/>
          <w:lang w:val="es-CR"/>
        </w:rPr>
        <w:t>. M</w:t>
      </w:r>
      <w:r w:rsidRPr="00741E52">
        <w:rPr>
          <w:rFonts w:ascii="Times New Roman" w:hAnsi="Times New Roman" w:cs="Times New Roman"/>
          <w:lang w:val="es-CR"/>
        </w:rPr>
        <w:t xml:space="preserve">ejora </w:t>
      </w:r>
      <w:r w:rsidR="00FF73DA">
        <w:rPr>
          <w:rFonts w:ascii="Times New Roman" w:hAnsi="Times New Roman" w:cs="Times New Roman"/>
          <w:lang w:val="es-CR"/>
        </w:rPr>
        <w:t>que, al analizarse</w:t>
      </w:r>
      <w:r w:rsidRPr="00741E52">
        <w:rPr>
          <w:rFonts w:ascii="Times New Roman" w:hAnsi="Times New Roman" w:cs="Times New Roman"/>
          <w:lang w:val="es-CR"/>
        </w:rPr>
        <w:t xml:space="preserve"> en conjunto con la generación de flujo de efectivo</w:t>
      </w:r>
      <w:r w:rsidR="00FF73DA">
        <w:rPr>
          <w:rFonts w:ascii="Times New Roman" w:hAnsi="Times New Roman" w:cs="Times New Roman"/>
          <w:lang w:val="es-CR"/>
        </w:rPr>
        <w:t xml:space="preserve">, </w:t>
      </w:r>
      <w:r w:rsidR="00FF73DA" w:rsidRPr="00FF73DA">
        <w:rPr>
          <w:rFonts w:ascii="Times New Roman" w:hAnsi="Times New Roman" w:cs="Times New Roman"/>
          <w:lang w:val="es-CR"/>
        </w:rPr>
        <w:t>resulta coherente con el desempeño general observado en la empresa.</w:t>
      </w:r>
    </w:p>
    <w:p w14:paraId="303F0907" w14:textId="74B76F24" w:rsidR="00B64F14" w:rsidRPr="000D300B" w:rsidRDefault="00A94EA7" w:rsidP="000D300B">
      <w:pPr>
        <w:pStyle w:val="Heading1"/>
        <w:numPr>
          <w:ilvl w:val="0"/>
          <w:numId w:val="9"/>
        </w:numPr>
        <w:rPr>
          <w:rFonts w:ascii="Times New Roman" w:hAnsi="Times New Roman" w:cs="Times New Roman"/>
          <w:b/>
          <w:bCs/>
          <w:color w:val="auto"/>
          <w:sz w:val="24"/>
          <w:szCs w:val="24"/>
          <w:lang w:val="es-CR"/>
        </w:rPr>
      </w:pPr>
      <w:bookmarkStart w:id="6" w:name="_Toc226530927"/>
      <w:r w:rsidRPr="000D300B">
        <w:rPr>
          <w:rFonts w:ascii="Times New Roman" w:hAnsi="Times New Roman" w:cs="Times New Roman"/>
          <w:b/>
          <w:bCs/>
          <w:color w:val="auto"/>
          <w:sz w:val="24"/>
          <w:szCs w:val="24"/>
          <w:lang w:val="es-CR"/>
        </w:rPr>
        <w:t>Interpretación desde riesgo de crédito</w:t>
      </w:r>
      <w:bookmarkEnd w:id="6"/>
    </w:p>
    <w:p w14:paraId="1D0A006A" w14:textId="27C51750" w:rsidR="00B64F14" w:rsidRPr="000D300B" w:rsidRDefault="00B64F14" w:rsidP="00B64F14">
      <w:pPr>
        <w:jc w:val="both"/>
        <w:rPr>
          <w:rFonts w:ascii="Times New Roman" w:hAnsi="Times New Roman" w:cs="Times New Roman"/>
          <w:lang w:val="es-CR"/>
        </w:rPr>
      </w:pPr>
      <w:r w:rsidRPr="000D300B">
        <w:rPr>
          <w:rFonts w:ascii="Times New Roman" w:hAnsi="Times New Roman" w:cs="Times New Roman"/>
          <w:lang w:val="es-CR"/>
        </w:rPr>
        <w:t>Los riesgos identificados en Delta</w:t>
      </w:r>
      <w:r w:rsidR="00AA15B7" w:rsidRPr="000D300B">
        <w:rPr>
          <w:rFonts w:ascii="Times New Roman" w:hAnsi="Times New Roman" w:cs="Times New Roman"/>
          <w:lang w:val="es-CR"/>
        </w:rPr>
        <w:t xml:space="preserve"> </w:t>
      </w:r>
      <w:r w:rsidRPr="000D300B">
        <w:rPr>
          <w:rFonts w:ascii="Times New Roman" w:hAnsi="Times New Roman" w:cs="Times New Roman"/>
          <w:lang w:val="es-CR"/>
        </w:rPr>
        <w:t>se relacionan directamente con su desempeño financiero y con su capacidad de pago. Aunque la empresa muestra una generación sólida de flujo de efectivo, sigue expuesta a factores externos que pueden afectar sus resultados.</w:t>
      </w:r>
    </w:p>
    <w:p w14:paraId="62F4060D" w14:textId="585A4129" w:rsidR="00B64F14" w:rsidRPr="000D300B" w:rsidRDefault="00B64F14" w:rsidP="00B64F14">
      <w:pPr>
        <w:jc w:val="both"/>
        <w:rPr>
          <w:rFonts w:ascii="Times New Roman" w:hAnsi="Times New Roman" w:cs="Times New Roman"/>
          <w:lang w:val="es-CR"/>
        </w:rPr>
      </w:pPr>
      <w:r w:rsidRPr="000D300B">
        <w:rPr>
          <w:rFonts w:ascii="Times New Roman" w:hAnsi="Times New Roman" w:cs="Times New Roman"/>
          <w:lang w:val="es-CR"/>
        </w:rPr>
        <w:t>Por ejemplo, el riesgo asociado al precio del combustible tiene un efecto directo sobre los costos operativos y, por lo tanto, sobre la rentabilidad. De igual manera, una caída en la demanda de pasajeros, provocada por desaceleraciones económicas, eventos geopolíticos o situaciones extraordinarias, puede reducir los ingresos y debilitar la generación de efectivo.</w:t>
      </w:r>
    </w:p>
    <w:p w14:paraId="790A32DD" w14:textId="400D86A9" w:rsidR="00B64F14" w:rsidRPr="000D300B" w:rsidRDefault="00B64F14" w:rsidP="00B64F14">
      <w:pPr>
        <w:jc w:val="both"/>
        <w:rPr>
          <w:rFonts w:ascii="Times New Roman" w:hAnsi="Times New Roman" w:cs="Times New Roman"/>
          <w:lang w:val="es-CR"/>
        </w:rPr>
      </w:pPr>
      <w:r w:rsidRPr="000D300B">
        <w:rPr>
          <w:rFonts w:ascii="Times New Roman" w:hAnsi="Times New Roman" w:cs="Times New Roman"/>
          <w:lang w:val="es-CR"/>
        </w:rPr>
        <w:t xml:space="preserve">También deben considerarse los riesgos tecnológicos y de ciberseguridad, </w:t>
      </w:r>
      <w:r w:rsidR="00595922">
        <w:rPr>
          <w:rFonts w:ascii="Times New Roman" w:hAnsi="Times New Roman" w:cs="Times New Roman"/>
          <w:lang w:val="es-CR"/>
        </w:rPr>
        <w:t xml:space="preserve">puesto </w:t>
      </w:r>
      <w:r w:rsidRPr="000D300B">
        <w:rPr>
          <w:rFonts w:ascii="Times New Roman" w:hAnsi="Times New Roman" w:cs="Times New Roman"/>
          <w:lang w:val="es-CR"/>
        </w:rPr>
        <w:t xml:space="preserve">que una interrupción relevante en sistemas críticos podría afectar la operación, generar costos inesperados y dañar la reputación de la empresa. Asimismo, la dependencia parcial de ingresos importantes, como los provenientes de la relación con American Express y el programa </w:t>
      </w:r>
      <w:proofErr w:type="spellStart"/>
      <w:r w:rsidRPr="000D300B">
        <w:rPr>
          <w:rFonts w:ascii="Times New Roman" w:hAnsi="Times New Roman" w:cs="Times New Roman"/>
          <w:lang w:val="es-CR"/>
        </w:rPr>
        <w:t>SkyMiles</w:t>
      </w:r>
      <w:proofErr w:type="spellEnd"/>
      <w:r w:rsidRPr="000D300B">
        <w:rPr>
          <w:rFonts w:ascii="Times New Roman" w:hAnsi="Times New Roman" w:cs="Times New Roman"/>
          <w:lang w:val="es-CR"/>
        </w:rPr>
        <w:t>, representa una exposición que debe ser monitoreada.</w:t>
      </w:r>
    </w:p>
    <w:p w14:paraId="20BFC82A" w14:textId="7C98322E" w:rsidR="00B64F14" w:rsidRPr="000D300B" w:rsidRDefault="00B64F14" w:rsidP="00B64F14">
      <w:pPr>
        <w:jc w:val="both"/>
        <w:rPr>
          <w:rFonts w:ascii="Times New Roman" w:hAnsi="Times New Roman" w:cs="Times New Roman"/>
          <w:lang w:val="es-CR"/>
        </w:rPr>
      </w:pPr>
      <w:r w:rsidRPr="000D300B">
        <w:rPr>
          <w:rFonts w:ascii="Times New Roman" w:hAnsi="Times New Roman" w:cs="Times New Roman"/>
          <w:lang w:val="es-CR"/>
        </w:rPr>
        <w:t>En este sentido,</w:t>
      </w:r>
      <w:r w:rsidR="00507748">
        <w:rPr>
          <w:rFonts w:ascii="Times New Roman" w:hAnsi="Times New Roman" w:cs="Times New Roman"/>
          <w:lang w:val="es-CR"/>
        </w:rPr>
        <w:t xml:space="preserve"> a</w:t>
      </w:r>
      <w:r w:rsidRPr="000D300B">
        <w:rPr>
          <w:rFonts w:ascii="Times New Roman" w:hAnsi="Times New Roman" w:cs="Times New Roman"/>
          <w:lang w:val="es-CR"/>
        </w:rPr>
        <w:t>unque los indicadores muestran una empresa con buena capacidad operativa y financiera, su perfil crediticio sigue condicionado por la volatilidad propia del sector aeronáutico.</w:t>
      </w:r>
    </w:p>
    <w:p w14:paraId="16CED1C5" w14:textId="0BF74A76" w:rsidR="000B2FCB" w:rsidRPr="000D300B" w:rsidRDefault="00E52ADB" w:rsidP="000D300B">
      <w:pPr>
        <w:pStyle w:val="Heading1"/>
        <w:numPr>
          <w:ilvl w:val="0"/>
          <w:numId w:val="9"/>
        </w:numPr>
        <w:rPr>
          <w:rFonts w:ascii="Times New Roman" w:hAnsi="Times New Roman" w:cs="Times New Roman"/>
          <w:b/>
          <w:bCs/>
          <w:color w:val="auto"/>
          <w:sz w:val="24"/>
          <w:szCs w:val="24"/>
          <w:lang w:val="es-CR"/>
        </w:rPr>
      </w:pPr>
      <w:bookmarkStart w:id="7" w:name="_Toc226530928"/>
      <w:r>
        <w:rPr>
          <w:rFonts w:ascii="Times New Roman" w:hAnsi="Times New Roman" w:cs="Times New Roman"/>
          <w:b/>
          <w:bCs/>
          <w:color w:val="auto"/>
          <w:sz w:val="24"/>
          <w:szCs w:val="24"/>
          <w:lang w:val="es-CR"/>
        </w:rPr>
        <w:lastRenderedPageBreak/>
        <w:t>Calificación crediticia</w:t>
      </w:r>
      <w:r w:rsidR="003414DF" w:rsidRPr="003414DF">
        <w:rPr>
          <w:rFonts w:ascii="Times New Roman" w:hAnsi="Times New Roman" w:cs="Times New Roman"/>
          <w:b/>
          <w:bCs/>
          <w:color w:val="auto"/>
          <w:sz w:val="24"/>
          <w:szCs w:val="24"/>
          <w:lang w:val="es-CR"/>
        </w:rPr>
        <w:t xml:space="preserve"> y estimación referencial de la pérdida esperada</w:t>
      </w:r>
      <w:bookmarkEnd w:id="7"/>
    </w:p>
    <w:p w14:paraId="176D8AFE" w14:textId="79CEDD04" w:rsidR="00D37883" w:rsidRPr="000D300B" w:rsidRDefault="00830FB1" w:rsidP="00910810">
      <w:pPr>
        <w:jc w:val="both"/>
        <w:rPr>
          <w:rFonts w:ascii="Times New Roman" w:hAnsi="Times New Roman" w:cs="Times New Roman"/>
          <w:lang w:val="es-CR"/>
        </w:rPr>
      </w:pPr>
      <w:r w:rsidRPr="000D300B">
        <w:rPr>
          <w:rFonts w:ascii="Times New Roman" w:hAnsi="Times New Roman" w:cs="Times New Roman"/>
          <w:lang w:val="es-CR"/>
        </w:rPr>
        <w:t>Como complemento del análisis de riesgo de crédito, puede estimarse de forma referencial la pérdida esperada mediante la relación:</w:t>
      </w:r>
    </w:p>
    <w:p w14:paraId="3016DEBF" w14:textId="70BEEC29" w:rsidR="00830FB1" w:rsidRPr="000D300B" w:rsidRDefault="00830FB1" w:rsidP="00910810">
      <w:pPr>
        <w:jc w:val="both"/>
        <w:rPr>
          <w:rFonts w:ascii="Times New Roman" w:eastAsiaTheme="minorEastAsia" w:hAnsi="Times New Roman" w:cs="Times New Roman"/>
          <w:lang w:val="es-CR"/>
        </w:rPr>
      </w:pPr>
      <m:oMathPara>
        <m:oMath>
          <m:r>
            <w:rPr>
              <w:rFonts w:ascii="Cambria Math" w:hAnsi="Cambria Math" w:cs="Times New Roman"/>
              <w:lang w:val="es-CR"/>
            </w:rPr>
            <m:t>EL=PD x LGD x EAD</m:t>
          </m:r>
        </m:oMath>
      </m:oMathPara>
    </w:p>
    <w:p w14:paraId="2E2EB4B7" w14:textId="6499CB16" w:rsidR="00830FB1" w:rsidRPr="000D300B" w:rsidRDefault="00830FB1" w:rsidP="00910810">
      <w:pPr>
        <w:jc w:val="both"/>
        <w:rPr>
          <w:rFonts w:ascii="Times New Roman" w:eastAsiaTheme="minorEastAsia" w:hAnsi="Times New Roman" w:cs="Times New Roman"/>
          <w:lang w:val="es-CR"/>
        </w:rPr>
      </w:pPr>
      <w:r w:rsidRPr="000D300B">
        <w:rPr>
          <w:rFonts w:ascii="Times New Roman" w:eastAsiaTheme="minorEastAsia" w:hAnsi="Times New Roman" w:cs="Times New Roman"/>
          <w:lang w:val="es-CR"/>
        </w:rPr>
        <w:t>Dónde:</w:t>
      </w:r>
    </w:p>
    <w:p w14:paraId="5629C2E1" w14:textId="67BFA09D" w:rsidR="00830FB1" w:rsidRPr="000D300B" w:rsidRDefault="00830FB1" w:rsidP="00910810">
      <w:pPr>
        <w:jc w:val="both"/>
        <w:rPr>
          <w:rFonts w:ascii="Times New Roman" w:eastAsiaTheme="minorEastAsia" w:hAnsi="Times New Roman" w:cs="Times New Roman"/>
          <w:lang w:val="es-CR"/>
        </w:rPr>
      </w:pPr>
      <w:r w:rsidRPr="000D300B">
        <w:rPr>
          <w:rFonts w:ascii="Times New Roman" w:eastAsiaTheme="minorEastAsia" w:hAnsi="Times New Roman" w:cs="Times New Roman"/>
          <w:lang w:val="es-CR"/>
        </w:rPr>
        <w:t xml:space="preserve">EL </w:t>
      </w:r>
      <w:r w:rsidR="00187B15" w:rsidRPr="000D300B">
        <w:rPr>
          <w:rFonts w:ascii="Times New Roman" w:eastAsiaTheme="minorEastAsia" w:hAnsi="Times New Roman" w:cs="Times New Roman"/>
          <w:lang w:val="es-CR"/>
        </w:rPr>
        <w:t>=</w:t>
      </w:r>
      <w:r w:rsidRPr="000D300B">
        <w:rPr>
          <w:rFonts w:ascii="Times New Roman" w:eastAsiaTheme="minorEastAsia" w:hAnsi="Times New Roman" w:cs="Times New Roman"/>
          <w:lang w:val="es-CR"/>
        </w:rPr>
        <w:t xml:space="preserve"> </w:t>
      </w:r>
      <w:proofErr w:type="spellStart"/>
      <w:r w:rsidRPr="000D300B">
        <w:rPr>
          <w:rFonts w:ascii="Times New Roman" w:eastAsiaTheme="minorEastAsia" w:hAnsi="Times New Roman" w:cs="Times New Roman"/>
          <w:lang w:val="es-CR"/>
        </w:rPr>
        <w:t>Expected</w:t>
      </w:r>
      <w:proofErr w:type="spellEnd"/>
      <w:r w:rsidRPr="000D300B">
        <w:rPr>
          <w:rFonts w:ascii="Times New Roman" w:eastAsiaTheme="minorEastAsia" w:hAnsi="Times New Roman" w:cs="Times New Roman"/>
          <w:lang w:val="es-CR"/>
        </w:rPr>
        <w:t xml:space="preserve"> Loss (Pérdida Esperada).</w:t>
      </w:r>
    </w:p>
    <w:p w14:paraId="3F3BA82E" w14:textId="184809A6" w:rsidR="00830FB1" w:rsidRPr="000D300B" w:rsidRDefault="00830FB1" w:rsidP="00910810">
      <w:pPr>
        <w:jc w:val="both"/>
        <w:rPr>
          <w:rFonts w:ascii="Times New Roman" w:eastAsiaTheme="minorEastAsia" w:hAnsi="Times New Roman" w:cs="Times New Roman"/>
          <w:lang w:val="es-CR"/>
        </w:rPr>
      </w:pPr>
      <w:r w:rsidRPr="000D300B">
        <w:rPr>
          <w:rFonts w:ascii="Times New Roman" w:eastAsiaTheme="minorEastAsia" w:hAnsi="Times New Roman" w:cs="Times New Roman"/>
          <w:lang w:val="es-CR"/>
        </w:rPr>
        <w:t xml:space="preserve">PD </w:t>
      </w:r>
      <w:r w:rsidR="00187B15" w:rsidRPr="000D300B">
        <w:rPr>
          <w:rFonts w:ascii="Times New Roman" w:eastAsiaTheme="minorEastAsia" w:hAnsi="Times New Roman" w:cs="Times New Roman"/>
          <w:lang w:val="es-CR"/>
        </w:rPr>
        <w:t xml:space="preserve">= </w:t>
      </w:r>
      <w:proofErr w:type="spellStart"/>
      <w:r w:rsidRPr="000D300B">
        <w:rPr>
          <w:rFonts w:ascii="Times New Roman" w:eastAsiaTheme="minorEastAsia" w:hAnsi="Times New Roman" w:cs="Times New Roman"/>
          <w:lang w:val="es-CR"/>
        </w:rPr>
        <w:t>Probability</w:t>
      </w:r>
      <w:proofErr w:type="spellEnd"/>
      <w:r w:rsidRPr="000D300B">
        <w:rPr>
          <w:rFonts w:ascii="Times New Roman" w:eastAsiaTheme="minorEastAsia" w:hAnsi="Times New Roman" w:cs="Times New Roman"/>
          <w:lang w:val="es-CR"/>
        </w:rPr>
        <w:t xml:space="preserve"> </w:t>
      </w:r>
      <w:proofErr w:type="spellStart"/>
      <w:r w:rsidRPr="000D300B">
        <w:rPr>
          <w:rFonts w:ascii="Times New Roman" w:eastAsiaTheme="minorEastAsia" w:hAnsi="Times New Roman" w:cs="Times New Roman"/>
          <w:lang w:val="es-CR"/>
        </w:rPr>
        <w:t>of</w:t>
      </w:r>
      <w:proofErr w:type="spellEnd"/>
      <w:r w:rsidRPr="000D300B">
        <w:rPr>
          <w:rFonts w:ascii="Times New Roman" w:eastAsiaTheme="minorEastAsia" w:hAnsi="Times New Roman" w:cs="Times New Roman"/>
          <w:lang w:val="es-CR"/>
        </w:rPr>
        <w:t xml:space="preserve"> Default (Probabilidad de Incumplimiento).</w:t>
      </w:r>
    </w:p>
    <w:p w14:paraId="448CA008" w14:textId="435FAAAF" w:rsidR="00830FB1" w:rsidRPr="000D300B" w:rsidRDefault="00830FB1" w:rsidP="00910810">
      <w:pPr>
        <w:jc w:val="both"/>
        <w:rPr>
          <w:rFonts w:ascii="Times New Roman" w:eastAsiaTheme="minorEastAsia" w:hAnsi="Times New Roman" w:cs="Times New Roman"/>
          <w:lang w:val="es-CR"/>
        </w:rPr>
      </w:pPr>
      <w:r w:rsidRPr="000D300B">
        <w:rPr>
          <w:rFonts w:ascii="Times New Roman" w:eastAsiaTheme="minorEastAsia" w:hAnsi="Times New Roman" w:cs="Times New Roman"/>
          <w:lang w:val="es-CR"/>
        </w:rPr>
        <w:t>L</w:t>
      </w:r>
      <w:r w:rsidR="00187B15" w:rsidRPr="000D300B">
        <w:rPr>
          <w:rFonts w:ascii="Times New Roman" w:eastAsiaTheme="minorEastAsia" w:hAnsi="Times New Roman" w:cs="Times New Roman"/>
          <w:lang w:val="es-CR"/>
        </w:rPr>
        <w:t>GD = Loss Given Default (P</w:t>
      </w:r>
      <w:r w:rsidR="002D675B" w:rsidRPr="000D300B">
        <w:rPr>
          <w:rFonts w:ascii="Times New Roman" w:eastAsiaTheme="minorEastAsia" w:hAnsi="Times New Roman" w:cs="Times New Roman"/>
          <w:lang w:val="es-CR"/>
        </w:rPr>
        <w:t>érdida</w:t>
      </w:r>
      <w:r w:rsidR="00187B15" w:rsidRPr="000D300B">
        <w:rPr>
          <w:rFonts w:ascii="Times New Roman" w:eastAsiaTheme="minorEastAsia" w:hAnsi="Times New Roman" w:cs="Times New Roman"/>
          <w:lang w:val="es-CR"/>
        </w:rPr>
        <w:t xml:space="preserve"> dado el Incumplimiento).</w:t>
      </w:r>
    </w:p>
    <w:p w14:paraId="7285B058" w14:textId="2C4DDB86" w:rsidR="00187B15" w:rsidRPr="000D300B" w:rsidRDefault="00187B15" w:rsidP="00910810">
      <w:pPr>
        <w:jc w:val="both"/>
        <w:rPr>
          <w:rFonts w:ascii="Times New Roman" w:hAnsi="Times New Roman" w:cs="Times New Roman"/>
          <w:lang w:val="es-CR"/>
        </w:rPr>
      </w:pPr>
      <w:r w:rsidRPr="000D300B">
        <w:rPr>
          <w:rFonts w:ascii="Times New Roman" w:eastAsiaTheme="minorEastAsia" w:hAnsi="Times New Roman" w:cs="Times New Roman"/>
          <w:lang w:val="es-CR"/>
        </w:rPr>
        <w:t xml:space="preserve">EAD = </w:t>
      </w:r>
      <w:proofErr w:type="spellStart"/>
      <w:r w:rsidRPr="000D300B">
        <w:rPr>
          <w:rFonts w:ascii="Times New Roman" w:eastAsiaTheme="minorEastAsia" w:hAnsi="Times New Roman" w:cs="Times New Roman"/>
          <w:lang w:val="es-CR"/>
        </w:rPr>
        <w:t>Exposure</w:t>
      </w:r>
      <w:proofErr w:type="spellEnd"/>
      <w:r w:rsidRPr="000D300B">
        <w:rPr>
          <w:rFonts w:ascii="Times New Roman" w:eastAsiaTheme="minorEastAsia" w:hAnsi="Times New Roman" w:cs="Times New Roman"/>
          <w:lang w:val="es-CR"/>
        </w:rPr>
        <w:t xml:space="preserve"> at Default (Exposición al Incumplimiento).</w:t>
      </w:r>
    </w:p>
    <w:p w14:paraId="543969C3" w14:textId="32EDE78A" w:rsidR="00830FB1" w:rsidRPr="000D300B" w:rsidRDefault="00830FB1" w:rsidP="00910810">
      <w:pPr>
        <w:jc w:val="both"/>
        <w:rPr>
          <w:rFonts w:ascii="Times New Roman" w:hAnsi="Times New Roman" w:cs="Times New Roman"/>
          <w:lang w:val="es-CR"/>
        </w:rPr>
      </w:pPr>
      <w:r w:rsidRPr="000D300B">
        <w:rPr>
          <w:rFonts w:ascii="Times New Roman" w:hAnsi="Times New Roman" w:cs="Times New Roman"/>
          <w:lang w:val="es-CR"/>
        </w:rPr>
        <w:t xml:space="preserve">En este caso, </w:t>
      </w:r>
      <w:r w:rsidR="00187B15" w:rsidRPr="000D300B">
        <w:rPr>
          <w:rFonts w:ascii="Times New Roman" w:hAnsi="Times New Roman" w:cs="Times New Roman"/>
          <w:lang w:val="es-CR"/>
        </w:rPr>
        <w:t xml:space="preserve">la </w:t>
      </w:r>
      <w:r w:rsidRPr="000D300B">
        <w:rPr>
          <w:rFonts w:ascii="Times New Roman" w:hAnsi="Times New Roman" w:cs="Times New Roman"/>
          <w:lang w:val="es-CR"/>
        </w:rPr>
        <w:t>PD</w:t>
      </w:r>
      <w:r w:rsidR="00187B15" w:rsidRPr="000D300B">
        <w:rPr>
          <w:rFonts w:ascii="Times New Roman" w:hAnsi="Times New Roman" w:cs="Times New Roman"/>
          <w:lang w:val="es-CR"/>
        </w:rPr>
        <w:t xml:space="preserve"> </w:t>
      </w:r>
      <w:r w:rsidRPr="000D300B">
        <w:rPr>
          <w:rFonts w:ascii="Times New Roman" w:hAnsi="Times New Roman" w:cs="Times New Roman"/>
          <w:lang w:val="es-CR"/>
        </w:rPr>
        <w:t xml:space="preserve">no se obtiene de un modelo interno bancario, sino que se aproxima a partir de la calificación crediticia de la empresa. Delta mantiene una calificación de Baa2 por parte de Moody’s y BBB- por parte de S&amp;P, lo que la ubica en el rango bajo de grado de inversión. Esto sugiere una probabilidad de incumplimiento relativamente baja, aunque no despreciable, especialmente </w:t>
      </w:r>
      <w:r w:rsidR="001A10AE">
        <w:rPr>
          <w:rFonts w:ascii="Times New Roman" w:hAnsi="Times New Roman" w:cs="Times New Roman"/>
          <w:lang w:val="es-CR"/>
        </w:rPr>
        <w:t>considerando la volatilidad de</w:t>
      </w:r>
      <w:r w:rsidRPr="000D300B">
        <w:rPr>
          <w:rFonts w:ascii="Times New Roman" w:hAnsi="Times New Roman" w:cs="Times New Roman"/>
          <w:lang w:val="es-CR"/>
        </w:rPr>
        <w:t xml:space="preserve"> la industria aeronáutica (Delta Air Lines, 2026, p. 42).</w:t>
      </w:r>
    </w:p>
    <w:p w14:paraId="5A0E0C52" w14:textId="68961AEA" w:rsidR="00187B15" w:rsidRDefault="003C65B0" w:rsidP="00830FB1">
      <w:pPr>
        <w:jc w:val="both"/>
        <w:rPr>
          <w:rFonts w:ascii="Times New Roman" w:hAnsi="Times New Roman" w:cs="Times New Roman"/>
          <w:lang w:val="es-CR"/>
        </w:rPr>
      </w:pPr>
      <w:r w:rsidRPr="003C65B0">
        <w:rPr>
          <w:rFonts w:ascii="Times New Roman" w:hAnsi="Times New Roman" w:cs="Times New Roman"/>
          <w:lang w:val="es-CR"/>
        </w:rPr>
        <w:t>Para efectos del ejercicio, se desarrollan tres escenarios con una PD referencial acorde con la calificación de Delta. La referencia principal utilizada es una PD de 1%, considerada consistente con una valoración prudencial a 12 meses y con estadísticas históricas de incumplimiento para emisores ubicados en la banda BBB</w:t>
      </w:r>
      <w:r w:rsidR="002D59F1">
        <w:rPr>
          <w:rFonts w:ascii="Times New Roman" w:hAnsi="Times New Roman" w:cs="Times New Roman"/>
          <w:lang w:val="es-CR"/>
        </w:rPr>
        <w:t>, sin embargo</w:t>
      </w:r>
      <w:r w:rsidR="004D669C">
        <w:rPr>
          <w:rFonts w:ascii="Times New Roman" w:hAnsi="Times New Roman" w:cs="Times New Roman"/>
          <w:lang w:val="es-CR"/>
        </w:rPr>
        <w:t xml:space="preserve">, dado que </w:t>
      </w:r>
      <w:r w:rsidRPr="003C65B0">
        <w:rPr>
          <w:rFonts w:ascii="Times New Roman" w:hAnsi="Times New Roman" w:cs="Times New Roman"/>
          <w:lang w:val="es-CR"/>
        </w:rPr>
        <w:t xml:space="preserve">se analiza una eventual línea de crédito desde la perspectiva del banco, la EAD se define con base en el monto de la facilidad crediticia </w:t>
      </w:r>
      <w:r w:rsidR="004D669C">
        <w:rPr>
          <w:rFonts w:ascii="Times New Roman" w:hAnsi="Times New Roman" w:cs="Times New Roman"/>
          <w:lang w:val="es-CR"/>
        </w:rPr>
        <w:t>planteada para cada escenario (</w:t>
      </w:r>
      <w:r w:rsidR="004D669C" w:rsidRPr="004D669C">
        <w:rPr>
          <w:rFonts w:ascii="Times New Roman" w:hAnsi="Times New Roman" w:cs="Times New Roman"/>
          <w:lang w:val="es-CR"/>
        </w:rPr>
        <w:t>$20, $25 y $30 millones, respectivamente</w:t>
      </w:r>
      <w:r w:rsidR="004D669C">
        <w:rPr>
          <w:rFonts w:ascii="Times New Roman" w:hAnsi="Times New Roman" w:cs="Times New Roman"/>
          <w:lang w:val="es-CR"/>
        </w:rPr>
        <w:t>)</w:t>
      </w:r>
      <w:r w:rsidRPr="003C65B0">
        <w:rPr>
          <w:rFonts w:ascii="Times New Roman" w:hAnsi="Times New Roman" w:cs="Times New Roman"/>
          <w:lang w:val="es-CR"/>
        </w:rPr>
        <w:t xml:space="preserve"> y no en la exposición financiera total de la empresa</w:t>
      </w:r>
      <w:r>
        <w:rPr>
          <w:rFonts w:ascii="Times New Roman" w:hAnsi="Times New Roman" w:cs="Times New Roman"/>
          <w:lang w:val="es-CR"/>
        </w:rPr>
        <w:t xml:space="preserve">. </w:t>
      </w:r>
      <w:r w:rsidRPr="003C65B0">
        <w:rPr>
          <w:rFonts w:ascii="Times New Roman" w:hAnsi="Times New Roman" w:cs="Times New Roman"/>
          <w:lang w:val="es-CR"/>
        </w:rPr>
        <w:t>Como no se dispone de un modelo interno bancario, ni de una base propietaria de PD, este valor debe entenderse como una aproximación académica y no como una medición exacta del riesgo de incumplimiento de la empresa</w:t>
      </w:r>
      <w:r w:rsidRPr="003C65B0">
        <w:rPr>
          <w:rFonts w:ascii="Times New Roman" w:hAnsi="Times New Roman" w:cs="Times New Roman"/>
          <w:lang w:val="es-CR"/>
        </w:rPr>
        <w:t xml:space="preserve"> </w:t>
      </w:r>
      <w:r w:rsidR="00187B15" w:rsidRPr="000D300B">
        <w:rPr>
          <w:rFonts w:ascii="Times New Roman" w:hAnsi="Times New Roman" w:cs="Times New Roman"/>
          <w:lang w:val="es-CR"/>
        </w:rPr>
        <w:t>(S&amp;P Global Ratings, 2024)</w:t>
      </w:r>
      <w:r w:rsidR="00830FB1" w:rsidRPr="000D300B">
        <w:rPr>
          <w:rFonts w:ascii="Times New Roman" w:hAnsi="Times New Roman" w:cs="Times New Roman"/>
          <w:lang w:val="es-CR"/>
        </w:rPr>
        <w:t>.</w:t>
      </w:r>
    </w:p>
    <w:p w14:paraId="211BE4A9" w14:textId="77777777" w:rsidR="003C65B0" w:rsidRDefault="003C65B0" w:rsidP="00830FB1">
      <w:pPr>
        <w:jc w:val="both"/>
        <w:rPr>
          <w:rFonts w:ascii="Times New Roman" w:hAnsi="Times New Roman" w:cs="Times New Roman"/>
          <w:lang w:val="es-CR"/>
        </w:rPr>
      </w:pPr>
      <w:r w:rsidRPr="003C65B0">
        <w:rPr>
          <w:rFonts w:ascii="Times New Roman" w:hAnsi="Times New Roman" w:cs="Times New Roman"/>
          <w:lang w:val="es-CR"/>
        </w:rPr>
        <w:t>Bajo este enfoque, para la estimación referencial de la pérdida esperada se plantean tres escenarios de exposición bancaria, manteniendo variaciones en la PD y la LGD según el nivel de deterioro considerado.</w:t>
      </w:r>
    </w:p>
    <w:p w14:paraId="35DB901D" w14:textId="12C16A68" w:rsidR="004F7A3F" w:rsidRPr="000D300B" w:rsidRDefault="004F7A3F" w:rsidP="00830FB1">
      <w:pPr>
        <w:jc w:val="both"/>
        <w:rPr>
          <w:rFonts w:ascii="Times New Roman" w:hAnsi="Times New Roman" w:cs="Times New Roman"/>
          <w:lang w:val="es-CR"/>
        </w:rPr>
      </w:pPr>
      <w:r w:rsidRPr="000D300B">
        <w:rPr>
          <w:rFonts w:ascii="Times New Roman" w:hAnsi="Times New Roman" w:cs="Times New Roman"/>
          <w:lang w:val="es-CR"/>
        </w:rPr>
        <w:t xml:space="preserve">A partir de esta referencia principal, se </w:t>
      </w:r>
      <w:r w:rsidR="0094223C">
        <w:rPr>
          <w:rFonts w:ascii="Times New Roman" w:hAnsi="Times New Roman" w:cs="Times New Roman"/>
          <w:lang w:val="es-CR"/>
        </w:rPr>
        <w:t>desarrolla lo siguiente:</w:t>
      </w:r>
    </w:p>
    <w:p w14:paraId="484FA997" w14:textId="1F9114D5" w:rsidR="004F7A3F" w:rsidRPr="000D300B" w:rsidRDefault="004F7A3F" w:rsidP="002D675B">
      <w:pPr>
        <w:pStyle w:val="ListParagraph"/>
        <w:numPr>
          <w:ilvl w:val="0"/>
          <w:numId w:val="2"/>
        </w:numPr>
        <w:jc w:val="both"/>
        <w:rPr>
          <w:rFonts w:ascii="Times New Roman" w:hAnsi="Times New Roman" w:cs="Times New Roman"/>
          <w:b/>
          <w:bCs/>
          <w:lang w:val="es-CR"/>
        </w:rPr>
      </w:pPr>
      <w:r w:rsidRPr="000D300B">
        <w:rPr>
          <w:rFonts w:ascii="Times New Roman" w:hAnsi="Times New Roman" w:cs="Times New Roman"/>
          <w:b/>
          <w:bCs/>
          <w:lang w:val="es-CR"/>
        </w:rPr>
        <w:t>Escenario optimista</w:t>
      </w:r>
    </w:p>
    <w:p w14:paraId="59B0D09F" w14:textId="419836D5" w:rsidR="004E0626" w:rsidRDefault="004E0626" w:rsidP="00830FB1">
      <w:pPr>
        <w:jc w:val="both"/>
        <w:rPr>
          <w:rFonts w:ascii="Times New Roman" w:hAnsi="Times New Roman" w:cs="Times New Roman"/>
          <w:lang w:val="es-CR"/>
        </w:rPr>
      </w:pPr>
      <w:r w:rsidRPr="004E0626">
        <w:rPr>
          <w:rFonts w:ascii="Times New Roman" w:hAnsi="Times New Roman" w:cs="Times New Roman"/>
          <w:lang w:val="es-CR"/>
        </w:rPr>
        <w:t xml:space="preserve">Este escenario supone estabilidad operativa, mantenimiento de la capacidad de generación de flujo y una recuperación relativamente favorable en caso de incumplimiento. Se utiliza una PD de </w:t>
      </w:r>
      <w:r w:rsidR="003C65B0">
        <w:rPr>
          <w:rFonts w:ascii="Times New Roman" w:hAnsi="Times New Roman" w:cs="Times New Roman"/>
          <w:lang w:val="es-CR"/>
        </w:rPr>
        <w:t>1</w:t>
      </w:r>
      <w:r w:rsidRPr="004E0626">
        <w:rPr>
          <w:rFonts w:ascii="Times New Roman" w:hAnsi="Times New Roman" w:cs="Times New Roman"/>
          <w:lang w:val="es-CR"/>
        </w:rPr>
        <w:t xml:space="preserve">%, una LGD de 40% y una EAD de </w:t>
      </w:r>
      <w:r>
        <w:rPr>
          <w:rFonts w:ascii="Times New Roman" w:hAnsi="Times New Roman" w:cs="Times New Roman"/>
          <w:lang w:val="es-CR"/>
        </w:rPr>
        <w:t>$</w:t>
      </w:r>
      <w:r w:rsidR="003C65B0">
        <w:rPr>
          <w:rFonts w:ascii="Times New Roman" w:hAnsi="Times New Roman" w:cs="Times New Roman"/>
          <w:lang w:val="es-CR"/>
        </w:rPr>
        <w:t>20</w:t>
      </w:r>
      <w:r w:rsidRPr="004E0626">
        <w:rPr>
          <w:rFonts w:ascii="Times New Roman" w:hAnsi="Times New Roman" w:cs="Times New Roman"/>
          <w:lang w:val="es-CR"/>
        </w:rPr>
        <w:t xml:space="preserve"> millones.</w:t>
      </w:r>
      <w:r>
        <w:rPr>
          <w:rFonts w:ascii="Times New Roman" w:hAnsi="Times New Roman" w:cs="Times New Roman"/>
          <w:lang w:val="es-CR"/>
        </w:rPr>
        <w:t xml:space="preserve"> </w:t>
      </w:r>
    </w:p>
    <w:p w14:paraId="28D92774" w14:textId="513316A1" w:rsidR="00830FB1" w:rsidRPr="000D300B" w:rsidRDefault="00830FB1" w:rsidP="00830FB1">
      <w:pPr>
        <w:jc w:val="both"/>
        <w:rPr>
          <w:rFonts w:ascii="Times New Roman" w:eastAsiaTheme="minorEastAsia" w:hAnsi="Times New Roman" w:cs="Times New Roman"/>
          <w:lang w:val="es-CR"/>
        </w:rPr>
      </w:pPr>
      <m:oMathPara>
        <m:oMath>
          <m:r>
            <w:rPr>
              <w:rFonts w:ascii="Cambria Math" w:hAnsi="Cambria Math" w:cs="Times New Roman"/>
              <w:lang w:val="es-CR"/>
            </w:rPr>
            <m:t>EL=</m:t>
          </m:r>
          <m:r>
            <w:rPr>
              <w:rFonts w:ascii="Cambria Math" w:hAnsi="Cambria Math" w:cs="Times New Roman"/>
              <w:lang w:val="es-CR"/>
            </w:rPr>
            <m:t>1</m:t>
          </m:r>
          <m:r>
            <w:rPr>
              <w:rFonts w:ascii="Cambria Math" w:hAnsi="Cambria Math" w:cs="Times New Roman"/>
              <w:lang w:val="es-CR"/>
            </w:rPr>
            <m:t xml:space="preserve">% x 40% x </m:t>
          </m:r>
          <m:r>
            <w:rPr>
              <w:rFonts w:ascii="Cambria Math" w:hAnsi="Cambria Math" w:cs="Times New Roman"/>
              <w:lang w:val="es-CR"/>
            </w:rPr>
            <m:t>20,000,000.00</m:t>
          </m:r>
          <m:r>
            <w:rPr>
              <w:rFonts w:ascii="Cambria Math" w:hAnsi="Cambria Math" w:cs="Times New Roman"/>
              <w:lang w:val="es-CR"/>
            </w:rPr>
            <m:t>=</m:t>
          </m:r>
          <m:r>
            <w:rPr>
              <w:rFonts w:ascii="Cambria Math" w:hAnsi="Cambria Math" w:cs="Times New Roman"/>
              <w:lang w:val="es-CR"/>
            </w:rPr>
            <m:t>80</m:t>
          </m:r>
          <m:r>
            <w:rPr>
              <w:rFonts w:ascii="Cambria Math" w:hAnsi="Cambria Math" w:cs="Times New Roman"/>
              <w:lang w:val="es-CR"/>
            </w:rPr>
            <m:t>,000.00</m:t>
          </m:r>
        </m:oMath>
      </m:oMathPara>
    </w:p>
    <w:p w14:paraId="0406E297" w14:textId="5D59BD98" w:rsidR="004F7A3F" w:rsidRPr="000D300B" w:rsidRDefault="004F7A3F" w:rsidP="00830FB1">
      <w:pPr>
        <w:jc w:val="both"/>
        <w:rPr>
          <w:rFonts w:ascii="Times New Roman" w:eastAsiaTheme="minorEastAsia" w:hAnsi="Times New Roman" w:cs="Times New Roman"/>
          <w:lang w:val="es-CR"/>
        </w:rPr>
      </w:pPr>
      <w:r w:rsidRPr="000D300B">
        <w:rPr>
          <w:rFonts w:ascii="Times New Roman" w:eastAsiaTheme="minorEastAsia" w:hAnsi="Times New Roman" w:cs="Times New Roman"/>
          <w:lang w:val="es-CR"/>
        </w:rPr>
        <w:lastRenderedPageBreak/>
        <w:t>La pérdida esperada sería de aproximadamente $</w:t>
      </w:r>
      <w:r w:rsidR="003C65B0">
        <w:rPr>
          <w:rFonts w:ascii="Times New Roman" w:eastAsiaTheme="minorEastAsia" w:hAnsi="Times New Roman" w:cs="Times New Roman"/>
          <w:lang w:val="es-CR"/>
        </w:rPr>
        <w:t>80</w:t>
      </w:r>
      <w:r w:rsidRPr="000D300B">
        <w:rPr>
          <w:rFonts w:ascii="Times New Roman" w:eastAsiaTheme="minorEastAsia" w:hAnsi="Times New Roman" w:cs="Times New Roman"/>
          <w:lang w:val="es-CR"/>
        </w:rPr>
        <w:t xml:space="preserve"> mil, equivalente al 0.4% de la exposición </w:t>
      </w:r>
      <w:r w:rsidR="00A45A60">
        <w:rPr>
          <w:rFonts w:ascii="Times New Roman" w:eastAsiaTheme="minorEastAsia" w:hAnsi="Times New Roman" w:cs="Times New Roman"/>
          <w:lang w:val="es-CR"/>
        </w:rPr>
        <w:t>analizada</w:t>
      </w:r>
      <w:r w:rsidRPr="000D300B">
        <w:rPr>
          <w:rFonts w:ascii="Times New Roman" w:eastAsiaTheme="minorEastAsia" w:hAnsi="Times New Roman" w:cs="Times New Roman"/>
          <w:lang w:val="es-CR"/>
        </w:rPr>
        <w:t>.</w:t>
      </w:r>
    </w:p>
    <w:p w14:paraId="0C9E65CF" w14:textId="57756648" w:rsidR="004F7A3F" w:rsidRPr="000D300B" w:rsidRDefault="004F7A3F" w:rsidP="002D675B">
      <w:pPr>
        <w:pStyle w:val="ListParagraph"/>
        <w:numPr>
          <w:ilvl w:val="0"/>
          <w:numId w:val="2"/>
        </w:numPr>
        <w:jc w:val="both"/>
        <w:rPr>
          <w:rFonts w:ascii="Times New Roman" w:eastAsiaTheme="minorEastAsia" w:hAnsi="Times New Roman" w:cs="Times New Roman"/>
          <w:b/>
          <w:bCs/>
          <w:lang w:val="es-CR"/>
        </w:rPr>
      </w:pPr>
      <w:r w:rsidRPr="000D300B">
        <w:rPr>
          <w:rFonts w:ascii="Times New Roman" w:eastAsiaTheme="minorEastAsia" w:hAnsi="Times New Roman" w:cs="Times New Roman"/>
          <w:b/>
          <w:bCs/>
          <w:lang w:val="es-CR"/>
        </w:rPr>
        <w:t>Escenario</w:t>
      </w:r>
      <w:r w:rsidR="002D675B" w:rsidRPr="000D300B">
        <w:rPr>
          <w:rFonts w:ascii="Times New Roman" w:eastAsiaTheme="minorEastAsia" w:hAnsi="Times New Roman" w:cs="Times New Roman"/>
          <w:b/>
          <w:bCs/>
          <w:lang w:val="es-CR"/>
        </w:rPr>
        <w:t xml:space="preserve"> </w:t>
      </w:r>
      <w:r w:rsidRPr="000D300B">
        <w:rPr>
          <w:rFonts w:ascii="Times New Roman" w:eastAsiaTheme="minorEastAsia" w:hAnsi="Times New Roman" w:cs="Times New Roman"/>
          <w:b/>
          <w:bCs/>
          <w:lang w:val="es-CR"/>
        </w:rPr>
        <w:t>conservador</w:t>
      </w:r>
    </w:p>
    <w:p w14:paraId="51BF9B95" w14:textId="77777777" w:rsidR="00A45A60" w:rsidRDefault="00A45A60" w:rsidP="004F7A3F">
      <w:pPr>
        <w:jc w:val="both"/>
        <w:rPr>
          <w:rFonts w:ascii="Times New Roman" w:eastAsiaTheme="minorEastAsia" w:hAnsi="Times New Roman" w:cs="Times New Roman"/>
          <w:lang w:val="es-CR"/>
        </w:rPr>
      </w:pPr>
      <w:r w:rsidRPr="00A45A60">
        <w:rPr>
          <w:rFonts w:ascii="Times New Roman" w:eastAsiaTheme="minorEastAsia" w:hAnsi="Times New Roman" w:cs="Times New Roman"/>
          <w:lang w:val="es-CR"/>
        </w:rPr>
        <w:t>Este escenario refleja una valoración prudencial consistente con la calificación actual de Delta y con un nivel de recuperación intermedio. Se utiliza una PD de 1.0%, una LGD de 50% y una EAD de $25 millones.</w:t>
      </w:r>
    </w:p>
    <w:p w14:paraId="02AA2AC1" w14:textId="03EA6209" w:rsidR="004F7A3F" w:rsidRPr="000D300B" w:rsidRDefault="004F7A3F" w:rsidP="004F7A3F">
      <w:pPr>
        <w:jc w:val="both"/>
        <w:rPr>
          <w:rFonts w:ascii="Times New Roman" w:eastAsiaTheme="minorEastAsia" w:hAnsi="Times New Roman" w:cs="Times New Roman"/>
          <w:lang w:val="es-CR"/>
        </w:rPr>
      </w:pPr>
      <m:oMathPara>
        <m:oMath>
          <m:r>
            <w:rPr>
              <w:rFonts w:ascii="Cambria Math" w:hAnsi="Cambria Math" w:cs="Times New Roman"/>
              <w:lang w:val="es-CR"/>
            </w:rPr>
            <m:t>EL=1% x 50% x 2</m:t>
          </m:r>
          <m:r>
            <w:rPr>
              <w:rFonts w:ascii="Cambria Math" w:hAnsi="Cambria Math" w:cs="Times New Roman"/>
              <w:lang w:val="es-CR"/>
            </w:rPr>
            <m:t>5,000,000.00</m:t>
          </m:r>
          <m:r>
            <w:rPr>
              <w:rFonts w:ascii="Cambria Math" w:hAnsi="Cambria Math" w:cs="Times New Roman"/>
              <w:lang w:val="es-CR"/>
            </w:rPr>
            <m:t>=</m:t>
          </m:r>
          <m:r>
            <w:rPr>
              <w:rFonts w:ascii="Cambria Math" w:hAnsi="Cambria Math" w:cs="Times New Roman"/>
              <w:lang w:val="es-CR"/>
            </w:rPr>
            <m:t>$125,000.00</m:t>
          </m:r>
        </m:oMath>
      </m:oMathPara>
    </w:p>
    <w:p w14:paraId="53AF02EC" w14:textId="1395D176" w:rsidR="004F7A3F" w:rsidRPr="000D300B" w:rsidRDefault="004F7A3F" w:rsidP="004F7A3F">
      <w:pPr>
        <w:jc w:val="both"/>
        <w:rPr>
          <w:rFonts w:ascii="Times New Roman" w:eastAsiaTheme="minorEastAsia" w:hAnsi="Times New Roman" w:cs="Times New Roman"/>
          <w:lang w:val="es-CR"/>
        </w:rPr>
      </w:pPr>
      <w:r w:rsidRPr="000D300B">
        <w:rPr>
          <w:rFonts w:ascii="Times New Roman" w:eastAsiaTheme="minorEastAsia" w:hAnsi="Times New Roman" w:cs="Times New Roman"/>
          <w:lang w:val="es-CR"/>
        </w:rPr>
        <w:t>Bajo estos supuestos, la pérdida esperada ascendería a aproximadamente $1</w:t>
      </w:r>
      <w:r w:rsidR="003C65B0">
        <w:rPr>
          <w:rFonts w:ascii="Times New Roman" w:eastAsiaTheme="minorEastAsia" w:hAnsi="Times New Roman" w:cs="Times New Roman"/>
          <w:lang w:val="es-CR"/>
        </w:rPr>
        <w:t>25 mil</w:t>
      </w:r>
      <w:r w:rsidRPr="000D300B">
        <w:rPr>
          <w:rFonts w:ascii="Times New Roman" w:eastAsiaTheme="minorEastAsia" w:hAnsi="Times New Roman" w:cs="Times New Roman"/>
          <w:lang w:val="es-CR"/>
        </w:rPr>
        <w:t xml:space="preserve">, equivalente al 0.5% de la exposición </w:t>
      </w:r>
      <w:r w:rsidR="00A45A60">
        <w:rPr>
          <w:rFonts w:ascii="Times New Roman" w:eastAsiaTheme="minorEastAsia" w:hAnsi="Times New Roman" w:cs="Times New Roman"/>
          <w:lang w:val="es-CR"/>
        </w:rPr>
        <w:t>analizada</w:t>
      </w:r>
      <w:r w:rsidRPr="000D300B">
        <w:rPr>
          <w:rFonts w:ascii="Times New Roman" w:eastAsiaTheme="minorEastAsia" w:hAnsi="Times New Roman" w:cs="Times New Roman"/>
          <w:lang w:val="es-CR"/>
        </w:rPr>
        <w:t>.</w:t>
      </w:r>
    </w:p>
    <w:p w14:paraId="4B8DE78E" w14:textId="3EFC297C" w:rsidR="004F7A3F" w:rsidRPr="000D300B" w:rsidRDefault="004F7A3F" w:rsidP="002D675B">
      <w:pPr>
        <w:pStyle w:val="ListParagraph"/>
        <w:numPr>
          <w:ilvl w:val="0"/>
          <w:numId w:val="2"/>
        </w:numPr>
        <w:jc w:val="both"/>
        <w:rPr>
          <w:rFonts w:ascii="Times New Roman" w:eastAsiaTheme="minorEastAsia" w:hAnsi="Times New Roman" w:cs="Times New Roman"/>
          <w:lang w:val="es-CR"/>
        </w:rPr>
      </w:pPr>
      <w:r w:rsidRPr="000D300B">
        <w:rPr>
          <w:rFonts w:ascii="Times New Roman" w:eastAsiaTheme="minorEastAsia" w:hAnsi="Times New Roman" w:cs="Times New Roman"/>
          <w:b/>
          <w:bCs/>
          <w:lang w:val="es-CR"/>
        </w:rPr>
        <w:t>Escenario pesimista</w:t>
      </w:r>
    </w:p>
    <w:p w14:paraId="57085D1D" w14:textId="11E9D1BC" w:rsidR="004F7A3F" w:rsidRPr="000D300B" w:rsidRDefault="004F7A3F" w:rsidP="004F7A3F">
      <w:pPr>
        <w:jc w:val="both"/>
        <w:rPr>
          <w:rFonts w:ascii="Times New Roman" w:eastAsiaTheme="minorEastAsia" w:hAnsi="Times New Roman" w:cs="Times New Roman"/>
          <w:lang w:val="es-CR"/>
        </w:rPr>
      </w:pPr>
      <w:r w:rsidRPr="000D300B">
        <w:rPr>
          <w:rFonts w:ascii="Times New Roman" w:eastAsiaTheme="minorEastAsia" w:hAnsi="Times New Roman" w:cs="Times New Roman"/>
          <w:lang w:val="es-CR"/>
        </w:rPr>
        <w:t>Este escenario supone un deterioro más significativo de las condiciones financieras y operativas de la empresa, así como un entorno menos favorable para la industria aeronáutica</w:t>
      </w:r>
      <w:r w:rsidR="00A4310D">
        <w:rPr>
          <w:rFonts w:ascii="Times New Roman" w:eastAsiaTheme="minorEastAsia" w:hAnsi="Times New Roman" w:cs="Times New Roman"/>
          <w:lang w:val="es-CR"/>
        </w:rPr>
        <w:t>, p</w:t>
      </w:r>
      <w:r w:rsidRPr="000D300B">
        <w:rPr>
          <w:rFonts w:ascii="Times New Roman" w:eastAsiaTheme="minorEastAsia" w:hAnsi="Times New Roman" w:cs="Times New Roman"/>
          <w:lang w:val="es-CR"/>
        </w:rPr>
        <w:t>or ello, se incrementa la PD a 2.0%, la LGD a 60% y la EAD a $30 millones.</w:t>
      </w:r>
    </w:p>
    <w:p w14:paraId="32245033" w14:textId="3BD1D892" w:rsidR="004F7A3F" w:rsidRPr="000D300B" w:rsidRDefault="004F7A3F" w:rsidP="004F7A3F">
      <w:pPr>
        <w:jc w:val="both"/>
        <w:rPr>
          <w:rFonts w:ascii="Times New Roman" w:eastAsiaTheme="minorEastAsia" w:hAnsi="Times New Roman" w:cs="Times New Roman"/>
          <w:lang w:val="es-CR"/>
        </w:rPr>
      </w:pPr>
      <m:oMathPara>
        <m:oMath>
          <m:r>
            <w:rPr>
              <w:rFonts w:ascii="Cambria Math" w:hAnsi="Cambria Math" w:cs="Times New Roman"/>
              <w:lang w:val="es-CR"/>
            </w:rPr>
            <m:t>EL=2% x 60% x 30,000,000.00=360</m:t>
          </m:r>
          <m:r>
            <w:rPr>
              <w:rFonts w:ascii="Cambria Math" w:eastAsiaTheme="minorEastAsia" w:hAnsi="Cambria Math" w:cs="Times New Roman"/>
              <w:lang w:val="es-CR"/>
            </w:rPr>
            <m:t>,000.00</m:t>
          </m:r>
        </m:oMath>
      </m:oMathPara>
    </w:p>
    <w:p w14:paraId="6052D30E" w14:textId="25369C5E" w:rsidR="004F7A3F" w:rsidRPr="000D300B" w:rsidRDefault="004F7A3F" w:rsidP="004F7A3F">
      <w:pPr>
        <w:jc w:val="both"/>
        <w:rPr>
          <w:rFonts w:ascii="Times New Roman" w:eastAsiaTheme="minorEastAsia" w:hAnsi="Times New Roman" w:cs="Times New Roman"/>
          <w:lang w:val="es-CR"/>
        </w:rPr>
      </w:pPr>
      <w:r w:rsidRPr="000D300B">
        <w:rPr>
          <w:rFonts w:ascii="Times New Roman" w:eastAsiaTheme="minorEastAsia" w:hAnsi="Times New Roman" w:cs="Times New Roman"/>
          <w:lang w:val="es-CR"/>
        </w:rPr>
        <w:t xml:space="preserve">En este escenario, la pérdida esperada sería de aproximadamente $360 mil, equivalente al 1.2% de la exposición </w:t>
      </w:r>
      <w:r w:rsidR="00A45A60">
        <w:rPr>
          <w:rFonts w:ascii="Times New Roman" w:eastAsiaTheme="minorEastAsia" w:hAnsi="Times New Roman" w:cs="Times New Roman"/>
          <w:lang w:val="es-CR"/>
        </w:rPr>
        <w:t>analizada</w:t>
      </w:r>
      <w:r w:rsidRPr="000D300B">
        <w:rPr>
          <w:rFonts w:ascii="Times New Roman" w:eastAsiaTheme="minorEastAsia" w:hAnsi="Times New Roman" w:cs="Times New Roman"/>
          <w:lang w:val="es-CR"/>
        </w:rPr>
        <w:t>.</w:t>
      </w:r>
    </w:p>
    <w:p w14:paraId="390FFC5E" w14:textId="2B4CB0A9" w:rsidR="004D669C" w:rsidRDefault="004D669C" w:rsidP="00830FB1">
      <w:pPr>
        <w:jc w:val="both"/>
        <w:rPr>
          <w:rFonts w:ascii="Times New Roman" w:eastAsiaTheme="minorEastAsia" w:hAnsi="Times New Roman" w:cs="Times New Roman"/>
          <w:lang w:val="es-CR"/>
        </w:rPr>
      </w:pPr>
      <w:r w:rsidRPr="004D669C">
        <w:rPr>
          <w:rFonts w:ascii="Times New Roman" w:eastAsiaTheme="minorEastAsia" w:hAnsi="Times New Roman" w:cs="Times New Roman"/>
          <w:lang w:val="es-CR"/>
        </w:rPr>
        <w:t>En términos generales, incluso bajo el escenario más adverso, la pérdida esperada se mantendría en niveles relativamente acotados en</w:t>
      </w:r>
      <w:r>
        <w:rPr>
          <w:rFonts w:ascii="Times New Roman" w:eastAsiaTheme="minorEastAsia" w:hAnsi="Times New Roman" w:cs="Times New Roman"/>
          <w:lang w:val="es-CR"/>
        </w:rPr>
        <w:t xml:space="preserve"> desde la perspectiva del banco</w:t>
      </w:r>
      <w:r w:rsidRPr="004D669C">
        <w:rPr>
          <w:rFonts w:ascii="Times New Roman" w:eastAsiaTheme="minorEastAsia" w:hAnsi="Times New Roman" w:cs="Times New Roman"/>
          <w:lang w:val="es-CR"/>
        </w:rPr>
        <w:t>.</w:t>
      </w:r>
    </w:p>
    <w:p w14:paraId="0EF131DD" w14:textId="63E646F4" w:rsidR="00203698" w:rsidRPr="00E77EE6" w:rsidRDefault="00203698" w:rsidP="00E77EE6">
      <w:pPr>
        <w:pStyle w:val="Heading1"/>
        <w:numPr>
          <w:ilvl w:val="0"/>
          <w:numId w:val="9"/>
        </w:numPr>
        <w:rPr>
          <w:rFonts w:ascii="Times New Roman" w:hAnsi="Times New Roman" w:cs="Times New Roman"/>
          <w:b/>
          <w:bCs/>
          <w:lang w:val="es-CR"/>
        </w:rPr>
      </w:pPr>
      <w:bookmarkStart w:id="8" w:name="_Toc226530929"/>
      <w:r w:rsidRPr="00E77EE6">
        <w:rPr>
          <w:rFonts w:ascii="Times New Roman" w:hAnsi="Times New Roman" w:cs="Times New Roman"/>
          <w:b/>
          <w:bCs/>
          <w:color w:val="auto"/>
          <w:sz w:val="24"/>
          <w:szCs w:val="24"/>
          <w:lang w:val="es-CR"/>
        </w:rPr>
        <w:t>Gobernanza</w:t>
      </w:r>
      <w:r w:rsidR="003414DF">
        <w:rPr>
          <w:rFonts w:ascii="Times New Roman" w:hAnsi="Times New Roman" w:cs="Times New Roman"/>
          <w:b/>
          <w:bCs/>
          <w:color w:val="auto"/>
          <w:sz w:val="24"/>
          <w:szCs w:val="24"/>
          <w:lang w:val="es-CR"/>
        </w:rPr>
        <w:t xml:space="preserve"> del riesgo de crédito</w:t>
      </w:r>
      <w:bookmarkEnd w:id="8"/>
    </w:p>
    <w:p w14:paraId="543BC3B2" w14:textId="50C1DF8B" w:rsidR="00CB5166" w:rsidRPr="00E77EE6" w:rsidRDefault="00CB5166" w:rsidP="002D675B">
      <w:pPr>
        <w:pStyle w:val="ListParagraph"/>
        <w:numPr>
          <w:ilvl w:val="0"/>
          <w:numId w:val="2"/>
        </w:numPr>
        <w:jc w:val="both"/>
        <w:rPr>
          <w:rFonts w:ascii="Times New Roman" w:hAnsi="Times New Roman" w:cs="Times New Roman"/>
          <w:b/>
          <w:bCs/>
          <w:lang w:val="es-CR"/>
        </w:rPr>
      </w:pPr>
      <w:r w:rsidRPr="00E77EE6">
        <w:rPr>
          <w:rFonts w:ascii="Times New Roman" w:hAnsi="Times New Roman" w:cs="Times New Roman"/>
          <w:b/>
          <w:bCs/>
          <w:lang w:val="es-CR"/>
        </w:rPr>
        <w:t>Marco de gobernanza del riesgo de crédito</w:t>
      </w:r>
    </w:p>
    <w:p w14:paraId="364CCC60" w14:textId="5B60EC8F" w:rsidR="00B64F14" w:rsidRPr="000D300B" w:rsidRDefault="00AA15B7" w:rsidP="00B64F14">
      <w:pPr>
        <w:jc w:val="both"/>
        <w:rPr>
          <w:rFonts w:ascii="Times New Roman" w:hAnsi="Times New Roman" w:cs="Times New Roman"/>
          <w:lang w:val="es-CR"/>
        </w:rPr>
      </w:pPr>
      <w:r w:rsidRPr="000D300B">
        <w:rPr>
          <w:rFonts w:ascii="Times New Roman" w:hAnsi="Times New Roman" w:cs="Times New Roman"/>
          <w:lang w:val="es-CR"/>
        </w:rPr>
        <w:t xml:space="preserve">Como </w:t>
      </w:r>
      <w:r w:rsidR="00F052DA">
        <w:rPr>
          <w:rFonts w:ascii="Times New Roman" w:hAnsi="Times New Roman" w:cs="Times New Roman"/>
          <w:lang w:val="es-CR"/>
        </w:rPr>
        <w:t>se abordó en el curso</w:t>
      </w:r>
      <w:r w:rsidRPr="000D300B">
        <w:rPr>
          <w:rFonts w:ascii="Times New Roman" w:hAnsi="Times New Roman" w:cs="Times New Roman"/>
          <w:lang w:val="es-CR"/>
        </w:rPr>
        <w:t>, e</w:t>
      </w:r>
      <w:r w:rsidR="00B64F14" w:rsidRPr="000D300B">
        <w:rPr>
          <w:rFonts w:ascii="Times New Roman" w:hAnsi="Times New Roman" w:cs="Times New Roman"/>
          <w:lang w:val="es-CR"/>
        </w:rPr>
        <w:t>l marco de gobernanza del riesgo de crédito puede estructurarse a partir de tres conceptos principales: apetito de riesgo, tolerancia al riesgo y capacidad de exposición.</w:t>
      </w:r>
      <w:r w:rsidRPr="000D300B">
        <w:rPr>
          <w:rFonts w:ascii="Times New Roman" w:hAnsi="Times New Roman" w:cs="Times New Roman"/>
          <w:lang w:val="es-CR"/>
        </w:rPr>
        <w:t xml:space="preserve"> </w:t>
      </w:r>
      <w:r w:rsidR="00F052DA" w:rsidRPr="00F052DA">
        <w:rPr>
          <w:rFonts w:ascii="Times New Roman" w:hAnsi="Times New Roman" w:cs="Times New Roman"/>
          <w:lang w:val="es-CR"/>
        </w:rPr>
        <w:t>En esta investigación, el marco de gobernanza del riesgo de crédito se analiza tanto desde los principios prudenciales aplicables al banco acreedor como desde la estructura de gestión de riesgos observada en Delt</w:t>
      </w:r>
      <w:r w:rsidR="00F052DA">
        <w:rPr>
          <w:rFonts w:ascii="Times New Roman" w:hAnsi="Times New Roman" w:cs="Times New Roman"/>
          <w:lang w:val="es-CR"/>
        </w:rPr>
        <w:t>a.</w:t>
      </w:r>
    </w:p>
    <w:p w14:paraId="08C04BF0" w14:textId="2DA84848" w:rsidR="00B64F14" w:rsidRPr="000D300B" w:rsidRDefault="00B64F14" w:rsidP="00B64F14">
      <w:pPr>
        <w:jc w:val="both"/>
        <w:rPr>
          <w:rFonts w:ascii="Times New Roman" w:hAnsi="Times New Roman" w:cs="Times New Roman"/>
          <w:lang w:val="es-CR"/>
        </w:rPr>
      </w:pPr>
      <w:r w:rsidRPr="000D300B">
        <w:rPr>
          <w:rFonts w:ascii="Times New Roman" w:hAnsi="Times New Roman" w:cs="Times New Roman"/>
          <w:lang w:val="es-CR"/>
        </w:rPr>
        <w:t>El apetito de riesgo define el nivel de riesgo que una institución está dispuesta a asumir dentro de su estrategia de negocio. En el contexto del crédito corporativo, esto implica determinar qué tipo de empresas, sectores o perfiles financieros son aceptables dentro de la cartera.</w:t>
      </w:r>
    </w:p>
    <w:p w14:paraId="034CAF32" w14:textId="4B2F0D07" w:rsidR="00B64F14" w:rsidRPr="000D300B" w:rsidRDefault="00B64F14" w:rsidP="00B64F14">
      <w:pPr>
        <w:jc w:val="both"/>
        <w:rPr>
          <w:rFonts w:ascii="Times New Roman" w:hAnsi="Times New Roman" w:cs="Times New Roman"/>
          <w:lang w:val="es-CR"/>
        </w:rPr>
      </w:pPr>
      <w:r w:rsidRPr="000D300B">
        <w:rPr>
          <w:rFonts w:ascii="Times New Roman" w:hAnsi="Times New Roman" w:cs="Times New Roman"/>
          <w:lang w:val="es-CR"/>
        </w:rPr>
        <w:t>La tolerancia al riesgo establece los límites dentro de los cuales la institución está dispuesta a aceptar deterioros en la calidad crediticia antes de tomar medidas correctivas. Estos límites pueden reflejarse en indicadores financieros, niveles de endeudamiento o cambios en la rentabilidad.</w:t>
      </w:r>
    </w:p>
    <w:p w14:paraId="385A2009" w14:textId="59437893" w:rsidR="00B64F14" w:rsidRDefault="00B64F14" w:rsidP="00B64F14">
      <w:pPr>
        <w:jc w:val="both"/>
        <w:rPr>
          <w:rFonts w:ascii="Times New Roman" w:hAnsi="Times New Roman" w:cs="Times New Roman"/>
          <w:lang w:val="es-CR"/>
        </w:rPr>
      </w:pPr>
      <w:r w:rsidRPr="000D300B">
        <w:rPr>
          <w:rFonts w:ascii="Times New Roman" w:hAnsi="Times New Roman" w:cs="Times New Roman"/>
          <w:lang w:val="es-CR"/>
        </w:rPr>
        <w:lastRenderedPageBreak/>
        <w:t>Por su parte, la capacidad de exposición se refiere al monto máximo de crédito que la institución puede otorgar a una contraparte, tomando en cuenta su perfil de riesgo, su capacidad de pago y los límites internos de concentración.</w:t>
      </w:r>
    </w:p>
    <w:p w14:paraId="290ED928" w14:textId="53C7F9E3" w:rsidR="00F052DA" w:rsidRDefault="00F052DA" w:rsidP="00B64F14">
      <w:pPr>
        <w:jc w:val="both"/>
        <w:rPr>
          <w:rFonts w:ascii="Times New Roman" w:hAnsi="Times New Roman" w:cs="Times New Roman"/>
          <w:lang w:val="es-CR"/>
        </w:rPr>
      </w:pPr>
      <w:r w:rsidRPr="00F052DA">
        <w:rPr>
          <w:rFonts w:ascii="Times New Roman" w:hAnsi="Times New Roman" w:cs="Times New Roman"/>
          <w:lang w:val="es-CR"/>
        </w:rPr>
        <w:t>En la práctica, la gestión del riesgo en una empresa como Delta permite observar varios de estos principios aplicados dentro de su estructura organizacional.</w:t>
      </w:r>
    </w:p>
    <w:p w14:paraId="287C8337" w14:textId="4941F266" w:rsidR="00F052DA" w:rsidRPr="00F052DA" w:rsidRDefault="00F052DA" w:rsidP="00F052DA">
      <w:pPr>
        <w:pStyle w:val="ListParagraph"/>
        <w:numPr>
          <w:ilvl w:val="0"/>
          <w:numId w:val="2"/>
        </w:numPr>
        <w:jc w:val="both"/>
        <w:rPr>
          <w:rFonts w:ascii="Times New Roman" w:hAnsi="Times New Roman" w:cs="Times New Roman"/>
          <w:b/>
          <w:bCs/>
          <w:lang w:val="es-CR"/>
        </w:rPr>
      </w:pPr>
      <w:r w:rsidRPr="00F052DA">
        <w:rPr>
          <w:rFonts w:ascii="Times New Roman" w:hAnsi="Times New Roman" w:cs="Times New Roman"/>
          <w:b/>
          <w:bCs/>
          <w:lang w:val="es-CR"/>
        </w:rPr>
        <w:t>Enfoque desde la perspectiva del banco</w:t>
      </w:r>
    </w:p>
    <w:p w14:paraId="02A32F0A" w14:textId="01FD0089" w:rsidR="00F052DA" w:rsidRPr="00F052DA" w:rsidRDefault="00F052DA" w:rsidP="00F052DA">
      <w:pPr>
        <w:jc w:val="both"/>
        <w:rPr>
          <w:rFonts w:ascii="Times New Roman" w:hAnsi="Times New Roman" w:cs="Times New Roman"/>
          <w:lang w:val="es-CR"/>
        </w:rPr>
      </w:pPr>
      <w:r w:rsidRPr="00F052DA">
        <w:rPr>
          <w:rFonts w:ascii="Times New Roman" w:hAnsi="Times New Roman" w:cs="Times New Roman"/>
          <w:lang w:val="es-CR"/>
        </w:rPr>
        <w:t>Dado que se trata de un crédito corporativo dentro de una industria altamente especializada, intensiva en capital y expuesta a factores externos, el banco debe contar con una gobernanza robusta para la aprobación y monitoreo de este tipo de operaciones. En este caso, no basta con evaluar únicamente los estados financieros de la empresa, sino que también resulta necesario comprender el modelo de negocio, la sensibilidad de sus flujos ante cambios en la demanda, el precio del combustible, las tasas de interés, los eventos geopolíticos y otros factores estructurales propios del sector aeronáutico.</w:t>
      </w:r>
    </w:p>
    <w:p w14:paraId="2822ABE6" w14:textId="132AD502" w:rsidR="00F052DA" w:rsidRPr="00F052DA" w:rsidRDefault="004D669C" w:rsidP="00F052DA">
      <w:pPr>
        <w:jc w:val="both"/>
        <w:rPr>
          <w:rFonts w:ascii="Times New Roman" w:hAnsi="Times New Roman" w:cs="Times New Roman"/>
          <w:lang w:val="es-CR"/>
        </w:rPr>
      </w:pPr>
      <w:r w:rsidRPr="004D669C">
        <w:rPr>
          <w:rFonts w:ascii="Times New Roman" w:hAnsi="Times New Roman" w:cs="Times New Roman"/>
          <w:lang w:val="es-CR"/>
        </w:rPr>
        <w:t>Asimismo, este tipo de operación plantea retos relevantes de medición y control del riesgo de crédito, entre ellos la adecuada estimación de la probabilidad de incumplimiento, la definición prudencial de la pérdida esperada, el seguimiento de señales de deterioro y la necesidad de complementar el análisis cuantitativo con juicio experto</w:t>
      </w:r>
      <w:r>
        <w:rPr>
          <w:rFonts w:ascii="Times New Roman" w:hAnsi="Times New Roman" w:cs="Times New Roman"/>
          <w:lang w:val="es-CR"/>
        </w:rPr>
        <w:t>.</w:t>
      </w:r>
    </w:p>
    <w:p w14:paraId="61775E20" w14:textId="2610E08B" w:rsidR="00F052DA" w:rsidRDefault="00F052DA" w:rsidP="00F052DA">
      <w:pPr>
        <w:jc w:val="both"/>
        <w:rPr>
          <w:rFonts w:ascii="Times New Roman" w:hAnsi="Times New Roman" w:cs="Times New Roman"/>
          <w:lang w:val="es-CR"/>
        </w:rPr>
      </w:pPr>
      <w:r w:rsidRPr="00F052DA">
        <w:rPr>
          <w:rFonts w:ascii="Times New Roman" w:hAnsi="Times New Roman" w:cs="Times New Roman"/>
          <w:lang w:val="es-CR"/>
        </w:rPr>
        <w:t>Adicionalmente, desde la óptica del banco, también debe valorarse el riesgo de concentración. En una entidad de tamaño mediano, una exposición relevante hacia una sola empresa o hacia un sector altamente cíclico como el aeronáutico podría representar una concentración significativa sobre la cartera o incluso sobre el patrimonio de la entidad.</w:t>
      </w:r>
    </w:p>
    <w:p w14:paraId="43AE2FC7" w14:textId="1F2FC048" w:rsidR="00CB5166" w:rsidRPr="000D300B" w:rsidRDefault="00CB5166" w:rsidP="002D675B">
      <w:pPr>
        <w:pStyle w:val="ListParagraph"/>
        <w:numPr>
          <w:ilvl w:val="0"/>
          <w:numId w:val="2"/>
        </w:numPr>
        <w:jc w:val="both"/>
        <w:rPr>
          <w:rFonts w:ascii="Times New Roman" w:hAnsi="Times New Roman" w:cs="Times New Roman"/>
          <w:b/>
          <w:bCs/>
          <w:lang w:val="es-CR"/>
        </w:rPr>
      </w:pPr>
      <w:r w:rsidRPr="000D300B">
        <w:rPr>
          <w:rFonts w:ascii="Times New Roman" w:hAnsi="Times New Roman" w:cs="Times New Roman"/>
          <w:b/>
          <w:bCs/>
          <w:lang w:val="es-CR"/>
        </w:rPr>
        <w:t>Aplicación práctica del marco: caso Delta Air Lines</w:t>
      </w:r>
    </w:p>
    <w:p w14:paraId="1524759B" w14:textId="1DF08977" w:rsidR="008A0DFF" w:rsidRPr="008A0DFF" w:rsidRDefault="008A0DFF" w:rsidP="008A0DFF">
      <w:pPr>
        <w:jc w:val="both"/>
        <w:rPr>
          <w:rFonts w:ascii="Times New Roman" w:hAnsi="Times New Roman" w:cs="Times New Roman"/>
          <w:lang w:val="es-CR"/>
        </w:rPr>
      </w:pPr>
      <w:r w:rsidRPr="008A0DFF">
        <w:rPr>
          <w:rFonts w:ascii="Times New Roman" w:hAnsi="Times New Roman" w:cs="Times New Roman"/>
          <w:lang w:val="es-CR"/>
        </w:rPr>
        <w:t xml:space="preserve">Delta incorpora la gestión del riesgo dentro de su marco de Enterprise Risk Management (ERM), lo cual le permite integrar distintos tipos de riesgo en la toma de decisiones estratégicas. En el caso de la ciberseguridad, la empresa utiliza estándares internacionales como ISO 27001 y el NIST </w:t>
      </w:r>
      <w:proofErr w:type="spellStart"/>
      <w:r w:rsidRPr="008A0DFF">
        <w:rPr>
          <w:rFonts w:ascii="Times New Roman" w:hAnsi="Times New Roman" w:cs="Times New Roman"/>
          <w:lang w:val="es-CR"/>
        </w:rPr>
        <w:t>Cybersecurity</w:t>
      </w:r>
      <w:proofErr w:type="spellEnd"/>
      <w:r w:rsidRPr="008A0DFF">
        <w:rPr>
          <w:rFonts w:ascii="Times New Roman" w:hAnsi="Times New Roman" w:cs="Times New Roman"/>
          <w:lang w:val="es-CR"/>
        </w:rPr>
        <w:t xml:space="preserve"> Framework, los cuales contemplan procesos de identificación, protección, detección, respuesta y recuperación ante incidentes (Delta Air Lines, 2026, p. 26).</w:t>
      </w:r>
    </w:p>
    <w:p w14:paraId="16496E20" w14:textId="77777777" w:rsidR="008A0DFF" w:rsidRDefault="008A0DFF" w:rsidP="008A0DFF">
      <w:pPr>
        <w:jc w:val="both"/>
        <w:rPr>
          <w:rFonts w:ascii="Times New Roman" w:hAnsi="Times New Roman" w:cs="Times New Roman"/>
          <w:lang w:val="es-CR"/>
        </w:rPr>
      </w:pPr>
      <w:r w:rsidRPr="008A0DFF">
        <w:rPr>
          <w:rFonts w:ascii="Times New Roman" w:hAnsi="Times New Roman" w:cs="Times New Roman"/>
          <w:lang w:val="es-CR"/>
        </w:rPr>
        <w:t xml:space="preserve">Desde el punto de vista de gobernanza, el Comité de Auditoría y la alta gerencia participan activamente en la supervisión del riesgo, recibiendo reportes periódicos y participando en la toma de decisiones. Adicionalmente, el Delta Risk Council integra distintos tipos de riesgo dentro de una visión global del negocio (Delta Air Lines, 2026, pp. 26–27). </w:t>
      </w:r>
    </w:p>
    <w:p w14:paraId="4EA91A9E" w14:textId="33BF80C1" w:rsidR="004D669C" w:rsidRDefault="004D669C" w:rsidP="008A0DFF">
      <w:pPr>
        <w:jc w:val="both"/>
        <w:rPr>
          <w:rFonts w:ascii="Times New Roman" w:hAnsi="Times New Roman" w:cs="Times New Roman"/>
          <w:lang w:val="es-CR"/>
        </w:rPr>
      </w:pPr>
      <w:r w:rsidRPr="004D669C">
        <w:rPr>
          <w:rFonts w:ascii="Times New Roman" w:hAnsi="Times New Roman" w:cs="Times New Roman"/>
          <w:lang w:val="es-CR"/>
        </w:rPr>
        <w:t>En conjunto, esta estructura refleja cómo los principios de apetito, control, monitoreo y gestión del riesgo se implementan formalmente dentro de una organización real, lo que también facilita al banco comprender mejor el perfil de riesgo del deudor.</w:t>
      </w:r>
    </w:p>
    <w:p w14:paraId="742C6B8A" w14:textId="2D256857" w:rsidR="00CB5166" w:rsidRPr="008A0DFF" w:rsidRDefault="00CB5166" w:rsidP="008A0DFF">
      <w:pPr>
        <w:pStyle w:val="ListParagraph"/>
        <w:numPr>
          <w:ilvl w:val="0"/>
          <w:numId w:val="2"/>
        </w:numPr>
        <w:jc w:val="both"/>
        <w:rPr>
          <w:rFonts w:ascii="Times New Roman" w:hAnsi="Times New Roman" w:cs="Times New Roman"/>
          <w:lang w:val="es-CR"/>
        </w:rPr>
      </w:pPr>
      <w:r w:rsidRPr="008A0DFF">
        <w:rPr>
          <w:rFonts w:ascii="Times New Roman" w:hAnsi="Times New Roman" w:cs="Times New Roman"/>
          <w:b/>
          <w:bCs/>
          <w:lang w:val="es-CR"/>
        </w:rPr>
        <w:t>Monitoreo continuo del riesgo de crédito</w:t>
      </w:r>
    </w:p>
    <w:p w14:paraId="70ABADC6" w14:textId="1456EC67" w:rsidR="008A0DFF" w:rsidRPr="008A0DFF" w:rsidRDefault="008A0DFF" w:rsidP="008A0DFF">
      <w:pPr>
        <w:jc w:val="both"/>
        <w:rPr>
          <w:rFonts w:ascii="Times New Roman" w:hAnsi="Times New Roman" w:cs="Times New Roman"/>
          <w:lang w:val="es-CR"/>
        </w:rPr>
      </w:pPr>
      <w:r w:rsidRPr="008A0DFF">
        <w:rPr>
          <w:rFonts w:ascii="Times New Roman" w:hAnsi="Times New Roman" w:cs="Times New Roman"/>
          <w:lang w:val="es-CR"/>
        </w:rPr>
        <w:lastRenderedPageBreak/>
        <w:t>Como parte de su marco de gestión de riesgos, Delta realiza evaluaciones continuas de vulnerabilidades, auditorías externas y monitoreo constante de su postura de riesgo tecnológico. La empresa también incorpora controles sobre terceros, exigiendo estándares de ciberseguridad y auditorías contractuales para proveedores críticos, lo cual contribuye a reducir la exposición a riesgos externos (Delta Air Lines, 2026, p. 26).</w:t>
      </w:r>
    </w:p>
    <w:p w14:paraId="7CFF81EA" w14:textId="0E85716B" w:rsidR="000B2FCB" w:rsidRPr="000D300B" w:rsidRDefault="008A0DFF" w:rsidP="008A0DFF">
      <w:pPr>
        <w:jc w:val="both"/>
        <w:rPr>
          <w:rFonts w:ascii="Times New Roman" w:hAnsi="Times New Roman" w:cs="Times New Roman"/>
          <w:lang w:val="es-CR"/>
        </w:rPr>
      </w:pPr>
      <w:r w:rsidRPr="008A0DFF">
        <w:rPr>
          <w:rFonts w:ascii="Times New Roman" w:hAnsi="Times New Roman" w:cs="Times New Roman"/>
          <w:lang w:val="es-CR"/>
        </w:rPr>
        <w:t xml:space="preserve">Asimismo, la compañía implementa programas de capacitación continua para empleados y desarrolla simulaciones periódicas de incidentes, fortaleciendo así su capacidad de respuesta ante eventos adversos. Este monitoreo </w:t>
      </w:r>
      <w:r>
        <w:rPr>
          <w:rFonts w:ascii="Times New Roman" w:hAnsi="Times New Roman" w:cs="Times New Roman"/>
          <w:lang w:val="es-CR"/>
        </w:rPr>
        <w:t xml:space="preserve">ayuda </w:t>
      </w:r>
      <w:r w:rsidRPr="008A0DFF">
        <w:rPr>
          <w:rFonts w:ascii="Times New Roman" w:hAnsi="Times New Roman" w:cs="Times New Roman"/>
          <w:lang w:val="es-CR"/>
        </w:rPr>
        <w:t>a reducir la probabilidad de eventos operativos severos que puedan afectar la continuidad del negocio, los flujos de efectivo y, en última instancia, la capacidad de pago de la empresa (Delta Air Lines, 2026, pp. 26–27</w:t>
      </w:r>
      <w:r w:rsidR="00CE7894">
        <w:rPr>
          <w:rFonts w:ascii="Times New Roman" w:hAnsi="Times New Roman" w:cs="Times New Roman"/>
          <w:lang w:val="es-CR"/>
        </w:rPr>
        <w:t>)</w:t>
      </w:r>
      <w:r w:rsidR="003D18A6" w:rsidRPr="000D300B">
        <w:rPr>
          <w:rFonts w:ascii="Times New Roman" w:hAnsi="Times New Roman" w:cs="Times New Roman"/>
          <w:lang w:val="es-CR"/>
        </w:rPr>
        <w:t>.</w:t>
      </w:r>
    </w:p>
    <w:p w14:paraId="1D96036D" w14:textId="5DB96EB9" w:rsidR="00CE5A16" w:rsidRPr="000D300B" w:rsidRDefault="00CE5A16" w:rsidP="000D300B">
      <w:pPr>
        <w:pStyle w:val="Heading1"/>
        <w:numPr>
          <w:ilvl w:val="0"/>
          <w:numId w:val="9"/>
        </w:numPr>
        <w:rPr>
          <w:rFonts w:ascii="Times New Roman" w:hAnsi="Times New Roman" w:cs="Times New Roman"/>
          <w:b/>
          <w:bCs/>
          <w:color w:val="auto"/>
          <w:sz w:val="24"/>
          <w:szCs w:val="24"/>
          <w:lang w:val="es-CR"/>
        </w:rPr>
      </w:pPr>
      <w:bookmarkStart w:id="9" w:name="_Toc226530930"/>
      <w:r w:rsidRPr="000D300B">
        <w:rPr>
          <w:rFonts w:ascii="Times New Roman" w:hAnsi="Times New Roman" w:cs="Times New Roman"/>
          <w:b/>
          <w:bCs/>
          <w:color w:val="auto"/>
          <w:sz w:val="24"/>
          <w:szCs w:val="24"/>
          <w:lang w:val="es-CR"/>
        </w:rPr>
        <w:t>Recomendación de crédito</w:t>
      </w:r>
      <w:r w:rsidR="00473C98">
        <w:rPr>
          <w:rFonts w:ascii="Times New Roman" w:hAnsi="Times New Roman" w:cs="Times New Roman"/>
          <w:b/>
          <w:bCs/>
          <w:color w:val="auto"/>
          <w:sz w:val="24"/>
          <w:szCs w:val="24"/>
          <w:lang w:val="es-CR"/>
        </w:rPr>
        <w:t xml:space="preserve"> y conclusión</w:t>
      </w:r>
      <w:bookmarkEnd w:id="9"/>
    </w:p>
    <w:p w14:paraId="17700F90" w14:textId="232C33DA" w:rsidR="004D669C" w:rsidRPr="004D669C" w:rsidRDefault="004D669C" w:rsidP="004D669C">
      <w:pPr>
        <w:jc w:val="both"/>
        <w:rPr>
          <w:rFonts w:ascii="Times New Roman" w:hAnsi="Times New Roman" w:cs="Times New Roman"/>
          <w:lang w:val="es-CR"/>
        </w:rPr>
      </w:pPr>
      <w:r w:rsidRPr="004D669C">
        <w:rPr>
          <w:rFonts w:ascii="Times New Roman" w:hAnsi="Times New Roman" w:cs="Times New Roman"/>
          <w:lang w:val="es-CR"/>
        </w:rPr>
        <w:t>Con base en el análisis realizado, se considera que Delta presenta una capacidad adecuada de generación de flujo de efectivo, respaldada por su fortaleza operativa y su posición dentro del mercado. No obstante, la empresa también mantiene exposición a riesgos estructurales propios de la industria aeronáutica, como la volatilidad en la demanda, el precio del combustible y el entorno macroeconómico.</w:t>
      </w:r>
    </w:p>
    <w:p w14:paraId="61AD583E" w14:textId="71CDFA0D" w:rsidR="004D669C" w:rsidRPr="004D669C" w:rsidRDefault="004D669C" w:rsidP="004D669C">
      <w:pPr>
        <w:jc w:val="both"/>
        <w:rPr>
          <w:rFonts w:ascii="Times New Roman" w:hAnsi="Times New Roman" w:cs="Times New Roman"/>
          <w:lang w:val="es-CR"/>
        </w:rPr>
      </w:pPr>
      <w:r w:rsidRPr="004D669C">
        <w:rPr>
          <w:rFonts w:ascii="Times New Roman" w:hAnsi="Times New Roman" w:cs="Times New Roman"/>
          <w:lang w:val="es-CR"/>
        </w:rPr>
        <w:t>En caso de decidirse la aprobación de una línea de crédito, esta podría establecerse en un rango de entre $20 millones y $30 millones, con términos de pago de 30 a 60 días. Este rango se considera razonable, ya que permite mantener una exposición prudente por parte del banco, sin dejar de reconocer la escala y solidez financiera de la empresa.</w:t>
      </w:r>
    </w:p>
    <w:p w14:paraId="0EB26BE9" w14:textId="05FEA5FC" w:rsidR="004D669C" w:rsidRPr="004D669C" w:rsidRDefault="004D669C" w:rsidP="004D669C">
      <w:pPr>
        <w:jc w:val="both"/>
        <w:rPr>
          <w:rFonts w:ascii="Times New Roman" w:hAnsi="Times New Roman" w:cs="Times New Roman"/>
          <w:lang w:val="es-CR"/>
        </w:rPr>
      </w:pPr>
      <w:r w:rsidRPr="004D669C">
        <w:rPr>
          <w:rFonts w:ascii="Times New Roman" w:hAnsi="Times New Roman" w:cs="Times New Roman"/>
          <w:lang w:val="es-CR"/>
        </w:rPr>
        <w:t>Adicionalmente, la decisión final sobre el monto a otorgar debería complementarse con variables como el historial de pago de la empresa, su cumplimiento con proveedores y acreedores, y la estabilidad de sus relaciones comerciales con contrapartes clave. Estos elementos permiten valorar no solo la capacidad financiera actual de Delta, sino también su comportamiento de pago y su solidez operativa dentro de la industria.</w:t>
      </w:r>
    </w:p>
    <w:p w14:paraId="63BD433D" w14:textId="6DE27194" w:rsidR="00A100E8" w:rsidRDefault="004D669C" w:rsidP="004D669C">
      <w:pPr>
        <w:jc w:val="both"/>
        <w:rPr>
          <w:rFonts w:ascii="Times New Roman" w:hAnsi="Times New Roman" w:cs="Times New Roman"/>
          <w:lang w:val="es-CR"/>
        </w:rPr>
      </w:pPr>
      <w:r w:rsidRPr="004D669C">
        <w:rPr>
          <w:rFonts w:ascii="Times New Roman" w:hAnsi="Times New Roman" w:cs="Times New Roman"/>
          <w:lang w:val="es-CR"/>
        </w:rPr>
        <w:t>En conjunto, Delta puede considerarse una empresa con fundamentos financieros adecuados y con capacidad de pago consistente, aunque expuesta a riesgos estructurales propios del sector aeronáutico. Por ello, una eventual decisión de crédito debe mantenerse bajo un enfoque prudencial, considerando tanto la fortaleza actual de la empresa como la volatilidad del sector y el nivel de exposición que el banco esté dispuesto a asumir.</w:t>
      </w:r>
      <w:r w:rsidR="00A100E8">
        <w:rPr>
          <w:rFonts w:ascii="Times New Roman" w:hAnsi="Times New Roman" w:cs="Times New Roman"/>
          <w:lang w:val="es-CR"/>
        </w:rPr>
        <w:br w:type="page"/>
      </w:r>
    </w:p>
    <w:p w14:paraId="72E30559" w14:textId="77777777" w:rsidR="00EA3252" w:rsidRDefault="00EA3252" w:rsidP="00473C98">
      <w:pPr>
        <w:jc w:val="both"/>
        <w:rPr>
          <w:lang w:val="es-CR"/>
        </w:rPr>
      </w:pPr>
    </w:p>
    <w:p w14:paraId="10724A71" w14:textId="0AF5E95F" w:rsidR="00307203" w:rsidRPr="00793DE9" w:rsidRDefault="00EA3252" w:rsidP="000D300B">
      <w:pPr>
        <w:pStyle w:val="Heading1"/>
        <w:numPr>
          <w:ilvl w:val="0"/>
          <w:numId w:val="9"/>
        </w:numPr>
        <w:rPr>
          <w:rFonts w:ascii="Times New Roman" w:hAnsi="Times New Roman" w:cs="Times New Roman"/>
          <w:b/>
          <w:bCs/>
          <w:color w:val="auto"/>
          <w:sz w:val="24"/>
          <w:szCs w:val="24"/>
          <w:lang w:val="es-CR"/>
        </w:rPr>
      </w:pPr>
      <w:bookmarkStart w:id="10" w:name="_Toc226530931"/>
      <w:r w:rsidRPr="00793DE9">
        <w:rPr>
          <w:rFonts w:ascii="Times New Roman" w:hAnsi="Times New Roman" w:cs="Times New Roman"/>
          <w:b/>
          <w:bCs/>
          <w:color w:val="auto"/>
          <w:sz w:val="24"/>
          <w:szCs w:val="24"/>
          <w:lang w:val="es-CR"/>
        </w:rPr>
        <w:t>Referencias</w:t>
      </w:r>
      <w:bookmarkEnd w:id="10"/>
    </w:p>
    <w:p w14:paraId="5F9317B2" w14:textId="023A3F77" w:rsidR="00A87AC8" w:rsidRPr="00225B99" w:rsidRDefault="00A87AC8" w:rsidP="00A87AC8">
      <w:pPr>
        <w:jc w:val="both"/>
        <w:rPr>
          <w:rFonts w:ascii="Times New Roman" w:hAnsi="Times New Roman" w:cs="Times New Roman"/>
          <w:lang w:val="es-CR"/>
        </w:rPr>
      </w:pPr>
      <w:r w:rsidRPr="00793DE9">
        <w:rPr>
          <w:rFonts w:ascii="Times New Roman" w:hAnsi="Times New Roman" w:cs="Times New Roman"/>
        </w:rPr>
        <w:t xml:space="preserve">Bureau of Transportation Statistics. (s. f.). </w:t>
      </w:r>
      <w:proofErr w:type="spellStart"/>
      <w:r w:rsidRPr="00793DE9">
        <w:rPr>
          <w:rFonts w:ascii="Times New Roman" w:hAnsi="Times New Roman" w:cs="Times New Roman"/>
        </w:rPr>
        <w:t>TranStats</w:t>
      </w:r>
      <w:proofErr w:type="spellEnd"/>
      <w:r w:rsidRPr="00793DE9">
        <w:rPr>
          <w:rFonts w:ascii="Times New Roman" w:hAnsi="Times New Roman" w:cs="Times New Roman"/>
        </w:rPr>
        <w:t xml:space="preserve">. U.S. Department of Transportation. </w:t>
      </w:r>
      <w:hyperlink r:id="rId9" w:history="1">
        <w:r w:rsidRPr="00225B99">
          <w:rPr>
            <w:rStyle w:val="Hyperlink"/>
            <w:rFonts w:ascii="Times New Roman" w:hAnsi="Times New Roman" w:cs="Times New Roman"/>
            <w:lang w:val="es-CR"/>
          </w:rPr>
          <w:t>https://www.transtats.bts.gov</w:t>
        </w:r>
      </w:hyperlink>
      <w:r w:rsidRPr="00225B99">
        <w:rPr>
          <w:rFonts w:ascii="Times New Roman" w:hAnsi="Times New Roman" w:cs="Times New Roman"/>
          <w:lang w:val="es-CR"/>
        </w:rPr>
        <w:t xml:space="preserve"> </w:t>
      </w:r>
    </w:p>
    <w:p w14:paraId="225C1D97" w14:textId="7DBAB77B" w:rsidR="00A87AC8" w:rsidRPr="00793DE9" w:rsidRDefault="00A87AC8" w:rsidP="00A87AC8">
      <w:pPr>
        <w:jc w:val="both"/>
        <w:rPr>
          <w:rFonts w:ascii="Times New Roman" w:hAnsi="Times New Roman" w:cs="Times New Roman"/>
          <w:lang w:val="es-CR"/>
        </w:rPr>
      </w:pPr>
      <w:r w:rsidRPr="00793DE9">
        <w:rPr>
          <w:rFonts w:ascii="Times New Roman" w:hAnsi="Times New Roman" w:cs="Times New Roman"/>
          <w:lang w:val="es-CR"/>
        </w:rPr>
        <w:t xml:space="preserve">Delta Air Lines, Inc. (2025, 4 de febrero). </w:t>
      </w:r>
      <w:r w:rsidRPr="00793DE9">
        <w:rPr>
          <w:rFonts w:ascii="Times New Roman" w:hAnsi="Times New Roman" w:cs="Times New Roman"/>
        </w:rPr>
        <w:t xml:space="preserve">Moody’s upgrades Delta’s credit rating. </w:t>
      </w:r>
      <w:r w:rsidRPr="00793DE9">
        <w:rPr>
          <w:rFonts w:ascii="Times New Roman" w:hAnsi="Times New Roman" w:cs="Times New Roman"/>
          <w:lang w:val="es-CR"/>
        </w:rPr>
        <w:t xml:space="preserve">Delta News </w:t>
      </w:r>
      <w:proofErr w:type="gramStart"/>
      <w:r w:rsidRPr="00793DE9">
        <w:rPr>
          <w:rFonts w:ascii="Times New Roman" w:hAnsi="Times New Roman" w:cs="Times New Roman"/>
          <w:lang w:val="es-CR"/>
        </w:rPr>
        <w:t>Hub</w:t>
      </w:r>
      <w:proofErr w:type="gramEnd"/>
      <w:r w:rsidRPr="00793DE9">
        <w:rPr>
          <w:rFonts w:ascii="Times New Roman" w:hAnsi="Times New Roman" w:cs="Times New Roman"/>
          <w:lang w:val="es-CR"/>
        </w:rPr>
        <w:t xml:space="preserve">. </w:t>
      </w:r>
      <w:hyperlink r:id="rId10" w:history="1">
        <w:r w:rsidRPr="00793DE9">
          <w:rPr>
            <w:rStyle w:val="Hyperlink"/>
            <w:rFonts w:ascii="Times New Roman" w:hAnsi="Times New Roman" w:cs="Times New Roman"/>
            <w:lang w:val="es-CR"/>
          </w:rPr>
          <w:t>https://news.delta.com/moodys-upgrades-deltas-credit-rating</w:t>
        </w:r>
      </w:hyperlink>
      <w:r w:rsidRPr="00793DE9">
        <w:rPr>
          <w:rFonts w:ascii="Times New Roman" w:hAnsi="Times New Roman" w:cs="Times New Roman"/>
          <w:lang w:val="es-CR"/>
        </w:rPr>
        <w:t xml:space="preserve"> </w:t>
      </w:r>
    </w:p>
    <w:p w14:paraId="5467D472" w14:textId="4116E435" w:rsidR="00A87AC8" w:rsidRPr="00793DE9" w:rsidRDefault="00A87AC8" w:rsidP="00A87AC8">
      <w:pPr>
        <w:jc w:val="both"/>
        <w:rPr>
          <w:rFonts w:ascii="Times New Roman" w:hAnsi="Times New Roman" w:cs="Times New Roman"/>
        </w:rPr>
      </w:pPr>
      <w:r w:rsidRPr="00793DE9">
        <w:rPr>
          <w:rFonts w:ascii="Times New Roman" w:hAnsi="Times New Roman" w:cs="Times New Roman"/>
        </w:rPr>
        <w:t xml:space="preserve">Delta Air Lines, Inc. (2026). Form 10-K for the fiscal year ended December 31, 2025. </w:t>
      </w:r>
      <w:hyperlink r:id="rId11" w:history="1">
        <w:r w:rsidRPr="00793DE9">
          <w:rPr>
            <w:rStyle w:val="Hyperlink"/>
            <w:rFonts w:ascii="Times New Roman" w:hAnsi="Times New Roman" w:cs="Times New Roman"/>
          </w:rPr>
          <w:t>https://s2.q4cdn.com/181345880/files/doc_financials/2025/q4/DAL-12-31-2025-10K-2-10-26-Filed.pdf</w:t>
        </w:r>
      </w:hyperlink>
      <w:r w:rsidRPr="00793DE9">
        <w:rPr>
          <w:rFonts w:ascii="Times New Roman" w:hAnsi="Times New Roman" w:cs="Times New Roman"/>
        </w:rPr>
        <w:t xml:space="preserve"> </w:t>
      </w:r>
    </w:p>
    <w:p w14:paraId="01D57B21" w14:textId="1DFD608E" w:rsidR="00A87AC8" w:rsidRPr="00793DE9" w:rsidRDefault="00A87AC8" w:rsidP="00A87AC8">
      <w:pPr>
        <w:jc w:val="both"/>
        <w:rPr>
          <w:rFonts w:ascii="Times New Roman" w:hAnsi="Times New Roman" w:cs="Times New Roman"/>
        </w:rPr>
      </w:pPr>
      <w:r w:rsidRPr="00793DE9">
        <w:rPr>
          <w:rFonts w:ascii="Times New Roman" w:hAnsi="Times New Roman" w:cs="Times New Roman"/>
        </w:rPr>
        <w:t xml:space="preserve">Federal Aviation Administration. (2025). FAA aerospace forecast fiscal years 2025–2045. U.S. Department of Transportation. </w:t>
      </w:r>
      <w:hyperlink r:id="rId12" w:history="1">
        <w:r w:rsidRPr="00793DE9">
          <w:rPr>
            <w:rStyle w:val="Hyperlink"/>
            <w:rFonts w:ascii="Times New Roman" w:hAnsi="Times New Roman" w:cs="Times New Roman"/>
          </w:rPr>
          <w:t>https://www.faa.gov/data_research/aviation/aerospace_forecasts/2025-faa-aerospace-forecasts.pdf</w:t>
        </w:r>
      </w:hyperlink>
      <w:r w:rsidRPr="00793DE9">
        <w:rPr>
          <w:rFonts w:ascii="Times New Roman" w:hAnsi="Times New Roman" w:cs="Times New Roman"/>
        </w:rPr>
        <w:t xml:space="preserve"> </w:t>
      </w:r>
    </w:p>
    <w:p w14:paraId="62EA8E73" w14:textId="11CB0241" w:rsidR="00A87AC8" w:rsidRPr="00793DE9" w:rsidRDefault="00A87AC8" w:rsidP="00A87AC8">
      <w:pPr>
        <w:jc w:val="both"/>
        <w:rPr>
          <w:rFonts w:ascii="Times New Roman" w:hAnsi="Times New Roman" w:cs="Times New Roman"/>
        </w:rPr>
      </w:pPr>
      <w:r w:rsidRPr="00793DE9">
        <w:rPr>
          <w:rFonts w:ascii="Times New Roman" w:hAnsi="Times New Roman" w:cs="Times New Roman"/>
        </w:rPr>
        <w:t xml:space="preserve">Mordor Intelligence. (s. f.). US aviation market. </w:t>
      </w:r>
      <w:hyperlink r:id="rId13" w:history="1">
        <w:r w:rsidRPr="00793DE9">
          <w:rPr>
            <w:rStyle w:val="Hyperlink"/>
            <w:rFonts w:ascii="Times New Roman" w:hAnsi="Times New Roman" w:cs="Times New Roman"/>
          </w:rPr>
          <w:t>https://www.mordorintelligence.com/industry-reports/us-aviation-market</w:t>
        </w:r>
      </w:hyperlink>
      <w:r w:rsidRPr="00793DE9">
        <w:rPr>
          <w:rFonts w:ascii="Times New Roman" w:hAnsi="Times New Roman" w:cs="Times New Roman"/>
        </w:rPr>
        <w:t xml:space="preserve"> </w:t>
      </w:r>
    </w:p>
    <w:p w14:paraId="38B01EB4" w14:textId="50DAB46F" w:rsidR="00A87AC8" w:rsidRPr="00793DE9" w:rsidRDefault="00A87AC8" w:rsidP="00A87AC8">
      <w:pPr>
        <w:jc w:val="both"/>
        <w:rPr>
          <w:rFonts w:ascii="Times New Roman" w:hAnsi="Times New Roman" w:cs="Times New Roman"/>
        </w:rPr>
      </w:pPr>
      <w:r w:rsidRPr="00793DE9">
        <w:rPr>
          <w:rFonts w:ascii="Times New Roman" w:hAnsi="Times New Roman" w:cs="Times New Roman"/>
        </w:rPr>
        <w:t xml:space="preserve">Research and Markets. (s. f.). United States aviation market report and forecast 2025–2034. </w:t>
      </w:r>
      <w:hyperlink r:id="rId14" w:history="1">
        <w:r w:rsidRPr="00793DE9">
          <w:rPr>
            <w:rStyle w:val="Hyperlink"/>
            <w:rFonts w:ascii="Times New Roman" w:hAnsi="Times New Roman" w:cs="Times New Roman"/>
          </w:rPr>
          <w:t>https://www.researchandmarkets.com/reports/6096286/united-states-aviation-market-report-forecast?utm_source=GNE&amp;utm_medium=PressRelease&amp;utm_code=vrmxc7&amp;utm_campaign=2072799+-+U.S.+Aviation+Market+Opportunities+2025-2034%3a+Significant+Advancements+in+the+Development+of+Sustainable+Aviation+Fuels+in+the+Far+West+Driving+Growth&amp;utm_exec=jocamspi</w:t>
        </w:r>
      </w:hyperlink>
      <w:r w:rsidRPr="00793DE9">
        <w:rPr>
          <w:rFonts w:ascii="Times New Roman" w:hAnsi="Times New Roman" w:cs="Times New Roman"/>
        </w:rPr>
        <w:t xml:space="preserve"> </w:t>
      </w:r>
    </w:p>
    <w:p w14:paraId="75B63B3D" w14:textId="6E07F5D4" w:rsidR="00EA3252" w:rsidRPr="00793DE9" w:rsidRDefault="00A87AC8" w:rsidP="00A87AC8">
      <w:pPr>
        <w:jc w:val="both"/>
        <w:rPr>
          <w:rFonts w:ascii="Times New Roman" w:hAnsi="Times New Roman" w:cs="Times New Roman"/>
        </w:rPr>
      </w:pPr>
      <w:r w:rsidRPr="00793DE9">
        <w:rPr>
          <w:rFonts w:ascii="Times New Roman" w:hAnsi="Times New Roman" w:cs="Times New Roman"/>
        </w:rPr>
        <w:t xml:space="preserve">S&amp;P Global Ratings. (s. f.). Understanding credit ratings. </w:t>
      </w:r>
      <w:hyperlink r:id="rId15" w:history="1">
        <w:r w:rsidRPr="00793DE9">
          <w:rPr>
            <w:rStyle w:val="Hyperlink"/>
            <w:rFonts w:ascii="Times New Roman" w:hAnsi="Times New Roman" w:cs="Times New Roman"/>
          </w:rPr>
          <w:t>https://www.spglobal.com/ratings/en/credit-ratings/about/understanding-credit-ratings</w:t>
        </w:r>
      </w:hyperlink>
      <w:r w:rsidRPr="00793DE9">
        <w:rPr>
          <w:rFonts w:ascii="Times New Roman" w:hAnsi="Times New Roman" w:cs="Times New Roman"/>
        </w:rPr>
        <w:t xml:space="preserve"> </w:t>
      </w:r>
    </w:p>
    <w:sectPr w:rsidR="00EA3252" w:rsidRPr="00793DE9" w:rsidSect="000D300B">
      <w:headerReference w:type="default" r:id="rId16"/>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8532F" w14:textId="77777777" w:rsidR="00C25A0E" w:rsidRDefault="00C25A0E" w:rsidP="004C0F72">
      <w:pPr>
        <w:spacing w:after="0" w:line="240" w:lineRule="auto"/>
      </w:pPr>
      <w:r>
        <w:separator/>
      </w:r>
    </w:p>
  </w:endnote>
  <w:endnote w:type="continuationSeparator" w:id="0">
    <w:p w14:paraId="518EC7A5" w14:textId="77777777" w:rsidR="00C25A0E" w:rsidRDefault="00C25A0E" w:rsidP="004C0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139687544"/>
      <w:docPartObj>
        <w:docPartGallery w:val="Page Numbers (Bottom of Page)"/>
        <w:docPartUnique/>
      </w:docPartObj>
    </w:sdtPr>
    <w:sdtEndPr>
      <w:rPr>
        <w:noProof/>
      </w:rPr>
    </w:sdtEndPr>
    <w:sdtContent>
      <w:p w14:paraId="614B9022" w14:textId="2697E170" w:rsidR="004C0F72" w:rsidRPr="00827C1C" w:rsidRDefault="004C0F72" w:rsidP="00827C1C">
        <w:pPr>
          <w:pStyle w:val="Footer"/>
          <w:jc w:val="right"/>
          <w:rPr>
            <w:rFonts w:ascii="Times New Roman" w:hAnsi="Times New Roman" w:cs="Times New Roman"/>
          </w:rPr>
        </w:pPr>
        <w:r w:rsidRPr="00827C1C">
          <w:rPr>
            <w:rFonts w:ascii="Times New Roman" w:hAnsi="Times New Roman" w:cs="Times New Roman"/>
          </w:rPr>
          <w:fldChar w:fldCharType="begin"/>
        </w:r>
        <w:r w:rsidRPr="00827C1C">
          <w:rPr>
            <w:rFonts w:ascii="Times New Roman" w:hAnsi="Times New Roman" w:cs="Times New Roman"/>
          </w:rPr>
          <w:instrText xml:space="preserve"> PAGE   \* MERGEFORMAT </w:instrText>
        </w:r>
        <w:r w:rsidRPr="00827C1C">
          <w:rPr>
            <w:rFonts w:ascii="Times New Roman" w:hAnsi="Times New Roman" w:cs="Times New Roman"/>
          </w:rPr>
          <w:fldChar w:fldCharType="separate"/>
        </w:r>
        <w:r w:rsidRPr="00827C1C">
          <w:rPr>
            <w:rFonts w:ascii="Times New Roman" w:hAnsi="Times New Roman" w:cs="Times New Roman"/>
            <w:noProof/>
          </w:rPr>
          <w:t>2</w:t>
        </w:r>
        <w:r w:rsidRPr="00827C1C">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FC949" w14:textId="77777777" w:rsidR="00C25A0E" w:rsidRDefault="00C25A0E" w:rsidP="004C0F72">
      <w:pPr>
        <w:spacing w:after="0" w:line="240" w:lineRule="auto"/>
      </w:pPr>
      <w:r>
        <w:separator/>
      </w:r>
    </w:p>
  </w:footnote>
  <w:footnote w:type="continuationSeparator" w:id="0">
    <w:p w14:paraId="28C44310" w14:textId="77777777" w:rsidR="00C25A0E" w:rsidRDefault="00C25A0E" w:rsidP="004C0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1D8E" w14:textId="30A7E16D" w:rsidR="000D300B" w:rsidRPr="000D300B" w:rsidRDefault="000D300B" w:rsidP="000D300B">
    <w:pPr>
      <w:pStyle w:val="Header"/>
      <w:tabs>
        <w:tab w:val="left" w:pos="195"/>
      </w:tabs>
      <w:rPr>
        <w:rFonts w:ascii="Times New Roman" w:hAnsi="Times New Roman" w:cs="Times New Roman"/>
        <w:lang w:val="es-CR"/>
      </w:rPr>
    </w:pPr>
    <w:r>
      <w:rPr>
        <w:rFonts w:ascii="Times New Roman" w:hAnsi="Times New Roman" w:cs="Times New Roman"/>
        <w:lang w:val="es-CR"/>
      </w:rPr>
      <w:tab/>
    </w:r>
    <w:r>
      <w:rPr>
        <w:rFonts w:ascii="Times New Roman" w:hAnsi="Times New Roman" w:cs="Times New Roman"/>
        <w:lang w:val="es-CR"/>
      </w:rPr>
      <w:tab/>
    </w:r>
  </w:p>
  <w:p w14:paraId="204E438D" w14:textId="2E6B6992" w:rsidR="000D300B" w:rsidRPr="000D300B" w:rsidRDefault="000D300B" w:rsidP="000D300B">
    <w:pPr>
      <w:pStyle w:val="Header"/>
      <w:jc w:val="right"/>
      <w:rPr>
        <w:rFonts w:ascii="Times New Roman" w:hAnsi="Times New Roman" w:cs="Times New Roman"/>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3454"/>
    <w:multiLevelType w:val="hybridMultilevel"/>
    <w:tmpl w:val="B1081516"/>
    <w:lvl w:ilvl="0" w:tplc="192039B2">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932B2"/>
    <w:multiLevelType w:val="hybridMultilevel"/>
    <w:tmpl w:val="E98EB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F6BE1"/>
    <w:multiLevelType w:val="hybridMultilevel"/>
    <w:tmpl w:val="847CF0EC"/>
    <w:lvl w:ilvl="0" w:tplc="33CC8AE6">
      <w:start w:val="1"/>
      <w:numFmt w:val="decimal"/>
      <w:lvlText w:val="%1."/>
      <w:lvlJc w:val="left"/>
      <w:pPr>
        <w:ind w:left="720" w:hanging="360"/>
      </w:pPr>
      <w:rPr>
        <w:rFonts w:ascii="Times New Roman" w:hAnsi="Times New Roman" w:cs="Times New Roman"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36576"/>
    <w:multiLevelType w:val="hybridMultilevel"/>
    <w:tmpl w:val="F1A6FAB0"/>
    <w:lvl w:ilvl="0" w:tplc="2ECCB18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30F58"/>
    <w:multiLevelType w:val="multilevel"/>
    <w:tmpl w:val="337C7C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D9F5EA0"/>
    <w:multiLevelType w:val="multilevel"/>
    <w:tmpl w:val="337C7CA6"/>
    <w:styleLink w:val="CurrentList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FD379FD"/>
    <w:multiLevelType w:val="hybridMultilevel"/>
    <w:tmpl w:val="824AF30A"/>
    <w:lvl w:ilvl="0" w:tplc="6E44BB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E6AD7"/>
    <w:multiLevelType w:val="hybridMultilevel"/>
    <w:tmpl w:val="82F46594"/>
    <w:lvl w:ilvl="0" w:tplc="40D0F57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11B2E"/>
    <w:multiLevelType w:val="multilevel"/>
    <w:tmpl w:val="C3484202"/>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2AD180F"/>
    <w:multiLevelType w:val="multilevel"/>
    <w:tmpl w:val="7894210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89139749">
    <w:abstractNumId w:val="3"/>
  </w:num>
  <w:num w:numId="2" w16cid:durableId="384523663">
    <w:abstractNumId w:val="0"/>
  </w:num>
  <w:num w:numId="3" w16cid:durableId="464662110">
    <w:abstractNumId w:val="8"/>
  </w:num>
  <w:num w:numId="4" w16cid:durableId="1751268482">
    <w:abstractNumId w:val="4"/>
  </w:num>
  <w:num w:numId="5" w16cid:durableId="1741832975">
    <w:abstractNumId w:val="5"/>
  </w:num>
  <w:num w:numId="6" w16cid:durableId="187917491">
    <w:abstractNumId w:val="1"/>
  </w:num>
  <w:num w:numId="7" w16cid:durableId="1011298631">
    <w:abstractNumId w:val="9"/>
  </w:num>
  <w:num w:numId="8" w16cid:durableId="233593716">
    <w:abstractNumId w:val="6"/>
  </w:num>
  <w:num w:numId="9" w16cid:durableId="2023434722">
    <w:abstractNumId w:val="2"/>
  </w:num>
  <w:num w:numId="10" w16cid:durableId="354041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2F8"/>
    <w:rsid w:val="00072E67"/>
    <w:rsid w:val="00083E50"/>
    <w:rsid w:val="0009362D"/>
    <w:rsid w:val="000B0A9E"/>
    <w:rsid w:val="000B1C7D"/>
    <w:rsid w:val="000B2FCB"/>
    <w:rsid w:val="000C4513"/>
    <w:rsid w:val="000D300B"/>
    <w:rsid w:val="00116E76"/>
    <w:rsid w:val="0014263C"/>
    <w:rsid w:val="00155ADE"/>
    <w:rsid w:val="00163DCE"/>
    <w:rsid w:val="001704C8"/>
    <w:rsid w:val="00187B15"/>
    <w:rsid w:val="00196102"/>
    <w:rsid w:val="001A0E0D"/>
    <w:rsid w:val="001A10AE"/>
    <w:rsid w:val="001B02F5"/>
    <w:rsid w:val="001C2E8F"/>
    <w:rsid w:val="00203698"/>
    <w:rsid w:val="00215D2E"/>
    <w:rsid w:val="00225B99"/>
    <w:rsid w:val="00247567"/>
    <w:rsid w:val="00272B51"/>
    <w:rsid w:val="002857B9"/>
    <w:rsid w:val="00296D4E"/>
    <w:rsid w:val="002D59F1"/>
    <w:rsid w:val="002D675B"/>
    <w:rsid w:val="002F6C01"/>
    <w:rsid w:val="00307203"/>
    <w:rsid w:val="003414DF"/>
    <w:rsid w:val="003418CC"/>
    <w:rsid w:val="00346B17"/>
    <w:rsid w:val="003C277D"/>
    <w:rsid w:val="003C65B0"/>
    <w:rsid w:val="003D18A6"/>
    <w:rsid w:val="00445527"/>
    <w:rsid w:val="00446A46"/>
    <w:rsid w:val="00473C98"/>
    <w:rsid w:val="00484C75"/>
    <w:rsid w:val="004A1BFD"/>
    <w:rsid w:val="004B70CC"/>
    <w:rsid w:val="004B7501"/>
    <w:rsid w:val="004C0F72"/>
    <w:rsid w:val="004D669C"/>
    <w:rsid w:val="004E0626"/>
    <w:rsid w:val="004E7E3F"/>
    <w:rsid w:val="004F7A3F"/>
    <w:rsid w:val="00507748"/>
    <w:rsid w:val="0054120F"/>
    <w:rsid w:val="00552A0D"/>
    <w:rsid w:val="00595922"/>
    <w:rsid w:val="005A572B"/>
    <w:rsid w:val="005D3E4B"/>
    <w:rsid w:val="005D4FE8"/>
    <w:rsid w:val="00616496"/>
    <w:rsid w:val="00634E15"/>
    <w:rsid w:val="006703F2"/>
    <w:rsid w:val="006814AC"/>
    <w:rsid w:val="0069574C"/>
    <w:rsid w:val="006961E7"/>
    <w:rsid w:val="006A33FB"/>
    <w:rsid w:val="006B6ED5"/>
    <w:rsid w:val="006D10C0"/>
    <w:rsid w:val="006F3833"/>
    <w:rsid w:val="007230AD"/>
    <w:rsid w:val="00741E52"/>
    <w:rsid w:val="00751950"/>
    <w:rsid w:val="00774C36"/>
    <w:rsid w:val="00793DE9"/>
    <w:rsid w:val="007B1A65"/>
    <w:rsid w:val="007B569B"/>
    <w:rsid w:val="00827C1C"/>
    <w:rsid w:val="00830FB1"/>
    <w:rsid w:val="00847E12"/>
    <w:rsid w:val="008667E5"/>
    <w:rsid w:val="0088612F"/>
    <w:rsid w:val="008923F2"/>
    <w:rsid w:val="008A0DFF"/>
    <w:rsid w:val="008B4CAA"/>
    <w:rsid w:val="008C67EC"/>
    <w:rsid w:val="008E7F3E"/>
    <w:rsid w:val="009079DB"/>
    <w:rsid w:val="00910810"/>
    <w:rsid w:val="00933EAE"/>
    <w:rsid w:val="0093757E"/>
    <w:rsid w:val="0094223C"/>
    <w:rsid w:val="00981E80"/>
    <w:rsid w:val="009A765E"/>
    <w:rsid w:val="009D725F"/>
    <w:rsid w:val="009E1592"/>
    <w:rsid w:val="00A064A2"/>
    <w:rsid w:val="00A100E8"/>
    <w:rsid w:val="00A1197A"/>
    <w:rsid w:val="00A145C8"/>
    <w:rsid w:val="00A4310D"/>
    <w:rsid w:val="00A45A60"/>
    <w:rsid w:val="00A75003"/>
    <w:rsid w:val="00A81172"/>
    <w:rsid w:val="00A82C28"/>
    <w:rsid w:val="00A832F8"/>
    <w:rsid w:val="00A856FA"/>
    <w:rsid w:val="00A8765A"/>
    <w:rsid w:val="00A87AC8"/>
    <w:rsid w:val="00A94EA7"/>
    <w:rsid w:val="00AA15B7"/>
    <w:rsid w:val="00AE0789"/>
    <w:rsid w:val="00B34BE9"/>
    <w:rsid w:val="00B440F1"/>
    <w:rsid w:val="00B64F14"/>
    <w:rsid w:val="00B6567E"/>
    <w:rsid w:val="00BE61DD"/>
    <w:rsid w:val="00C0590E"/>
    <w:rsid w:val="00C064F0"/>
    <w:rsid w:val="00C21690"/>
    <w:rsid w:val="00C25A0E"/>
    <w:rsid w:val="00C40D56"/>
    <w:rsid w:val="00C64C1E"/>
    <w:rsid w:val="00C66737"/>
    <w:rsid w:val="00C862E1"/>
    <w:rsid w:val="00C9481D"/>
    <w:rsid w:val="00CA5247"/>
    <w:rsid w:val="00CA5529"/>
    <w:rsid w:val="00CB5166"/>
    <w:rsid w:val="00CD1AEE"/>
    <w:rsid w:val="00CE5A16"/>
    <w:rsid w:val="00CE7894"/>
    <w:rsid w:val="00D2341C"/>
    <w:rsid w:val="00D37883"/>
    <w:rsid w:val="00DA0D71"/>
    <w:rsid w:val="00DD39F4"/>
    <w:rsid w:val="00DE07A1"/>
    <w:rsid w:val="00E120F1"/>
    <w:rsid w:val="00E27A70"/>
    <w:rsid w:val="00E51650"/>
    <w:rsid w:val="00E52ADB"/>
    <w:rsid w:val="00E62D68"/>
    <w:rsid w:val="00E77EE6"/>
    <w:rsid w:val="00EA3252"/>
    <w:rsid w:val="00EC06DD"/>
    <w:rsid w:val="00EC55F9"/>
    <w:rsid w:val="00ED6C38"/>
    <w:rsid w:val="00F052DA"/>
    <w:rsid w:val="00F23DF0"/>
    <w:rsid w:val="00F5476C"/>
    <w:rsid w:val="00F80B73"/>
    <w:rsid w:val="00FF7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6B6B3"/>
  <w15:chartTrackingRefBased/>
  <w15:docId w15:val="{24D13FCF-CF58-4706-9587-F02F11E2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2F8"/>
    <w:rPr>
      <w:rFonts w:eastAsiaTheme="majorEastAsia" w:cstheme="majorBidi"/>
      <w:color w:val="272727" w:themeColor="text1" w:themeTint="D8"/>
    </w:rPr>
  </w:style>
  <w:style w:type="paragraph" w:styleId="Title">
    <w:name w:val="Title"/>
    <w:basedOn w:val="Normal"/>
    <w:next w:val="Normal"/>
    <w:link w:val="TitleChar"/>
    <w:uiPriority w:val="10"/>
    <w:qFormat/>
    <w:rsid w:val="00A83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2F8"/>
    <w:pPr>
      <w:spacing w:before="160"/>
      <w:jc w:val="center"/>
    </w:pPr>
    <w:rPr>
      <w:i/>
      <w:iCs/>
      <w:color w:val="404040" w:themeColor="text1" w:themeTint="BF"/>
    </w:rPr>
  </w:style>
  <w:style w:type="character" w:customStyle="1" w:styleId="QuoteChar">
    <w:name w:val="Quote Char"/>
    <w:basedOn w:val="DefaultParagraphFont"/>
    <w:link w:val="Quote"/>
    <w:uiPriority w:val="29"/>
    <w:rsid w:val="00A832F8"/>
    <w:rPr>
      <w:i/>
      <w:iCs/>
      <w:color w:val="404040" w:themeColor="text1" w:themeTint="BF"/>
    </w:rPr>
  </w:style>
  <w:style w:type="paragraph" w:styleId="ListParagraph">
    <w:name w:val="List Paragraph"/>
    <w:basedOn w:val="Normal"/>
    <w:uiPriority w:val="34"/>
    <w:qFormat/>
    <w:rsid w:val="00A832F8"/>
    <w:pPr>
      <w:ind w:left="720"/>
      <w:contextualSpacing/>
    </w:pPr>
  </w:style>
  <w:style w:type="character" w:styleId="IntenseEmphasis">
    <w:name w:val="Intense Emphasis"/>
    <w:basedOn w:val="DefaultParagraphFont"/>
    <w:uiPriority w:val="21"/>
    <w:qFormat/>
    <w:rsid w:val="00A832F8"/>
    <w:rPr>
      <w:i/>
      <w:iCs/>
      <w:color w:val="0F4761" w:themeColor="accent1" w:themeShade="BF"/>
    </w:rPr>
  </w:style>
  <w:style w:type="paragraph" w:styleId="IntenseQuote">
    <w:name w:val="Intense Quote"/>
    <w:basedOn w:val="Normal"/>
    <w:next w:val="Normal"/>
    <w:link w:val="IntenseQuoteChar"/>
    <w:uiPriority w:val="30"/>
    <w:qFormat/>
    <w:rsid w:val="00A83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2F8"/>
    <w:rPr>
      <w:i/>
      <w:iCs/>
      <w:color w:val="0F4761" w:themeColor="accent1" w:themeShade="BF"/>
    </w:rPr>
  </w:style>
  <w:style w:type="character" w:styleId="IntenseReference">
    <w:name w:val="Intense Reference"/>
    <w:basedOn w:val="DefaultParagraphFont"/>
    <w:uiPriority w:val="32"/>
    <w:qFormat/>
    <w:rsid w:val="00A832F8"/>
    <w:rPr>
      <w:b/>
      <w:bCs/>
      <w:smallCaps/>
      <w:color w:val="0F4761" w:themeColor="accent1" w:themeShade="BF"/>
      <w:spacing w:val="5"/>
    </w:rPr>
  </w:style>
  <w:style w:type="paragraph" w:styleId="Header">
    <w:name w:val="header"/>
    <w:basedOn w:val="Normal"/>
    <w:link w:val="HeaderChar"/>
    <w:uiPriority w:val="99"/>
    <w:unhideWhenUsed/>
    <w:rsid w:val="004C0F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0F72"/>
  </w:style>
  <w:style w:type="paragraph" w:styleId="Footer">
    <w:name w:val="footer"/>
    <w:basedOn w:val="Normal"/>
    <w:link w:val="FooterChar"/>
    <w:uiPriority w:val="99"/>
    <w:unhideWhenUsed/>
    <w:rsid w:val="004C0F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0F72"/>
  </w:style>
  <w:style w:type="table" w:styleId="TableGrid">
    <w:name w:val="Table Grid"/>
    <w:basedOn w:val="TableNormal"/>
    <w:uiPriority w:val="39"/>
    <w:rsid w:val="00F23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03698"/>
    <w:pPr>
      <w:numPr>
        <w:numId w:val="5"/>
      </w:numPr>
    </w:pPr>
  </w:style>
  <w:style w:type="paragraph" w:styleId="TOCHeading">
    <w:name w:val="TOC Heading"/>
    <w:basedOn w:val="Heading1"/>
    <w:next w:val="Normal"/>
    <w:uiPriority w:val="39"/>
    <w:unhideWhenUsed/>
    <w:qFormat/>
    <w:rsid w:val="00827C1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27C1C"/>
    <w:pPr>
      <w:spacing w:after="100"/>
    </w:pPr>
  </w:style>
  <w:style w:type="paragraph" w:styleId="TOC2">
    <w:name w:val="toc 2"/>
    <w:basedOn w:val="Normal"/>
    <w:next w:val="Normal"/>
    <w:autoRedefine/>
    <w:uiPriority w:val="39"/>
    <w:unhideWhenUsed/>
    <w:rsid w:val="00827C1C"/>
    <w:pPr>
      <w:spacing w:after="100"/>
      <w:ind w:left="240"/>
    </w:pPr>
  </w:style>
  <w:style w:type="character" w:styleId="Hyperlink">
    <w:name w:val="Hyperlink"/>
    <w:basedOn w:val="DefaultParagraphFont"/>
    <w:uiPriority w:val="99"/>
    <w:unhideWhenUsed/>
    <w:rsid w:val="00827C1C"/>
    <w:rPr>
      <w:color w:val="467886" w:themeColor="hyperlink"/>
      <w:u w:val="single"/>
    </w:rPr>
  </w:style>
  <w:style w:type="character" w:styleId="UnresolvedMention">
    <w:name w:val="Unresolved Mention"/>
    <w:basedOn w:val="DefaultParagraphFont"/>
    <w:uiPriority w:val="99"/>
    <w:semiHidden/>
    <w:unhideWhenUsed/>
    <w:rsid w:val="00A87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ordorintelligence.com/industry-reports/us-aviation-marke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aa.gov/data_research/aviation/aerospace_forecasts/2025-faa-aerospace-forecasts.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2.q4cdn.com/181345880/files/doc_financials/2025/q4/DAL-12-31-2025-10K-2-10-26-Filed.pdf" TargetMode="External"/><Relationship Id="rId5" Type="http://schemas.openxmlformats.org/officeDocument/2006/relationships/webSettings" Target="webSettings.xml"/><Relationship Id="rId15" Type="http://schemas.openxmlformats.org/officeDocument/2006/relationships/hyperlink" Target="https://www.spglobal.com/ratings/en/credit-ratings/about/understanding-credit-ratings" TargetMode="External"/><Relationship Id="rId10" Type="http://schemas.openxmlformats.org/officeDocument/2006/relationships/hyperlink" Target="https://news.delta.com/moodys-upgrades-deltas-credit-ratin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ranstats.bts.gov" TargetMode="External"/><Relationship Id="rId14" Type="http://schemas.openxmlformats.org/officeDocument/2006/relationships/hyperlink" Target="https://www.researchandmarkets.com/reports/6096286/united-states-aviation-market-report-forecast?utm_source=GNE&amp;utm_medium=PressRelease&amp;utm_code=vrmxc7&amp;utm_campaign=2072799+-+U.S.+Aviation+Market+Opportunities+2025-2034%3a+Significant+Advancements+in+the+Development+of+Sustainable+Aviation+Fuels+in+the+Far+West+Driving+Growth&amp;utm_exec=jocams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CB636-14A4-4D6D-BA4B-C0358EC3C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14</Pages>
  <Words>4619</Words>
  <Characters>26334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Óscar Eduardo Rocha Mora</dc:creator>
  <cp:keywords/>
  <dc:description/>
  <cp:lastModifiedBy>Óscar Eduardo Rocha Mora</cp:lastModifiedBy>
  <cp:revision>98</cp:revision>
  <dcterms:created xsi:type="dcterms:W3CDTF">2026-03-27T23:08:00Z</dcterms:created>
  <dcterms:modified xsi:type="dcterms:W3CDTF">2026-04-08T15:39:00Z</dcterms:modified>
</cp:coreProperties>
</file>