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96B2" w14:textId="77777777" w:rsidR="003B47FE" w:rsidRPr="003B47FE" w:rsidRDefault="003B47FE" w:rsidP="003B47FE">
      <w:pPr>
        <w:rPr>
          <w:lang w:val="es-CR"/>
        </w:rPr>
      </w:pPr>
      <w:r>
        <w:rPr>
          <w:lang w:val="es-CR"/>
        </w:rPr>
        <w:t xml:space="preserve">Primer reporte analista - </w:t>
      </w:r>
      <w:r w:rsidRPr="003B47FE">
        <w:rPr>
          <w:lang w:val="es-CR"/>
        </w:rPr>
        <w:t>“PD (morosidad)” o “PD agregada (morosidad)”</w:t>
      </w:r>
    </w:p>
    <w:p w14:paraId="5B80213A" w14:textId="0862EB8E" w:rsidR="00B440F1" w:rsidRDefault="003B47FE" w:rsidP="003B47FE">
      <w:pPr>
        <w:rPr>
          <w:lang w:val="es-CR"/>
        </w:rPr>
      </w:pPr>
      <w:r w:rsidRPr="003B47FE">
        <w:rPr>
          <w:lang w:val="es-CR"/>
        </w:rPr>
        <w:t xml:space="preserve">(y listo: es un indicador de probabilidad de incumplimiento a nivel agregado, no préstamo a préstamo; eso lo </w:t>
      </w:r>
      <w:proofErr w:type="spellStart"/>
      <w:r w:rsidRPr="003B47FE">
        <w:rPr>
          <w:lang w:val="es-CR"/>
        </w:rPr>
        <w:t>aclarás</w:t>
      </w:r>
      <w:proofErr w:type="spellEnd"/>
      <w:r w:rsidRPr="003B47FE">
        <w:rPr>
          <w:lang w:val="es-CR"/>
        </w:rPr>
        <w:t xml:space="preserve"> en 1 línea en metodología, sin usar la palabra proxy).</w:t>
      </w:r>
    </w:p>
    <w:p w14:paraId="758D9591" w14:textId="12E6AFD7" w:rsidR="003B47FE" w:rsidRDefault="003B47FE" w:rsidP="003B47FE">
      <w:pPr>
        <w:rPr>
          <w:lang w:val="es-CR"/>
        </w:rPr>
      </w:pPr>
      <w:r w:rsidRPr="003B47FE">
        <w:rPr>
          <w:lang w:val="es-CR"/>
        </w:rPr>
        <w:t>PD (morosidad): se utiliza la tasa de morosidad del sistema/sector como indicador agregado de incumplimiento para análisis econométrico y escenarios.</w:t>
      </w:r>
    </w:p>
    <w:p w14:paraId="5D2A45FB" w14:textId="09728CD4" w:rsidR="003B47FE" w:rsidRDefault="003B47FE" w:rsidP="003B47FE">
      <w:pPr>
        <w:rPr>
          <w:lang w:val="es-CR"/>
        </w:rPr>
      </w:pPr>
      <w:r w:rsidRPr="003B47FE">
        <w:rPr>
          <w:lang w:val="es-CR"/>
        </w:rPr>
        <w:drawing>
          <wp:inline distT="0" distB="0" distL="0" distR="0" wp14:anchorId="0A914A3B" wp14:editId="10505FC5">
            <wp:extent cx="5943600" cy="762635"/>
            <wp:effectExtent l="0" t="0" r="0" b="0"/>
            <wp:docPr id="84702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3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A187" w14:textId="77777777" w:rsidR="003B47FE" w:rsidRDefault="003B47FE" w:rsidP="003B47FE">
      <w:pPr>
        <w:rPr>
          <w:lang w:val="es-CR"/>
        </w:rPr>
      </w:pPr>
    </w:p>
    <w:p w14:paraId="54947A71" w14:textId="0AC2296F" w:rsidR="003B47FE" w:rsidRPr="003B47FE" w:rsidRDefault="003B47FE" w:rsidP="003B47FE">
      <w:pPr>
        <w:rPr>
          <w:lang w:val="es-CR"/>
        </w:rPr>
      </w:pPr>
      <w:r w:rsidRPr="003B47FE">
        <w:rPr>
          <w:lang w:val="es-CR"/>
        </w:rPr>
        <w:t>Sí: mejor usar CONASSIF 14-21 como base. Es la normativa “central” de clasificación y estimación de incobrabilidad en Costa Rica para entidades supervisadas, y además te da una lectura más consistente para el SFN.</w:t>
      </w:r>
    </w:p>
    <w:p w14:paraId="70B1E7D4" w14:textId="3AC6B7AA" w:rsidR="003B47FE" w:rsidRPr="003B47FE" w:rsidRDefault="003B47FE" w:rsidP="003B47FE">
      <w:pPr>
        <w:rPr>
          <w:lang w:val="es-CR"/>
        </w:rPr>
      </w:pPr>
      <w:r w:rsidRPr="003B47FE">
        <w:rPr>
          <w:lang w:val="es-CR"/>
        </w:rPr>
        <w:t>Cómo decidirlo sin enredos:</w:t>
      </w:r>
    </w:p>
    <w:p w14:paraId="4B0F8EAE" w14:textId="7480C2E8" w:rsidR="003B47FE" w:rsidRPr="003B47FE" w:rsidRDefault="003B47FE" w:rsidP="003B47FE">
      <w:pPr>
        <w:rPr>
          <w:lang w:val="es-CR"/>
        </w:rPr>
      </w:pPr>
      <w:r w:rsidRPr="003B47FE">
        <w:rPr>
          <w:lang w:val="es-CR"/>
        </w:rPr>
        <w:t>Recomendación</w:t>
      </w:r>
    </w:p>
    <w:p w14:paraId="1D814EFB" w14:textId="55BC3135" w:rsidR="003B47FE" w:rsidRPr="003B47FE" w:rsidRDefault="003B47FE" w:rsidP="003B47FE">
      <w:pPr>
        <w:rPr>
          <w:lang w:val="es-CR"/>
        </w:rPr>
      </w:pPr>
      <w:r w:rsidRPr="003B47FE">
        <w:rPr>
          <w:rFonts w:ascii="Segoe UI Emoji" w:hAnsi="Segoe UI Emoji" w:cs="Segoe UI Emoji"/>
          <w:lang w:val="es-CR"/>
        </w:rPr>
        <w:t>✅</w:t>
      </w:r>
      <w:r w:rsidRPr="003B47FE">
        <w:rPr>
          <w:lang w:val="es-CR"/>
        </w:rPr>
        <w:t xml:space="preserve"> </w:t>
      </w:r>
      <w:proofErr w:type="spellStart"/>
      <w:r w:rsidRPr="003B47FE">
        <w:rPr>
          <w:lang w:val="es-CR"/>
        </w:rPr>
        <w:t>Usá</w:t>
      </w:r>
      <w:proofErr w:type="spellEnd"/>
      <w:r w:rsidRPr="003B47FE">
        <w:rPr>
          <w:lang w:val="es-CR"/>
        </w:rPr>
        <w:t xml:space="preserve"> CONASSIF 14-21 (principal)</w:t>
      </w:r>
    </w:p>
    <w:p w14:paraId="4B4C0652" w14:textId="2FB8ACB3" w:rsidR="003B47FE" w:rsidRPr="003B47FE" w:rsidRDefault="003B47FE" w:rsidP="003B47FE">
      <w:pPr>
        <w:rPr>
          <w:lang w:val="es-CR"/>
        </w:rPr>
      </w:pPr>
      <w:r w:rsidRPr="003B47FE">
        <w:rPr>
          <w:lang w:val="es-CR"/>
        </w:rPr>
        <w:t>¿Por qué?</w:t>
      </w:r>
    </w:p>
    <w:p w14:paraId="668EEB0E" w14:textId="5AC61ED3" w:rsidR="003B47FE" w:rsidRPr="003B47FE" w:rsidRDefault="003B47FE" w:rsidP="003B47FE">
      <w:pPr>
        <w:rPr>
          <w:lang w:val="es-CR"/>
        </w:rPr>
      </w:pPr>
      <w:r w:rsidRPr="003B47FE">
        <w:rPr>
          <w:lang w:val="es-CR"/>
        </w:rPr>
        <w:t>Es la que aplica de forma más general al SFN para clasificación por mora / riesgo crediticio.</w:t>
      </w:r>
    </w:p>
    <w:p w14:paraId="0B41C918" w14:textId="7D996FA6" w:rsidR="003B47FE" w:rsidRPr="003B47FE" w:rsidRDefault="003B47FE" w:rsidP="003B47FE">
      <w:pPr>
        <w:rPr>
          <w:lang w:val="es-CR"/>
        </w:rPr>
      </w:pPr>
      <w:r w:rsidRPr="003B47FE">
        <w:rPr>
          <w:lang w:val="es-CR"/>
        </w:rPr>
        <w:t>Te evita mezclar criterios si SBD 15-16 aplica a un subconjunto o condiciones particulares.</w:t>
      </w:r>
    </w:p>
    <w:p w14:paraId="49017CD7" w14:textId="5F000C34" w:rsidR="003B47FE" w:rsidRDefault="003B47FE" w:rsidP="003B47FE">
      <w:pPr>
        <w:rPr>
          <w:lang w:val="es-CR"/>
        </w:rPr>
      </w:pPr>
      <w:r w:rsidRPr="003B47FE">
        <w:rPr>
          <w:lang w:val="es-CR"/>
        </w:rPr>
        <w:t>Te deja el reporte más fácil de defender: “PD (morosidad) según clasificación regulatoria CONASSIF 14-21”.</w:t>
      </w:r>
    </w:p>
    <w:p w14:paraId="1A764DF6" w14:textId="2991F210" w:rsidR="003B47FE" w:rsidRDefault="003B47FE" w:rsidP="003B47FE">
      <w:pPr>
        <w:rPr>
          <w:lang w:val="es-CR"/>
        </w:rPr>
      </w:pPr>
      <w:r w:rsidRPr="003B47FE">
        <w:rPr>
          <w:lang w:val="es-CR"/>
        </w:rPr>
        <w:t>Se utiliza CONASSIF 14-21 para consistencia; otras normativas específicas no se incorporan.”</w:t>
      </w:r>
    </w:p>
    <w:p w14:paraId="51A78B31" w14:textId="148A04A1" w:rsidR="003D1DBB" w:rsidRDefault="003D1DBB" w:rsidP="003B47FE">
      <w:pPr>
        <w:rPr>
          <w:lang w:val="es-CR"/>
        </w:rPr>
      </w:pPr>
      <w:r w:rsidRPr="003D1DBB">
        <w:rPr>
          <w:lang w:val="es-CR"/>
        </w:rPr>
        <w:drawing>
          <wp:inline distT="0" distB="0" distL="0" distR="0" wp14:anchorId="0DE046EB" wp14:editId="0468B9E1">
            <wp:extent cx="5943600" cy="1223645"/>
            <wp:effectExtent l="0" t="0" r="0" b="0"/>
            <wp:docPr id="101913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0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88C1" w14:textId="77777777" w:rsidR="007577F9" w:rsidRDefault="007577F9" w:rsidP="003B47FE">
      <w:pPr>
        <w:rPr>
          <w:lang w:val="es-CR"/>
        </w:rPr>
      </w:pPr>
    </w:p>
    <w:p w14:paraId="1E63420A" w14:textId="77777777" w:rsidR="007577F9" w:rsidRPr="007577F9" w:rsidRDefault="007577F9" w:rsidP="007577F9">
      <w:r w:rsidRPr="007577F9">
        <w:t>library(</w:t>
      </w:r>
      <w:proofErr w:type="spellStart"/>
      <w:r w:rsidRPr="007577F9">
        <w:t>tidyverse</w:t>
      </w:r>
      <w:proofErr w:type="spellEnd"/>
      <w:r w:rsidRPr="007577F9">
        <w:t>)</w:t>
      </w:r>
    </w:p>
    <w:p w14:paraId="60E93161" w14:textId="77777777" w:rsidR="007577F9" w:rsidRPr="007577F9" w:rsidRDefault="007577F9" w:rsidP="007577F9">
      <w:r w:rsidRPr="007577F9">
        <w:lastRenderedPageBreak/>
        <w:t>library(</w:t>
      </w:r>
      <w:proofErr w:type="spellStart"/>
      <w:r w:rsidRPr="007577F9">
        <w:t>lubridate</w:t>
      </w:r>
      <w:proofErr w:type="spellEnd"/>
      <w:r w:rsidRPr="007577F9">
        <w:t>)</w:t>
      </w:r>
    </w:p>
    <w:p w14:paraId="6D183578" w14:textId="77777777" w:rsidR="007577F9" w:rsidRPr="007577F9" w:rsidRDefault="007577F9" w:rsidP="007577F9">
      <w:r w:rsidRPr="007577F9">
        <w:t>library(broom)</w:t>
      </w:r>
    </w:p>
    <w:p w14:paraId="54C837A0" w14:textId="77777777" w:rsidR="007577F9" w:rsidRPr="007577F9" w:rsidRDefault="007577F9" w:rsidP="007577F9"/>
    <w:p w14:paraId="200AD8DB" w14:textId="77777777" w:rsidR="007577F9" w:rsidRPr="007577F9" w:rsidRDefault="007577F9" w:rsidP="007577F9">
      <w:r w:rsidRPr="007577F9">
        <w:t xml:space="preserve">pd &lt;- </w:t>
      </w:r>
      <w:proofErr w:type="spellStart"/>
      <w:r w:rsidRPr="007577F9">
        <w:t>read_csv</w:t>
      </w:r>
      <w:proofErr w:type="spellEnd"/>
      <w:r w:rsidRPr="007577F9">
        <w:t>("PD_SFN_90plus_2024-01_2026-01.csv") %&gt;%</w:t>
      </w:r>
    </w:p>
    <w:p w14:paraId="5B2E1A54" w14:textId="77777777" w:rsidR="007577F9" w:rsidRPr="007577F9" w:rsidRDefault="007577F9" w:rsidP="007577F9">
      <w:r w:rsidRPr="007577F9">
        <w:t xml:space="preserve">  </w:t>
      </w:r>
      <w:proofErr w:type="gramStart"/>
      <w:r w:rsidRPr="007577F9">
        <w:t>mutate(</w:t>
      </w:r>
      <w:proofErr w:type="gramEnd"/>
      <w:r w:rsidRPr="007577F9">
        <w:t xml:space="preserve">date = </w:t>
      </w:r>
      <w:proofErr w:type="spellStart"/>
      <w:r w:rsidRPr="007577F9">
        <w:t>ym</w:t>
      </w:r>
      <w:proofErr w:type="spellEnd"/>
      <w:r w:rsidRPr="007577F9">
        <w:t>(date),</w:t>
      </w:r>
    </w:p>
    <w:p w14:paraId="12B50161" w14:textId="77777777" w:rsidR="007577F9" w:rsidRPr="007577F9" w:rsidRDefault="007577F9" w:rsidP="007577F9">
      <w:r w:rsidRPr="007577F9">
        <w:t xml:space="preserve">         PD = PD_90plus_pct/100) %</w:t>
      </w:r>
      <w:proofErr w:type="gramStart"/>
      <w:r w:rsidRPr="007577F9">
        <w:t>&gt;%   #</w:t>
      </w:r>
      <w:proofErr w:type="gramEnd"/>
      <w:r w:rsidRPr="007577F9">
        <w:t xml:space="preserve"> PD </w:t>
      </w:r>
      <w:proofErr w:type="spellStart"/>
      <w:r w:rsidRPr="007577F9">
        <w:t>en</w:t>
      </w:r>
      <w:proofErr w:type="spellEnd"/>
      <w:r w:rsidRPr="007577F9">
        <w:t xml:space="preserve"> decimal</w:t>
      </w:r>
    </w:p>
    <w:p w14:paraId="45029931" w14:textId="77777777" w:rsidR="007577F9" w:rsidRPr="007577F9" w:rsidRDefault="007577F9" w:rsidP="007577F9">
      <w:r w:rsidRPr="007577F9">
        <w:t xml:space="preserve">  </w:t>
      </w:r>
      <w:proofErr w:type="gramStart"/>
      <w:r w:rsidRPr="007577F9">
        <w:t>select(</w:t>
      </w:r>
      <w:proofErr w:type="gramEnd"/>
      <w:r w:rsidRPr="007577F9">
        <w:t>date, PD)</w:t>
      </w:r>
    </w:p>
    <w:p w14:paraId="0FBBB410" w14:textId="77777777" w:rsidR="007577F9" w:rsidRPr="007577F9" w:rsidRDefault="007577F9" w:rsidP="007577F9"/>
    <w:p w14:paraId="2EF77353" w14:textId="77777777" w:rsidR="007577F9" w:rsidRPr="007577F9" w:rsidRDefault="007577F9" w:rsidP="007577F9">
      <w:r w:rsidRPr="007577F9">
        <w:t xml:space="preserve">macro &lt;- </w:t>
      </w:r>
      <w:proofErr w:type="spellStart"/>
      <w:r w:rsidRPr="007577F9">
        <w:t>read_csv</w:t>
      </w:r>
      <w:proofErr w:type="spellEnd"/>
      <w:r w:rsidRPr="007577F9">
        <w:t>("macro.csv") %&gt;%</w:t>
      </w:r>
    </w:p>
    <w:p w14:paraId="661002C1" w14:textId="77777777" w:rsidR="007577F9" w:rsidRPr="007577F9" w:rsidRDefault="007577F9" w:rsidP="007577F9">
      <w:r w:rsidRPr="007577F9">
        <w:t xml:space="preserve">  </w:t>
      </w:r>
      <w:proofErr w:type="gramStart"/>
      <w:r w:rsidRPr="007577F9">
        <w:t>mutate(</w:t>
      </w:r>
      <w:proofErr w:type="gramEnd"/>
      <w:r w:rsidRPr="007577F9">
        <w:t xml:space="preserve">date = </w:t>
      </w:r>
      <w:proofErr w:type="spellStart"/>
      <w:r w:rsidRPr="007577F9">
        <w:t>ym</w:t>
      </w:r>
      <w:proofErr w:type="spellEnd"/>
      <w:r w:rsidRPr="007577F9">
        <w:t>(date)) %&gt;%</w:t>
      </w:r>
    </w:p>
    <w:p w14:paraId="0F468A85" w14:textId="77777777" w:rsidR="007577F9" w:rsidRPr="007577F9" w:rsidRDefault="007577F9" w:rsidP="007577F9">
      <w:r w:rsidRPr="007577F9">
        <w:t xml:space="preserve">  </w:t>
      </w:r>
      <w:proofErr w:type="gramStart"/>
      <w:r w:rsidRPr="007577F9">
        <w:t>select(</w:t>
      </w:r>
      <w:proofErr w:type="gramEnd"/>
      <w:r w:rsidRPr="007577F9">
        <w:t>date, TPM, FX, INF)</w:t>
      </w:r>
    </w:p>
    <w:p w14:paraId="203CD314" w14:textId="77777777" w:rsidR="007577F9" w:rsidRPr="007577F9" w:rsidRDefault="007577F9" w:rsidP="007577F9"/>
    <w:p w14:paraId="587A7A09" w14:textId="77777777" w:rsidR="007577F9" w:rsidRPr="007577F9" w:rsidRDefault="007577F9" w:rsidP="007577F9">
      <w:proofErr w:type="spellStart"/>
      <w:r w:rsidRPr="007577F9">
        <w:t>df</w:t>
      </w:r>
      <w:proofErr w:type="spellEnd"/>
      <w:r w:rsidRPr="007577F9">
        <w:t xml:space="preserve"> &lt;- pd %&gt;%</w:t>
      </w:r>
    </w:p>
    <w:p w14:paraId="6DA887F4" w14:textId="77777777" w:rsidR="007577F9" w:rsidRPr="007577F9" w:rsidRDefault="007577F9" w:rsidP="007577F9">
      <w:r w:rsidRPr="007577F9">
        <w:t xml:space="preserve">  </w:t>
      </w:r>
      <w:proofErr w:type="spellStart"/>
      <w:r w:rsidRPr="007577F9">
        <w:t>left_</w:t>
      </w:r>
      <w:proofErr w:type="gramStart"/>
      <w:r w:rsidRPr="007577F9">
        <w:t>join</w:t>
      </w:r>
      <w:proofErr w:type="spellEnd"/>
      <w:r w:rsidRPr="007577F9">
        <w:t>(</w:t>
      </w:r>
      <w:proofErr w:type="gramEnd"/>
      <w:r w:rsidRPr="007577F9">
        <w:t>macro, by="date") %&gt;%</w:t>
      </w:r>
    </w:p>
    <w:p w14:paraId="75748FED" w14:textId="77777777" w:rsidR="007577F9" w:rsidRPr="007577F9" w:rsidRDefault="007577F9" w:rsidP="007577F9">
      <w:r w:rsidRPr="007577F9">
        <w:t xml:space="preserve">  arrange(date) %&gt;%</w:t>
      </w:r>
    </w:p>
    <w:p w14:paraId="13C273B5" w14:textId="77777777" w:rsidR="007577F9" w:rsidRPr="007577F9" w:rsidRDefault="007577F9" w:rsidP="007577F9">
      <w:r w:rsidRPr="007577F9">
        <w:t xml:space="preserve">  </w:t>
      </w:r>
      <w:proofErr w:type="gramStart"/>
      <w:r w:rsidRPr="007577F9">
        <w:t>mutate(</w:t>
      </w:r>
      <w:proofErr w:type="gramEnd"/>
    </w:p>
    <w:p w14:paraId="25DD9CEE" w14:textId="77777777" w:rsidR="007577F9" w:rsidRPr="007577F9" w:rsidRDefault="007577F9" w:rsidP="007577F9">
      <w:r w:rsidRPr="007577F9">
        <w:t xml:space="preserve">    </w:t>
      </w:r>
      <w:proofErr w:type="spellStart"/>
      <w:r w:rsidRPr="007577F9">
        <w:t>d_TPM</w:t>
      </w:r>
      <w:proofErr w:type="spellEnd"/>
      <w:r w:rsidRPr="007577F9">
        <w:t xml:space="preserve"> = TPM - </w:t>
      </w:r>
      <w:proofErr w:type="gramStart"/>
      <w:r w:rsidRPr="007577F9">
        <w:t>lag(</w:t>
      </w:r>
      <w:proofErr w:type="gramEnd"/>
      <w:r w:rsidRPr="007577F9">
        <w:t>TPM),</w:t>
      </w:r>
    </w:p>
    <w:p w14:paraId="41DA1673" w14:textId="77777777" w:rsidR="007577F9" w:rsidRPr="007577F9" w:rsidRDefault="007577F9" w:rsidP="007577F9">
      <w:r w:rsidRPr="007577F9">
        <w:t xml:space="preserve">    </w:t>
      </w:r>
      <w:proofErr w:type="spellStart"/>
      <w:r w:rsidRPr="007577F9">
        <w:t>d_</w:t>
      </w:r>
      <w:proofErr w:type="gramStart"/>
      <w:r w:rsidRPr="007577F9">
        <w:t>FX</w:t>
      </w:r>
      <w:proofErr w:type="spellEnd"/>
      <w:r w:rsidRPr="007577F9">
        <w:t xml:space="preserve">  =</w:t>
      </w:r>
      <w:proofErr w:type="gramEnd"/>
      <w:r w:rsidRPr="007577F9">
        <w:t xml:space="preserve"> </w:t>
      </w:r>
      <w:proofErr w:type="gramStart"/>
      <w:r w:rsidRPr="007577F9">
        <w:t>FX  -</w:t>
      </w:r>
      <w:proofErr w:type="gramEnd"/>
      <w:r w:rsidRPr="007577F9">
        <w:t xml:space="preserve"> </w:t>
      </w:r>
      <w:proofErr w:type="gramStart"/>
      <w:r w:rsidRPr="007577F9">
        <w:t>lag(</w:t>
      </w:r>
      <w:proofErr w:type="gramEnd"/>
      <w:r w:rsidRPr="007577F9">
        <w:t>FX)</w:t>
      </w:r>
    </w:p>
    <w:p w14:paraId="669C1843" w14:textId="77777777" w:rsidR="007577F9" w:rsidRPr="007577F9" w:rsidRDefault="007577F9" w:rsidP="007577F9">
      <w:r w:rsidRPr="007577F9">
        <w:t xml:space="preserve">  ) %&gt;%</w:t>
      </w:r>
    </w:p>
    <w:p w14:paraId="0D5B9E0E" w14:textId="77777777" w:rsidR="007577F9" w:rsidRPr="007577F9" w:rsidRDefault="007577F9" w:rsidP="007577F9">
      <w:r w:rsidRPr="007577F9">
        <w:t xml:space="preserve">  </w:t>
      </w:r>
      <w:proofErr w:type="spellStart"/>
      <w:r w:rsidRPr="007577F9">
        <w:t>drop_</w:t>
      </w:r>
      <w:proofErr w:type="gramStart"/>
      <w:r w:rsidRPr="007577F9">
        <w:t>na</w:t>
      </w:r>
      <w:proofErr w:type="spellEnd"/>
      <w:r w:rsidRPr="007577F9">
        <w:t>(</w:t>
      </w:r>
      <w:proofErr w:type="gramEnd"/>
      <w:r w:rsidRPr="007577F9">
        <w:t>)</w:t>
      </w:r>
    </w:p>
    <w:p w14:paraId="0ECB3F27" w14:textId="77777777" w:rsidR="007577F9" w:rsidRPr="007577F9" w:rsidRDefault="007577F9" w:rsidP="007577F9"/>
    <w:p w14:paraId="26427A42" w14:textId="77777777" w:rsidR="007577F9" w:rsidRPr="007577F9" w:rsidRDefault="007577F9" w:rsidP="007577F9">
      <w:r w:rsidRPr="007577F9">
        <w:t xml:space="preserve">m1 &lt;- </w:t>
      </w:r>
      <w:proofErr w:type="spellStart"/>
      <w:proofErr w:type="gramStart"/>
      <w:r w:rsidRPr="007577F9">
        <w:t>lm</w:t>
      </w:r>
      <w:proofErr w:type="spellEnd"/>
      <w:r w:rsidRPr="007577F9">
        <w:t>(</w:t>
      </w:r>
      <w:proofErr w:type="gramEnd"/>
      <w:r w:rsidRPr="007577F9">
        <w:t xml:space="preserve">PD ~ </w:t>
      </w:r>
      <w:proofErr w:type="spellStart"/>
      <w:r w:rsidRPr="007577F9">
        <w:t>d_TPM</w:t>
      </w:r>
      <w:proofErr w:type="spellEnd"/>
      <w:r w:rsidRPr="007577F9">
        <w:t xml:space="preserve"> + </w:t>
      </w:r>
      <w:proofErr w:type="spellStart"/>
      <w:r w:rsidRPr="007577F9">
        <w:t>d_FX</w:t>
      </w:r>
      <w:proofErr w:type="spellEnd"/>
      <w:r w:rsidRPr="007577F9">
        <w:t xml:space="preserve"> + INF, data=</w:t>
      </w:r>
      <w:proofErr w:type="spellStart"/>
      <w:r w:rsidRPr="007577F9">
        <w:t>df</w:t>
      </w:r>
      <w:proofErr w:type="spellEnd"/>
      <w:r w:rsidRPr="007577F9">
        <w:t>)</w:t>
      </w:r>
    </w:p>
    <w:p w14:paraId="5F590D91" w14:textId="77777777" w:rsidR="007577F9" w:rsidRPr="007577F9" w:rsidRDefault="007577F9" w:rsidP="007577F9">
      <w:r w:rsidRPr="007577F9">
        <w:t>summary(m1)</w:t>
      </w:r>
    </w:p>
    <w:p w14:paraId="766A5A79" w14:textId="77777777" w:rsidR="007577F9" w:rsidRPr="007577F9" w:rsidRDefault="007577F9" w:rsidP="007577F9">
      <w:proofErr w:type="gramStart"/>
      <w:r w:rsidRPr="007577F9">
        <w:t>tidy(</w:t>
      </w:r>
      <w:proofErr w:type="gramEnd"/>
      <w:r w:rsidRPr="007577F9">
        <w:t>m1, conf.int = TRUE)</w:t>
      </w:r>
    </w:p>
    <w:p w14:paraId="691DDC40" w14:textId="77777777" w:rsidR="007577F9" w:rsidRPr="007577F9" w:rsidRDefault="007577F9" w:rsidP="007577F9"/>
    <w:p w14:paraId="39976CAD" w14:textId="77777777" w:rsidR="007577F9" w:rsidRPr="007577F9" w:rsidRDefault="007577F9" w:rsidP="007577F9">
      <w:proofErr w:type="spellStart"/>
      <w:r w:rsidRPr="007577F9">
        <w:t>df$pred</w:t>
      </w:r>
      <w:proofErr w:type="spellEnd"/>
      <w:r w:rsidRPr="007577F9">
        <w:t xml:space="preserve"> &lt;- </w:t>
      </w:r>
      <w:proofErr w:type="gramStart"/>
      <w:r w:rsidRPr="007577F9">
        <w:t>predict(</w:t>
      </w:r>
      <w:proofErr w:type="gramEnd"/>
      <w:r w:rsidRPr="007577F9">
        <w:t xml:space="preserve">m1, </w:t>
      </w:r>
      <w:proofErr w:type="spellStart"/>
      <w:r w:rsidRPr="007577F9">
        <w:t>newdata</w:t>
      </w:r>
      <w:proofErr w:type="spellEnd"/>
      <w:r w:rsidRPr="007577F9">
        <w:t>=</w:t>
      </w:r>
      <w:proofErr w:type="spellStart"/>
      <w:r w:rsidRPr="007577F9">
        <w:t>df</w:t>
      </w:r>
      <w:proofErr w:type="spellEnd"/>
      <w:r w:rsidRPr="007577F9">
        <w:t>)</w:t>
      </w:r>
    </w:p>
    <w:p w14:paraId="0130F222" w14:textId="77777777" w:rsidR="007577F9" w:rsidRPr="007577F9" w:rsidRDefault="007577F9" w:rsidP="007577F9"/>
    <w:p w14:paraId="4DC5A831" w14:textId="77777777" w:rsidR="007577F9" w:rsidRPr="007577F9" w:rsidRDefault="007577F9" w:rsidP="007577F9">
      <w:proofErr w:type="spellStart"/>
      <w:proofErr w:type="gramStart"/>
      <w:r w:rsidRPr="007577F9">
        <w:t>ggplot</w:t>
      </w:r>
      <w:proofErr w:type="spellEnd"/>
      <w:r w:rsidRPr="007577F9">
        <w:t>(</w:t>
      </w:r>
      <w:proofErr w:type="spellStart"/>
      <w:proofErr w:type="gramEnd"/>
      <w:r w:rsidRPr="007577F9">
        <w:t>df</w:t>
      </w:r>
      <w:proofErr w:type="spellEnd"/>
      <w:r w:rsidRPr="007577F9">
        <w:t xml:space="preserve">, </w:t>
      </w:r>
      <w:proofErr w:type="spellStart"/>
      <w:r w:rsidRPr="007577F9">
        <w:t>aes</w:t>
      </w:r>
      <w:proofErr w:type="spellEnd"/>
      <w:r w:rsidRPr="007577F9">
        <w:t>(date)) +</w:t>
      </w:r>
    </w:p>
    <w:p w14:paraId="32D22F3A" w14:textId="77777777" w:rsidR="007577F9" w:rsidRPr="007577F9" w:rsidRDefault="007577F9" w:rsidP="007577F9">
      <w:r w:rsidRPr="007577F9">
        <w:t xml:space="preserve">  </w:t>
      </w:r>
      <w:proofErr w:type="spellStart"/>
      <w:r w:rsidRPr="007577F9">
        <w:t>geom_line</w:t>
      </w:r>
      <w:proofErr w:type="spellEnd"/>
      <w:r w:rsidRPr="007577F9">
        <w:t>(</w:t>
      </w:r>
      <w:proofErr w:type="spellStart"/>
      <w:r w:rsidRPr="007577F9">
        <w:t>aes</w:t>
      </w:r>
      <w:proofErr w:type="spellEnd"/>
      <w:r w:rsidRPr="007577F9">
        <w:t>(y=PD)) +</w:t>
      </w:r>
    </w:p>
    <w:p w14:paraId="446A97B1" w14:textId="77777777" w:rsidR="007577F9" w:rsidRPr="007577F9" w:rsidRDefault="007577F9" w:rsidP="007577F9">
      <w:r w:rsidRPr="007577F9">
        <w:t xml:space="preserve">  </w:t>
      </w:r>
      <w:proofErr w:type="spellStart"/>
      <w:r w:rsidRPr="007577F9">
        <w:t>geom_line</w:t>
      </w:r>
      <w:proofErr w:type="spellEnd"/>
      <w:r w:rsidRPr="007577F9">
        <w:t>(</w:t>
      </w:r>
      <w:proofErr w:type="spellStart"/>
      <w:r w:rsidRPr="007577F9">
        <w:t>aes</w:t>
      </w:r>
      <w:proofErr w:type="spellEnd"/>
      <w:r w:rsidRPr="007577F9">
        <w:t xml:space="preserve">(y=pred), </w:t>
      </w:r>
      <w:proofErr w:type="spellStart"/>
      <w:proofErr w:type="gramStart"/>
      <w:r w:rsidRPr="007577F9">
        <w:t>linetype</w:t>
      </w:r>
      <w:proofErr w:type="spellEnd"/>
      <w:proofErr w:type="gramEnd"/>
      <w:r w:rsidRPr="007577F9">
        <w:t>=2) +</w:t>
      </w:r>
    </w:p>
    <w:p w14:paraId="75E220DF" w14:textId="484A300D" w:rsidR="007577F9" w:rsidRDefault="007577F9" w:rsidP="007577F9">
      <w:pPr>
        <w:rPr>
          <w:lang w:val="es-CR"/>
        </w:rPr>
      </w:pPr>
      <w:r w:rsidRPr="007577F9">
        <w:t xml:space="preserve">  </w:t>
      </w:r>
      <w:proofErr w:type="spellStart"/>
      <w:proofErr w:type="gramStart"/>
      <w:r w:rsidRPr="007577F9">
        <w:rPr>
          <w:lang w:val="es-CR"/>
        </w:rPr>
        <w:t>labs</w:t>
      </w:r>
      <w:proofErr w:type="spellEnd"/>
      <w:r w:rsidRPr="007577F9">
        <w:rPr>
          <w:lang w:val="es-CR"/>
        </w:rPr>
        <w:t>(</w:t>
      </w:r>
      <w:proofErr w:type="spellStart"/>
      <w:proofErr w:type="gramEnd"/>
      <w:r w:rsidRPr="007577F9">
        <w:rPr>
          <w:lang w:val="es-CR"/>
        </w:rPr>
        <w:t>title</w:t>
      </w:r>
      <w:proofErr w:type="spellEnd"/>
      <w:r w:rsidRPr="007577F9">
        <w:rPr>
          <w:lang w:val="es-CR"/>
        </w:rPr>
        <w:t>="PD observada vs predicha", y="PD", x="")</w:t>
      </w:r>
    </w:p>
    <w:p w14:paraId="4AAB78F5" w14:textId="77777777" w:rsidR="00365C6E" w:rsidRDefault="00365C6E" w:rsidP="007577F9">
      <w:pPr>
        <w:rPr>
          <w:lang w:val="es-CR"/>
        </w:rPr>
      </w:pPr>
    </w:p>
    <w:p w14:paraId="1AA79709" w14:textId="2A0F6DAD" w:rsidR="00365C6E" w:rsidRDefault="00365C6E" w:rsidP="007577F9">
      <w:pPr>
        <w:rPr>
          <w:lang w:val="es-CR"/>
        </w:rPr>
      </w:pPr>
      <w:r w:rsidRPr="00365C6E">
        <w:rPr>
          <w:lang w:val="es-CR"/>
        </w:rPr>
        <w:t xml:space="preserve">“Se define PD (morosidad) 90+ como la proporción de la cartera con atraso ≥91 días (91–180 y &gt;180) más cobro judicial, respecto a la cartera total. La cartera total se obtiene sumando los saldos principales por </w:t>
      </w:r>
      <w:proofErr w:type="spellStart"/>
      <w:r w:rsidRPr="00365C6E">
        <w:rPr>
          <w:lang w:val="es-CR"/>
        </w:rPr>
        <w:t>bucket</w:t>
      </w:r>
      <w:proofErr w:type="spellEnd"/>
      <w:r w:rsidRPr="00365C6E">
        <w:rPr>
          <w:lang w:val="es-CR"/>
        </w:rPr>
        <w:t xml:space="preserve"> de días de atraso reportados por SUGEF (CONASSIF 14-21) para el SFN.”</w:t>
      </w:r>
    </w:p>
    <w:p w14:paraId="416D672F" w14:textId="57FD3FF6" w:rsidR="00AF5B84" w:rsidRDefault="00AF5B84" w:rsidP="007577F9">
      <w:pPr>
        <w:rPr>
          <w:lang w:val="es-CR"/>
        </w:rPr>
      </w:pPr>
      <w:r w:rsidRPr="00AF5B84">
        <w:rPr>
          <w:lang w:val="es-CR"/>
        </w:rPr>
        <w:t>“Se calcula el indicador SUGEF ‘Morosidad mayor a 90 días y cobro judicial / Cartera Directa’ agregando los rubros 91–180, &gt;180 y Cobro judicial del reporte de días de atraso, y dividiéndolos entre el total de la cartera.”</w:t>
      </w:r>
    </w:p>
    <w:p w14:paraId="686A2EAF" w14:textId="5A779A5C" w:rsidR="00F76576" w:rsidRDefault="00F76576" w:rsidP="007577F9">
      <w:pPr>
        <w:rPr>
          <w:lang w:val="es-CR"/>
        </w:rPr>
      </w:pPr>
      <w:r w:rsidRPr="00F76576">
        <w:rPr>
          <w:lang w:val="es-CR"/>
        </w:rPr>
        <w:t>A partir del indicador estándar de morosidad &gt;90 días (SUGEF), se reconstruye la razón utilizando la desagregación por días de atraso disponible en el reporte, sumando los tramos superiores a 90 días (91–180 y &gt;180) y, en una variante amplia, cobro judicial.</w:t>
      </w:r>
    </w:p>
    <w:p w14:paraId="737FC5D6" w14:textId="5C5E47A2" w:rsidR="00134B5D" w:rsidRDefault="00134B5D" w:rsidP="007577F9">
      <w:pPr>
        <w:rPr>
          <w:lang w:val="es-CR"/>
        </w:rPr>
      </w:pPr>
      <w:r w:rsidRPr="00134B5D">
        <w:rPr>
          <w:lang w:val="es-CR"/>
        </w:rPr>
        <w:t xml:space="preserve">“En enero 2026 se observa una caída del saldo total agregado respecto a diciembre 2025; se mantiene el valor tal como es reportado por SUGEF en el </w:t>
      </w:r>
      <w:proofErr w:type="spellStart"/>
      <w:r w:rsidRPr="00134B5D">
        <w:rPr>
          <w:lang w:val="es-CR"/>
        </w:rPr>
        <w:t>dataset</w:t>
      </w:r>
      <w:proofErr w:type="spellEnd"/>
      <w:r w:rsidRPr="00134B5D">
        <w:rPr>
          <w:lang w:val="es-CR"/>
        </w:rPr>
        <w:t xml:space="preserve"> descargado.”</w:t>
      </w:r>
    </w:p>
    <w:p w14:paraId="1832E4AB" w14:textId="504ECD83" w:rsidR="00134B5D" w:rsidRDefault="006B241B" w:rsidP="007577F9">
      <w:pPr>
        <w:rPr>
          <w:lang w:val="es-CR"/>
        </w:rPr>
      </w:pPr>
      <w:r w:rsidRPr="006B241B">
        <w:rPr>
          <w:lang w:val="es-CR"/>
        </w:rPr>
        <w:t>“Se utiliza el tipo de cambio de referencia publicado por el BCCR (CRC/USD), agregado a frecuencia mensual mediante promedio.”</w:t>
      </w:r>
    </w:p>
    <w:p w14:paraId="32B3AE46" w14:textId="4C0869B8" w:rsidR="00365A70" w:rsidRDefault="00365A70" w:rsidP="007577F9">
      <w:pPr>
        <w:rPr>
          <w:lang w:val="es-CR"/>
        </w:rPr>
      </w:pPr>
      <w:r w:rsidRPr="00365A70">
        <w:rPr>
          <w:lang w:val="es-CR"/>
        </w:rPr>
        <w:t>“TPM y FX se expresan a frecuencia mensual; TPM se toma a fin de mes y FX como promedio mensual.”</w:t>
      </w:r>
    </w:p>
    <w:p w14:paraId="2EE89A61" w14:textId="73C0878E" w:rsidR="00B052EB" w:rsidRDefault="00B052EB" w:rsidP="007577F9">
      <w:pPr>
        <w:rPr>
          <w:lang w:val="es-CR"/>
        </w:rPr>
      </w:pPr>
      <w:r w:rsidRPr="00B052EB">
        <w:rPr>
          <w:lang w:val="es-CR"/>
        </w:rPr>
        <w:t>En el periodo 2024-01 a 2026-01, la inflación interanual muestra una relación positiva y estadísticamente significativa con el indicador de mora PD90 del SFN. TPM y tipo de cambio no presentan evidencia estadística suficiente de asociación con PD90 en este modelo lineal. El poder explicativo del modelo es limitado (R²≈0.20), lo cual sugiere que otros determinantes (calidad de cartera, actividad, empleo, crédito, rezagos) también influyen</w:t>
      </w:r>
    </w:p>
    <w:p w14:paraId="230DF815" w14:textId="53939456" w:rsidR="00D80131" w:rsidRPr="00365A70" w:rsidRDefault="00D80131" w:rsidP="007577F9">
      <w:pPr>
        <w:rPr>
          <w:lang w:val="es-CR"/>
        </w:rPr>
      </w:pPr>
      <w:r w:rsidRPr="00D80131">
        <w:rPr>
          <w:lang w:val="es-CR"/>
        </w:rPr>
        <w:t>“Se mantuvieron TPM y FX como controles macroeconómicos, aunque no resultaron significativos en esta muestra.”</w:t>
      </w:r>
    </w:p>
    <w:p w14:paraId="25A5E008" w14:textId="77777777" w:rsidR="00134B5D" w:rsidRPr="003B47FE" w:rsidRDefault="00134B5D" w:rsidP="007577F9">
      <w:pPr>
        <w:rPr>
          <w:lang w:val="es-CR"/>
        </w:rPr>
      </w:pPr>
    </w:p>
    <w:sectPr w:rsidR="00134B5D" w:rsidRPr="003B4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FE"/>
    <w:rsid w:val="00134B5D"/>
    <w:rsid w:val="00365A70"/>
    <w:rsid w:val="00365C6E"/>
    <w:rsid w:val="003B47FE"/>
    <w:rsid w:val="003D1DBB"/>
    <w:rsid w:val="00547CF6"/>
    <w:rsid w:val="006B241B"/>
    <w:rsid w:val="007577F9"/>
    <w:rsid w:val="007B1A65"/>
    <w:rsid w:val="00AF5B84"/>
    <w:rsid w:val="00B052EB"/>
    <w:rsid w:val="00B440F1"/>
    <w:rsid w:val="00C0590E"/>
    <w:rsid w:val="00D80131"/>
    <w:rsid w:val="00EB3618"/>
    <w:rsid w:val="00F7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7694"/>
  <w15:chartTrackingRefBased/>
  <w15:docId w15:val="{40C8B123-C03C-47A9-BEFF-C30D1FD8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3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Eduardo Rocha Mora</dc:creator>
  <cp:keywords/>
  <dc:description/>
  <cp:lastModifiedBy>Óscar Eduardo Rocha Mora</cp:lastModifiedBy>
  <cp:revision>1</cp:revision>
  <dcterms:created xsi:type="dcterms:W3CDTF">2026-02-18T15:36:00Z</dcterms:created>
  <dcterms:modified xsi:type="dcterms:W3CDTF">2026-02-18T23:50:00Z</dcterms:modified>
</cp:coreProperties>
</file>