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B917" w14:textId="77777777" w:rsidR="00121BE7" w:rsidRDefault="00121BE7" w:rsidP="00121BE7">
      <w:pPr>
        <w:rPr>
          <w:rFonts w:ascii="Times New Roman" w:hAnsi="Times New Roman"/>
          <w:b/>
          <w:bCs/>
          <w:lang w:val="es-CR"/>
        </w:rPr>
      </w:pPr>
      <w:r w:rsidRPr="00EC7B5D">
        <w:rPr>
          <w:rFonts w:ascii="Times New Roman" w:hAnsi="Times New Roman"/>
          <w:b/>
          <w:bCs/>
          <w:lang w:val="es-CR"/>
        </w:rPr>
        <w:t>Reporte de Analista 1</w:t>
      </w:r>
    </w:p>
    <w:p w14:paraId="7F248C81" w14:textId="447C9DE1" w:rsidR="00121BE7" w:rsidRDefault="00121BE7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EC7B5D">
        <w:rPr>
          <w:rFonts w:ascii="Times New Roman" w:hAnsi="Times New Roman"/>
          <w:b/>
          <w:bCs/>
          <w:lang w:val="es-CR"/>
        </w:rPr>
        <w:t xml:space="preserve">Relación entre PD90+ del SFN y variables macroeconómicas (Inflación, TPM y Tipo de Cambio) — Costa Rica, </w:t>
      </w:r>
      <w:r>
        <w:rPr>
          <w:rFonts w:ascii="Times New Roman" w:hAnsi="Times New Roman"/>
          <w:b/>
          <w:bCs/>
          <w:lang w:val="es-CR"/>
        </w:rPr>
        <w:t>2007</w:t>
      </w:r>
      <w:r w:rsidR="00281428">
        <w:rPr>
          <w:rFonts w:ascii="Times New Roman" w:hAnsi="Times New Roman"/>
          <w:b/>
          <w:bCs/>
          <w:lang w:val="es-CR"/>
        </w:rPr>
        <w:t>-</w:t>
      </w:r>
      <w:r>
        <w:rPr>
          <w:rFonts w:ascii="Times New Roman" w:hAnsi="Times New Roman"/>
          <w:b/>
          <w:bCs/>
          <w:lang w:val="es-CR"/>
        </w:rPr>
        <w:t>2023</w:t>
      </w:r>
    </w:p>
    <w:p w14:paraId="382F394F" w14:textId="4F720773" w:rsidR="00121BE7" w:rsidRDefault="00687AD2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>Este reporte toma como base el Siste</w:t>
      </w:r>
      <w:r w:rsidRPr="00687AD2">
        <w:rPr>
          <w:rFonts w:ascii="Times New Roman" w:hAnsi="Times New Roman"/>
          <w:lang w:val="es-CR"/>
        </w:rPr>
        <w:t>ma Financiero Nacional (SFN)</w:t>
      </w:r>
      <w:r>
        <w:rPr>
          <w:rFonts w:ascii="Times New Roman" w:hAnsi="Times New Roman"/>
          <w:lang w:val="es-CR"/>
        </w:rPr>
        <w:t>, puesto que es</w:t>
      </w:r>
      <w:r w:rsidRPr="00687AD2">
        <w:rPr>
          <w:rFonts w:ascii="Times New Roman" w:hAnsi="Times New Roman"/>
          <w:lang w:val="es-CR"/>
        </w:rPr>
        <w:t xml:space="preserve"> conjunto de entidades financieras que intermedian recursos (captan ahorro y lo transforman en crédito) y que, al hacerlo, acumulan una cartera de préstamos a hogares y empresas</w:t>
      </w:r>
      <w:r>
        <w:rPr>
          <w:rFonts w:ascii="Times New Roman" w:hAnsi="Times New Roman"/>
          <w:lang w:val="es-CR"/>
        </w:rPr>
        <w:t>, p</w:t>
      </w:r>
      <w:r w:rsidRPr="00687AD2">
        <w:rPr>
          <w:rFonts w:ascii="Times New Roman" w:hAnsi="Times New Roman"/>
          <w:lang w:val="es-CR"/>
        </w:rPr>
        <w:t>or esa razón, el SFN es un canal clave por el cual los shocks macroeconómicos se transmiten al crédito: cuando suben los costos financieros o se deteriora el poder adquisitivo, puede aumentar la probabilidad de atraso en los pagos.</w:t>
      </w:r>
      <w:r>
        <w:rPr>
          <w:rFonts w:ascii="Times New Roman" w:hAnsi="Times New Roman"/>
          <w:lang w:val="es-CR"/>
        </w:rPr>
        <w:t xml:space="preserve"> Derivado a lo anterior, se decidió analizar como e</w:t>
      </w:r>
      <w:r w:rsidR="00121BE7" w:rsidRPr="001C0DD3">
        <w:rPr>
          <w:rFonts w:ascii="Times New Roman" w:hAnsi="Times New Roman"/>
          <w:lang w:val="es-CR"/>
        </w:rPr>
        <w:t>l indicador PD90+</w:t>
      </w:r>
      <w:r w:rsidR="008D6685">
        <w:rPr>
          <w:rFonts w:ascii="Times New Roman" w:hAnsi="Times New Roman"/>
          <w:lang w:val="es-CR"/>
        </w:rPr>
        <w:t xml:space="preserve"> (Morosidad mayor a 90 días)</w:t>
      </w:r>
      <w:r w:rsidR="00121BE7" w:rsidRPr="001C0DD3">
        <w:rPr>
          <w:rFonts w:ascii="Times New Roman" w:hAnsi="Times New Roman"/>
          <w:lang w:val="es-CR"/>
        </w:rPr>
        <w:t xml:space="preserve"> SFN refleja la proporción de cartera con mora severa (90+ días)</w:t>
      </w:r>
      <w:r w:rsidR="00121BE7">
        <w:rPr>
          <w:rFonts w:ascii="Times New Roman" w:hAnsi="Times New Roman"/>
          <w:lang w:val="es-CR"/>
        </w:rPr>
        <w:t xml:space="preserve">, </w:t>
      </w:r>
      <w:r w:rsidR="005D17E0">
        <w:rPr>
          <w:rFonts w:ascii="Times New Roman" w:hAnsi="Times New Roman"/>
          <w:lang w:val="es-CR"/>
        </w:rPr>
        <w:t xml:space="preserve">en esos </w:t>
      </w:r>
      <w:r w:rsidR="00121BE7" w:rsidRPr="001C0DD3">
        <w:rPr>
          <w:rFonts w:ascii="Times New Roman" w:hAnsi="Times New Roman"/>
          <w:lang w:val="es-CR"/>
        </w:rPr>
        <w:t>escenarios macroeconómicos adversos</w:t>
      </w:r>
      <w:r w:rsidR="005D17E0">
        <w:rPr>
          <w:rFonts w:ascii="Times New Roman" w:hAnsi="Times New Roman"/>
          <w:lang w:val="es-CR"/>
        </w:rPr>
        <w:t>. L</w:t>
      </w:r>
      <w:r w:rsidR="00121BE7">
        <w:rPr>
          <w:rFonts w:ascii="Times New Roman" w:hAnsi="Times New Roman"/>
          <w:lang w:val="es-CR"/>
        </w:rPr>
        <w:t>a idea radica en</w:t>
      </w:r>
      <w:r w:rsidR="00121BE7" w:rsidRPr="001C0DD3">
        <w:rPr>
          <w:rFonts w:ascii="Times New Roman" w:hAnsi="Times New Roman"/>
          <w:lang w:val="es-CR"/>
        </w:rPr>
        <w:t xml:space="preserve"> explorar si la mora PD90+ se asocia con variables como la inflación interanual</w:t>
      </w:r>
      <w:r w:rsidR="00121BE7">
        <w:rPr>
          <w:rFonts w:ascii="Times New Roman" w:hAnsi="Times New Roman"/>
          <w:lang w:val="es-CR"/>
        </w:rPr>
        <w:t xml:space="preserve"> (INF_YOY)</w:t>
      </w:r>
      <w:r w:rsidR="00121BE7" w:rsidRPr="001C0DD3">
        <w:rPr>
          <w:rFonts w:ascii="Times New Roman" w:hAnsi="Times New Roman"/>
          <w:lang w:val="es-CR"/>
        </w:rPr>
        <w:t>, la Tasa de Política Monetaria (TPM) y el tipo de cambio (FX) para el periodo 2007–2023 en Costa Rica</w:t>
      </w:r>
      <w:r w:rsidR="00121BE7">
        <w:rPr>
          <w:rFonts w:ascii="Times New Roman" w:hAnsi="Times New Roman"/>
          <w:lang w:val="es-CR"/>
        </w:rPr>
        <w:t xml:space="preserve">. </w:t>
      </w:r>
    </w:p>
    <w:p w14:paraId="361B6DFF" w14:textId="1B743BEB" w:rsidR="00B440F1" w:rsidRPr="00583B18" w:rsidRDefault="00121BE7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>El enfoque para realizarlo es mediante el uso de una regresión lineal, establecida según la fórmula:</w:t>
      </w:r>
      <w:r w:rsidR="00583B18">
        <w:rPr>
          <w:rFonts w:ascii="Times New Roman" w:hAnsi="Times New Roman"/>
          <w:lang w:val="es-C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Y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  <m:r>
          <w:rPr>
            <w:rFonts w:ascii="Cambria Math" w:hAnsi="Cambria Math"/>
            <w:lang w:val="es-CR"/>
          </w:rPr>
          <m:t>=</m:t>
        </m:r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b</m:t>
            </m:r>
          </m:e>
          <m:sub>
            <m:r>
              <w:rPr>
                <w:rFonts w:ascii="Cambria Math" w:hAnsi="Cambria Math"/>
                <w:lang w:val="es-CR"/>
              </w:rPr>
              <m:t>0</m:t>
            </m:r>
          </m:sub>
        </m:sSub>
        <m:r>
          <w:rPr>
            <w:rFonts w:ascii="Cambria Math" w:hAnsi="Cambria Math"/>
            <w:lang w:val="es-CR"/>
          </w:rPr>
          <m:t>+</m:t>
        </m:r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b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x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  <m:r>
          <w:rPr>
            <w:rFonts w:ascii="Cambria Math" w:hAnsi="Cambria Math"/>
            <w:lang w:val="es-CR"/>
          </w:rPr>
          <m:t>+</m:t>
        </m:r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ε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  <m:r>
          <w:rPr>
            <w:rFonts w:ascii="Cambria Math" w:hAnsi="Cambria Math"/>
            <w:lang w:val="es-CR"/>
          </w:rPr>
          <m:t>, i=1,…n</m:t>
        </m:r>
      </m:oMath>
    </w:p>
    <w:p w14:paraId="3AF6FBD1" w14:textId="552B720C" w:rsidR="00121BE7" w:rsidRPr="00687AD2" w:rsidRDefault="00121BE7" w:rsidP="003D0F51">
      <w:pPr>
        <w:jc w:val="both"/>
        <w:rPr>
          <w:lang w:val="es-CR"/>
        </w:rPr>
      </w:pPr>
      <w:r w:rsidRPr="00121BE7">
        <w:rPr>
          <w:rFonts w:ascii="Times New Roman" w:hAnsi="Times New Roman"/>
          <w:lang w:val="es-CR"/>
        </w:rPr>
        <w:t xml:space="preserve">Donde: </w:t>
      </w:r>
      <m:oMath>
        <m:sSub>
          <m:sSubPr>
            <m:ctrlPr>
              <w:rPr>
                <w:rFonts w:ascii="Cambria Math" w:hAnsi="Cambria Math"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Y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</m:oMath>
      <w:r>
        <w:rPr>
          <w:lang w:val="es-CR"/>
        </w:rPr>
        <w:t xml:space="preserve"> </w:t>
      </w:r>
      <w:r w:rsidRPr="00121BE7">
        <w:rPr>
          <w:rFonts w:ascii="Times New Roman" w:hAnsi="Times New Roman"/>
          <w:lang w:val="es-CR"/>
        </w:rPr>
        <w:t xml:space="preserve">es </w:t>
      </w:r>
      <m:oMath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PD</m:t>
            </m:r>
          </m:e>
          <m:sub>
            <m:r>
              <w:rPr>
                <w:rFonts w:ascii="Cambria Math" w:hAnsi="Cambria Math"/>
                <w:lang w:val="es-CR"/>
              </w:rPr>
              <m:t>t</m:t>
            </m:r>
          </m:sub>
        </m:sSub>
      </m:oMath>
      <w:r w:rsidRPr="00121BE7">
        <w:rPr>
          <w:rFonts w:ascii="Times New Roman" w:hAnsi="Times New Roman"/>
          <w:lang w:val="es-CR"/>
        </w:rPr>
        <w:t xml:space="preserve"> la mora PD90+</w:t>
      </w:r>
      <w:r w:rsidR="00D16E08">
        <w:rPr>
          <w:lang w:val="es-C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x</m:t>
            </m:r>
          </m:e>
          <m:sub>
            <m:r>
              <w:rPr>
                <w:rFonts w:ascii="Cambria Math" w:hAnsi="Cambria Math"/>
                <w:lang w:val="es-CR"/>
              </w:rPr>
              <m:t>1</m:t>
            </m:r>
          </m:sub>
        </m:sSub>
      </m:oMath>
      <w:r>
        <w:rPr>
          <w:lang w:val="es-CR"/>
        </w:rPr>
        <w:t xml:space="preserve"> </w:t>
      </w:r>
      <w:r w:rsidRPr="00121BE7">
        <w:rPr>
          <w:rFonts w:ascii="Times New Roman" w:hAnsi="Times New Roman"/>
          <w:lang w:val="es-CR"/>
        </w:rPr>
        <w:t>es TPM</w:t>
      </w:r>
      <w:r w:rsidR="00D16E08">
        <w:rPr>
          <w:lang w:val="es-C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x</m:t>
            </m:r>
          </m:e>
          <m:sub>
            <m:r>
              <w:rPr>
                <w:rFonts w:ascii="Cambria Math" w:hAnsi="Cambria Math"/>
                <w:lang w:val="es-CR"/>
              </w:rPr>
              <m:t>2</m:t>
            </m:r>
          </m:sub>
        </m:sSub>
      </m:oMath>
      <w:r>
        <w:rPr>
          <w:lang w:val="es-CR"/>
        </w:rPr>
        <w:t xml:space="preserve"> </w:t>
      </w:r>
      <w:r w:rsidRPr="00121BE7">
        <w:rPr>
          <w:rFonts w:ascii="Times New Roman" w:hAnsi="Times New Roman"/>
          <w:lang w:val="es-CR"/>
        </w:rPr>
        <w:t>es FX</w:t>
      </w:r>
      <w:r w:rsidR="00D16E08">
        <w:rPr>
          <w:lang w:val="es-C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s-CR"/>
              </w:rPr>
            </m:ctrlPr>
          </m:sSubPr>
          <m:e>
            <m:r>
              <w:rPr>
                <w:rFonts w:ascii="Cambria Math" w:hAnsi="Cambria Math"/>
                <w:lang w:val="es-CR"/>
              </w:rPr>
              <m:t>x</m:t>
            </m:r>
          </m:e>
          <m:sub>
            <m:r>
              <w:rPr>
                <w:rFonts w:ascii="Cambria Math" w:hAnsi="Cambria Math"/>
                <w:lang w:val="es-CR"/>
              </w:rPr>
              <m:t>3</m:t>
            </m:r>
          </m:sub>
        </m:sSub>
      </m:oMath>
      <w:r>
        <w:rPr>
          <w:lang w:val="es-CR"/>
        </w:rPr>
        <w:t xml:space="preserve"> </w:t>
      </w:r>
      <w:r w:rsidRPr="00121BE7">
        <w:rPr>
          <w:rFonts w:ascii="Times New Roman" w:hAnsi="Times New Roman"/>
          <w:lang w:val="es-CR"/>
        </w:rPr>
        <w:t>es INF_YOY</w:t>
      </w:r>
    </w:p>
    <w:p w14:paraId="7DDAF4A1" w14:textId="67B46879" w:rsidR="00A01D83" w:rsidRPr="00A01D83" w:rsidRDefault="00A01D83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A01D83">
        <w:rPr>
          <w:rFonts w:ascii="Times New Roman" w:hAnsi="Times New Roman"/>
          <w:b/>
          <w:bCs/>
          <w:lang w:val="es-CR"/>
        </w:rPr>
        <w:t>Fuentes</w:t>
      </w:r>
    </w:p>
    <w:p w14:paraId="28D3BC24" w14:textId="7A453290" w:rsidR="00A01D83" w:rsidRDefault="00687AD2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 xml:space="preserve">Los datos </w:t>
      </w:r>
      <w:r w:rsidR="005D17E0">
        <w:rPr>
          <w:rFonts w:ascii="Times New Roman" w:hAnsi="Times New Roman"/>
          <w:lang w:val="es-CR"/>
        </w:rPr>
        <w:t>se obtuvieron</w:t>
      </w:r>
      <w:r>
        <w:rPr>
          <w:rFonts w:ascii="Times New Roman" w:hAnsi="Times New Roman"/>
          <w:lang w:val="es-CR"/>
        </w:rPr>
        <w:t xml:space="preserve"> de dos entidades: la SUGEF </w:t>
      </w:r>
      <w:r w:rsidR="002E7DB8">
        <w:rPr>
          <w:rFonts w:ascii="Times New Roman" w:hAnsi="Times New Roman"/>
          <w:lang w:val="es-CR"/>
        </w:rPr>
        <w:t xml:space="preserve">(PD90+) </w:t>
      </w:r>
      <w:r>
        <w:rPr>
          <w:rFonts w:ascii="Times New Roman" w:hAnsi="Times New Roman"/>
          <w:lang w:val="es-CR"/>
        </w:rPr>
        <w:t>y el BCCR</w:t>
      </w:r>
      <w:r w:rsidR="005D17E0">
        <w:rPr>
          <w:rFonts w:ascii="Times New Roman" w:hAnsi="Times New Roman"/>
          <w:lang w:val="es-CR"/>
        </w:rPr>
        <w:t xml:space="preserve"> </w:t>
      </w:r>
      <w:r w:rsidR="002E7DB8">
        <w:rPr>
          <w:rFonts w:ascii="Times New Roman" w:hAnsi="Times New Roman"/>
          <w:lang w:val="es-CR"/>
        </w:rPr>
        <w:t>(TPM, FX e INF_YOY), los cuales están a</w:t>
      </w:r>
      <w:r w:rsidR="005D17E0">
        <w:rPr>
          <w:rFonts w:ascii="Times New Roman" w:hAnsi="Times New Roman"/>
          <w:lang w:val="es-CR"/>
        </w:rPr>
        <w:t>djuntos en el Excel de recopilación de datos, como también en las referencias.</w:t>
      </w:r>
    </w:p>
    <w:p w14:paraId="45BA2829" w14:textId="5439FA3A" w:rsidR="00A01D83" w:rsidRDefault="00A01D83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A01D83">
        <w:rPr>
          <w:rFonts w:ascii="Times New Roman" w:hAnsi="Times New Roman"/>
          <w:b/>
          <w:bCs/>
          <w:lang w:val="es-CR"/>
        </w:rPr>
        <w:t>Generalidades</w:t>
      </w:r>
    </w:p>
    <w:p w14:paraId="67242702" w14:textId="3D02E3ED" w:rsidR="00A01D83" w:rsidRPr="00A01D83" w:rsidRDefault="00A01D83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 xml:space="preserve">El reporte se desarrolla desde el 2007 al 2023, </w:t>
      </w:r>
      <w:r w:rsidR="00C7626C">
        <w:rPr>
          <w:rFonts w:ascii="Times New Roman" w:hAnsi="Times New Roman"/>
          <w:lang w:val="es-CR"/>
        </w:rPr>
        <w:t>puesto</w:t>
      </w:r>
      <w:r>
        <w:rPr>
          <w:rFonts w:ascii="Times New Roman" w:hAnsi="Times New Roman"/>
          <w:lang w:val="es-CR"/>
        </w:rPr>
        <w:t xml:space="preserve"> a la normativa vigente en esos años (SUGEF 1-05), la cual fue sustituida en enero del 2024 por CONASIFF</w:t>
      </w:r>
      <w:r w:rsidR="00C7626C">
        <w:rPr>
          <w:rFonts w:ascii="Times New Roman" w:hAnsi="Times New Roman"/>
          <w:lang w:val="es-CR"/>
        </w:rPr>
        <w:t xml:space="preserve"> </w:t>
      </w:r>
      <w:r>
        <w:rPr>
          <w:rFonts w:ascii="Times New Roman" w:hAnsi="Times New Roman"/>
          <w:lang w:val="es-CR"/>
        </w:rPr>
        <w:t xml:space="preserve">14-21, excluyendo los </w:t>
      </w:r>
      <w:r w:rsidR="000C654D">
        <w:rPr>
          <w:rFonts w:ascii="Times New Roman" w:hAnsi="Times New Roman"/>
          <w:lang w:val="es-CR"/>
        </w:rPr>
        <w:t>periodos</w:t>
      </w:r>
      <w:r>
        <w:rPr>
          <w:rFonts w:ascii="Times New Roman" w:hAnsi="Times New Roman"/>
          <w:lang w:val="es-CR"/>
        </w:rPr>
        <w:t xml:space="preserve"> posteriores al cambio</w:t>
      </w:r>
      <w:r w:rsidR="0072089C">
        <w:rPr>
          <w:rFonts w:ascii="Times New Roman" w:hAnsi="Times New Roman"/>
          <w:lang w:val="es-CR"/>
        </w:rPr>
        <w:t xml:space="preserve"> (2024</w:t>
      </w:r>
      <w:r w:rsidR="000E525C">
        <w:rPr>
          <w:rFonts w:ascii="Times New Roman" w:hAnsi="Times New Roman"/>
          <w:lang w:val="es-CR"/>
        </w:rPr>
        <w:t xml:space="preserve"> </w:t>
      </w:r>
      <w:r w:rsidR="0072089C">
        <w:rPr>
          <w:rFonts w:ascii="Times New Roman" w:hAnsi="Times New Roman"/>
          <w:lang w:val="es-CR"/>
        </w:rPr>
        <w:t xml:space="preserve">- </w:t>
      </w:r>
      <w:r w:rsidR="00FA48E5">
        <w:rPr>
          <w:rFonts w:ascii="Times New Roman" w:hAnsi="Times New Roman"/>
          <w:lang w:val="es-CR"/>
        </w:rPr>
        <w:t>enero</w:t>
      </w:r>
      <w:r w:rsidR="0072089C">
        <w:rPr>
          <w:rFonts w:ascii="Times New Roman" w:hAnsi="Times New Roman"/>
          <w:lang w:val="es-CR"/>
        </w:rPr>
        <w:t xml:space="preserve"> 2026)</w:t>
      </w:r>
      <w:r>
        <w:rPr>
          <w:rFonts w:ascii="Times New Roman" w:hAnsi="Times New Roman"/>
          <w:lang w:val="es-CR"/>
        </w:rPr>
        <w:t>.</w:t>
      </w:r>
    </w:p>
    <w:p w14:paraId="6E6934A0" w14:textId="5FD36617" w:rsidR="00583B18" w:rsidRDefault="008D6685" w:rsidP="003D0F51">
      <w:pPr>
        <w:jc w:val="both"/>
        <w:rPr>
          <w:rFonts w:ascii="Times New Roman" w:hAnsi="Times New Roman"/>
          <w:lang w:val="es-CR"/>
        </w:rPr>
      </w:pPr>
      <w:r w:rsidRPr="008D6685">
        <w:rPr>
          <w:rFonts w:ascii="Times New Roman" w:hAnsi="Times New Roman"/>
          <w:lang w:val="es-CR"/>
        </w:rPr>
        <w:t>PD90+ se define como Morosidad mayor a 90 días/Cartera Directa, y mide la proporción de la cartera directa con atraso superior a 90 días. La morosidad 90+ incluye saldos con atraso &gt;</w:t>
      </w:r>
      <w:r w:rsidR="005D2DFB">
        <w:rPr>
          <w:rFonts w:ascii="Times New Roman" w:hAnsi="Times New Roman"/>
          <w:lang w:val="es-CR"/>
        </w:rPr>
        <w:t xml:space="preserve"> </w:t>
      </w:r>
      <w:r w:rsidRPr="008D6685">
        <w:rPr>
          <w:rFonts w:ascii="Times New Roman" w:hAnsi="Times New Roman"/>
          <w:lang w:val="es-CR"/>
        </w:rPr>
        <w:t>90 días y cobro judicial según las cuentas contables que indica SUGEF, mientras que Cartera Directa corresponde al saldo de créditos sin otros cobros. (SUGEF, Descripción de Indicadores, p. 9).</w:t>
      </w:r>
      <w:r>
        <w:rPr>
          <w:rFonts w:ascii="Times New Roman" w:hAnsi="Times New Roman"/>
          <w:lang w:val="es-CR"/>
        </w:rPr>
        <w:t xml:space="preserve"> Acorde a esto, se definió la siguiente fórmula:</w:t>
      </w:r>
      <w:r w:rsidR="00583B18">
        <w:rPr>
          <w:rFonts w:ascii="Times New Roman" w:hAnsi="Times New Roman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PD9</m:t>
        </m:r>
        <m:sSubSup>
          <m:sSubSupPr>
            <m:ctrlPr>
              <w:rPr>
                <w:rFonts w:ascii="Cambria Math" w:hAnsi="Cambria Math"/>
                <w:i/>
                <w:lang w:val="es-CR"/>
              </w:rPr>
            </m:ctrlPr>
          </m:sSubSupPr>
          <m:e>
            <m:r>
              <w:rPr>
                <w:rFonts w:ascii="Cambria Math" w:hAnsi="Cambria Math"/>
                <w:lang w:val="es-CR"/>
              </w:rPr>
              <m:t>0</m:t>
            </m:r>
          </m:e>
          <m:sub>
            <m:r>
              <w:rPr>
                <w:rFonts w:ascii="Cambria Math" w:hAnsi="Cambria Math"/>
                <w:lang w:val="es-CR"/>
              </w:rPr>
              <m:t>t</m:t>
            </m:r>
          </m:sub>
          <m:sup>
            <m:r>
              <w:rPr>
                <w:rFonts w:ascii="Cambria Math" w:hAnsi="Cambria Math"/>
                <w:lang w:val="es-CR"/>
              </w:rPr>
              <m:t>+</m:t>
            </m:r>
          </m:sup>
        </m:sSubSup>
        <m:r>
          <w:rPr>
            <w:rFonts w:ascii="Cambria Math" w:hAnsi="Cambria Math"/>
            <w:lang w:val="es-CR"/>
          </w:rPr>
          <m:t>=</m:t>
        </m:r>
        <m:f>
          <m:fPr>
            <m:ctrlPr>
              <w:rPr>
                <w:rFonts w:ascii="Cambria Math" w:hAnsi="Cambria Math"/>
                <w:i/>
                <w:lang w:val="es-CR"/>
              </w:rPr>
            </m:ctrlPr>
          </m:fPr>
          <m:num>
            <m:r>
              <w:rPr>
                <w:rFonts w:ascii="Cambria Math" w:hAnsi="Cambria Math"/>
                <w:lang w:val="es-CR"/>
              </w:rPr>
              <m:t xml:space="preserve">Morosidad (&gt;90 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s-CR"/>
              </w:rPr>
              <m:t>ías</m:t>
            </m:r>
            <m:sSub>
              <m:sSubPr>
                <m:ctrlPr>
                  <w:rPr>
                    <w:rFonts w:ascii="Cambria Math" w:hAnsi="Cambria Math"/>
                    <w:i/>
                    <w:lang w:val="es-CR"/>
                  </w:rPr>
                </m:ctrlPr>
              </m:sSubPr>
              <m:e>
                <m:r>
                  <w:rPr>
                    <w:rFonts w:ascii="Cambria Math" w:hAnsi="Cambria Math"/>
                    <w:lang w:val="es-CR"/>
                  </w:rPr>
                  <m:t>)</m:t>
                </m:r>
              </m:e>
              <m:sub>
                <m:r>
                  <w:rPr>
                    <w:rFonts w:ascii="Cambria Math" w:hAnsi="Cambria Math"/>
                    <w:lang w:val="es-CR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  <w:lang w:val="es-CR"/>
              </w:rPr>
              <m:t>Cartera directa (total cartera</m:t>
            </m:r>
            <m:sSub>
              <m:sSubPr>
                <m:ctrlPr>
                  <w:rPr>
                    <w:rFonts w:ascii="Cambria Math" w:hAnsi="Cambria Math"/>
                    <w:i/>
                    <w:lang w:val="es-CR"/>
                  </w:rPr>
                </m:ctrlPr>
              </m:sSubPr>
              <m:e>
                <m:r>
                  <w:rPr>
                    <w:rFonts w:ascii="Cambria Math" w:hAnsi="Cambria Math"/>
                    <w:lang w:val="es-CR"/>
                  </w:rPr>
                  <m:t>)</m:t>
                </m:r>
              </m:e>
              <m:sub>
                <m:r>
                  <w:rPr>
                    <w:rFonts w:ascii="Cambria Math" w:hAnsi="Cambria Math"/>
                    <w:lang w:val="es-CR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lang w:val="es-CR"/>
          </w:rPr>
          <m:t>*100</m:t>
        </m:r>
      </m:oMath>
    </w:p>
    <w:p w14:paraId="0FFDE9AF" w14:textId="77777777" w:rsidR="00583B18" w:rsidRDefault="00583B18">
      <w:pPr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br w:type="page"/>
      </w:r>
    </w:p>
    <w:p w14:paraId="45F8F124" w14:textId="018CBFAB" w:rsidR="00A01D83" w:rsidRPr="00EE13E5" w:rsidRDefault="00EE13E5" w:rsidP="003D0F51">
      <w:pPr>
        <w:jc w:val="both"/>
        <w:rPr>
          <w:rFonts w:ascii="Times New Roman" w:hAnsi="Times New Roman"/>
          <w:b/>
          <w:bCs/>
          <w:lang w:val="es-CR"/>
        </w:rPr>
      </w:pPr>
      <w:proofErr w:type="spellStart"/>
      <w:r w:rsidRPr="00EE13E5">
        <w:rPr>
          <w:rFonts w:ascii="Times New Roman" w:hAnsi="Times New Roman"/>
          <w:b/>
          <w:bCs/>
          <w:lang w:val="es-CR"/>
        </w:rPr>
        <w:lastRenderedPageBreak/>
        <w:t>Skim</w:t>
      </w:r>
      <w:proofErr w:type="spellEnd"/>
      <w:r w:rsidRPr="00EE13E5">
        <w:rPr>
          <w:rFonts w:ascii="Times New Roman" w:hAnsi="Times New Roman"/>
          <w:b/>
          <w:bCs/>
          <w:lang w:val="es-CR"/>
        </w:rPr>
        <w:t xml:space="preserve"> – Datos</w:t>
      </w:r>
      <w:r w:rsidR="00A01D83" w:rsidRPr="00EE13E5">
        <w:rPr>
          <w:rFonts w:ascii="Times New Roman" w:hAnsi="Times New Roman"/>
          <w:b/>
          <w:bCs/>
          <w:lang w:val="es-CR"/>
        </w:rPr>
        <w:t xml:space="preserve"> </w:t>
      </w:r>
    </w:p>
    <w:p w14:paraId="240ABA69" w14:textId="044E6A63" w:rsidR="008D6685" w:rsidRDefault="00A01D83" w:rsidP="008D6685">
      <w:pPr>
        <w:rPr>
          <w:rFonts w:ascii="Times New Roman" w:hAnsi="Times New Roman"/>
          <w:lang w:val="es-CR"/>
        </w:rPr>
      </w:pPr>
      <w:r w:rsidRPr="00A01D83">
        <w:rPr>
          <w:rFonts w:ascii="Times New Roman" w:hAnsi="Times New Roman"/>
          <w:noProof/>
          <w:lang w:val="es-CR"/>
        </w:rPr>
        <w:drawing>
          <wp:inline distT="0" distB="0" distL="0" distR="0" wp14:anchorId="4F54133C" wp14:editId="4B2A7807">
            <wp:extent cx="5181600" cy="2183912"/>
            <wp:effectExtent l="0" t="0" r="0" b="6985"/>
            <wp:docPr id="5141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511" cy="22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D3F1" w14:textId="5863A289" w:rsidR="00EE13E5" w:rsidRDefault="00EE13E5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>La imagen anterior determina una serie de dimensiones acerca de los datos utilizados, destacando la cantidad de observaciones (204) y la clase (numéricos), como también, algunos datos estadísticos básicos</w:t>
      </w:r>
      <w:r w:rsidR="005D5A8E">
        <w:rPr>
          <w:rFonts w:ascii="Times New Roman" w:hAnsi="Times New Roman"/>
          <w:lang w:val="es-CR"/>
        </w:rPr>
        <w:t>,</w:t>
      </w:r>
      <w:r w:rsidR="00AE00A6">
        <w:rPr>
          <w:rFonts w:ascii="Times New Roman" w:hAnsi="Times New Roman"/>
          <w:lang w:val="es-CR"/>
        </w:rPr>
        <w:t xml:space="preserve"> además de como se distribuyen en la parte </w:t>
      </w:r>
      <w:proofErr w:type="spellStart"/>
      <w:r w:rsidR="00AE00A6">
        <w:rPr>
          <w:rFonts w:ascii="Times New Roman" w:hAnsi="Times New Roman"/>
          <w:lang w:val="es-CR"/>
        </w:rPr>
        <w:t>hist</w:t>
      </w:r>
      <w:proofErr w:type="spellEnd"/>
      <w:r w:rsidR="00AE00A6">
        <w:rPr>
          <w:rFonts w:ascii="Times New Roman" w:hAnsi="Times New Roman"/>
          <w:lang w:val="es-CR"/>
        </w:rPr>
        <w:t>, la cual en cada es variada y no tan consistente.</w:t>
      </w:r>
      <w:r>
        <w:rPr>
          <w:rFonts w:ascii="Times New Roman" w:hAnsi="Times New Roman"/>
          <w:lang w:val="es-CR"/>
        </w:rPr>
        <w:t xml:space="preserve"> </w:t>
      </w:r>
    </w:p>
    <w:p w14:paraId="0609C5C7" w14:textId="77777777" w:rsidR="00A01D83" w:rsidRPr="00A01D83" w:rsidRDefault="00A01D83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A01D83">
        <w:rPr>
          <w:rFonts w:ascii="Times New Roman" w:hAnsi="Times New Roman"/>
          <w:b/>
          <w:bCs/>
          <w:lang w:val="es-CR"/>
        </w:rPr>
        <w:t>Análisis</w:t>
      </w:r>
    </w:p>
    <w:p w14:paraId="0DE4EDB1" w14:textId="2CA9A299" w:rsidR="00A01D83" w:rsidRPr="003D0F51" w:rsidRDefault="00A01D83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A01D83">
        <w:rPr>
          <w:rFonts w:ascii="Times New Roman" w:hAnsi="Times New Roman"/>
          <w:b/>
          <w:bCs/>
          <w:lang w:val="es-CR"/>
        </w:rPr>
        <w:t>Gráfico de dispersión</w:t>
      </w:r>
      <w:r w:rsidR="003D0F51">
        <w:rPr>
          <w:rFonts w:ascii="Times New Roman" w:hAnsi="Times New Roman"/>
          <w:b/>
          <w:bCs/>
          <w:lang w:val="es-CR"/>
        </w:rPr>
        <w:t xml:space="preserve"> – PD90 </w:t>
      </w:r>
      <w:r w:rsidR="003D0F51" w:rsidRPr="003D0F51">
        <w:rPr>
          <w:rFonts w:ascii="Times New Roman" w:hAnsi="Times New Roman"/>
          <w:b/>
          <w:bCs/>
          <w:lang w:val="es-CR"/>
        </w:rPr>
        <w:t xml:space="preserve">~ </w:t>
      </w:r>
      <w:r w:rsidR="003D0F51">
        <w:rPr>
          <w:rFonts w:ascii="Times New Roman" w:hAnsi="Times New Roman"/>
          <w:b/>
          <w:bCs/>
          <w:lang w:val="es-CR"/>
        </w:rPr>
        <w:t>FX + INF_YOY + TPM</w:t>
      </w:r>
    </w:p>
    <w:p w14:paraId="1A65E28C" w14:textId="707012B6" w:rsidR="00E32524" w:rsidRDefault="00E32524" w:rsidP="008D6685">
      <w:pPr>
        <w:rPr>
          <w:rFonts w:ascii="Times New Roman" w:hAnsi="Times New Roman"/>
          <w:lang w:val="es-CR"/>
        </w:rPr>
      </w:pPr>
      <w:r w:rsidRPr="00E32524">
        <w:rPr>
          <w:rFonts w:ascii="Times New Roman" w:hAnsi="Times New Roman"/>
          <w:noProof/>
          <w:lang w:val="es-CR"/>
        </w:rPr>
        <w:drawing>
          <wp:inline distT="0" distB="0" distL="0" distR="0" wp14:anchorId="168AB353" wp14:editId="057C08AE">
            <wp:extent cx="3599049" cy="2209800"/>
            <wp:effectExtent l="0" t="0" r="1905" b="0"/>
            <wp:docPr id="74283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829" cy="22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210C" w14:textId="2FA9108F" w:rsidR="00EE13E5" w:rsidRDefault="00121E2A" w:rsidP="003D0F51">
      <w:pPr>
        <w:jc w:val="both"/>
        <w:rPr>
          <w:rFonts w:ascii="Times New Roman" w:hAnsi="Times New Roman"/>
          <w:lang w:val="es-CR"/>
        </w:rPr>
      </w:pPr>
      <w:r w:rsidRPr="00121E2A">
        <w:rPr>
          <w:rFonts w:ascii="Times New Roman" w:hAnsi="Times New Roman"/>
          <w:lang w:val="es-CR"/>
        </w:rPr>
        <w:t>El gráfico muestra cómo varía la relación entre PD90 y cada una de las variables seleccionadas. En el caso de</w:t>
      </w:r>
      <w:r>
        <w:rPr>
          <w:rFonts w:ascii="Times New Roman" w:hAnsi="Times New Roman"/>
          <w:lang w:val="es-CR"/>
        </w:rPr>
        <w:t>l FX</w:t>
      </w:r>
      <w:r w:rsidRPr="00121E2A">
        <w:rPr>
          <w:rFonts w:ascii="Times New Roman" w:hAnsi="Times New Roman"/>
          <w:lang w:val="es-CR"/>
        </w:rPr>
        <w:t>, no se aprecia una pendiente clara y la nube de puntos es altamente dispersa, lo que sugiere una asociación visual débil. Para</w:t>
      </w:r>
      <w:r>
        <w:rPr>
          <w:rFonts w:ascii="Times New Roman" w:hAnsi="Times New Roman"/>
          <w:lang w:val="es-CR"/>
        </w:rPr>
        <w:t xml:space="preserve"> la inflación</w:t>
      </w:r>
      <w:r w:rsidRPr="00121E2A">
        <w:rPr>
          <w:rFonts w:ascii="Times New Roman" w:hAnsi="Times New Roman"/>
          <w:lang w:val="es-CR"/>
        </w:rPr>
        <w:t>, se observa una tendencia negativa (a mayores niveles de inflación, PD90 tiende a ser menor</w:t>
      </w:r>
      <w:r w:rsidR="008E1AE7">
        <w:rPr>
          <w:rFonts w:ascii="Times New Roman" w:hAnsi="Times New Roman"/>
          <w:lang w:val="es-CR"/>
        </w:rPr>
        <w:t>, justo abajo se miran mayor concentración de puntos</w:t>
      </w:r>
      <w:r w:rsidRPr="00121E2A">
        <w:rPr>
          <w:rFonts w:ascii="Times New Roman" w:hAnsi="Times New Roman"/>
          <w:lang w:val="es-CR"/>
        </w:rPr>
        <w:t>), aunque con dispersión y posibles cambios por regímenes</w:t>
      </w:r>
      <w:r w:rsidR="001612D3">
        <w:rPr>
          <w:rFonts w:ascii="Times New Roman" w:hAnsi="Times New Roman"/>
          <w:lang w:val="es-CR"/>
        </w:rPr>
        <w:t>, claro, esto de forma indicativa, no concluyente al momento</w:t>
      </w:r>
      <w:r w:rsidR="00A024C1">
        <w:rPr>
          <w:rFonts w:ascii="Times New Roman" w:hAnsi="Times New Roman"/>
          <w:lang w:val="es-CR"/>
        </w:rPr>
        <w:t xml:space="preserve">. </w:t>
      </w:r>
      <w:r w:rsidRPr="00121E2A">
        <w:rPr>
          <w:rFonts w:ascii="Times New Roman" w:hAnsi="Times New Roman"/>
          <w:lang w:val="es-CR"/>
        </w:rPr>
        <w:t>En TPM, los datos aparecen agrupados</w:t>
      </w:r>
      <w:r w:rsidR="00347211">
        <w:rPr>
          <w:rFonts w:ascii="Times New Roman" w:hAnsi="Times New Roman"/>
          <w:lang w:val="es-CR"/>
        </w:rPr>
        <w:t xml:space="preserve"> en ciertos niveles, muchos repetidos</w:t>
      </w:r>
      <w:r w:rsidRPr="00121E2A">
        <w:rPr>
          <w:rFonts w:ascii="Times New Roman" w:hAnsi="Times New Roman"/>
          <w:lang w:val="es-CR"/>
        </w:rPr>
        <w:t>, lo que dificulta identificar una tendencia lineal solo con inspección visual. Dado que TPM e inflación suelen estar relacionada</w:t>
      </w:r>
      <w:r w:rsidR="006D7E8F">
        <w:rPr>
          <w:rFonts w:ascii="Times New Roman" w:hAnsi="Times New Roman"/>
          <w:lang w:val="es-CR"/>
        </w:rPr>
        <w:t>s</w:t>
      </w:r>
      <w:r w:rsidR="00347211">
        <w:rPr>
          <w:rFonts w:ascii="Times New Roman" w:hAnsi="Times New Roman"/>
          <w:lang w:val="es-CR"/>
        </w:rPr>
        <w:t xml:space="preserve">, porque la primera tiende a ajustarse según la </w:t>
      </w:r>
      <w:r w:rsidR="00347211">
        <w:rPr>
          <w:rFonts w:ascii="Times New Roman" w:hAnsi="Times New Roman"/>
          <w:lang w:val="es-CR"/>
        </w:rPr>
        <w:lastRenderedPageBreak/>
        <w:t>segunda variable, se</w:t>
      </w:r>
      <w:r w:rsidRPr="00121E2A">
        <w:rPr>
          <w:rFonts w:ascii="Times New Roman" w:hAnsi="Times New Roman"/>
          <w:lang w:val="es-CR"/>
        </w:rPr>
        <w:t xml:space="preserve"> complementar</w:t>
      </w:r>
      <w:r w:rsidR="00347211">
        <w:rPr>
          <w:rFonts w:ascii="Times New Roman" w:hAnsi="Times New Roman"/>
          <w:lang w:val="es-CR"/>
        </w:rPr>
        <w:t>á</w:t>
      </w:r>
      <w:r w:rsidRPr="00121E2A">
        <w:rPr>
          <w:rFonts w:ascii="Times New Roman" w:hAnsi="Times New Roman"/>
          <w:lang w:val="es-CR"/>
        </w:rPr>
        <w:t xml:space="preserve"> este análisis visual con un modelo de regresión</w:t>
      </w:r>
      <w:r w:rsidR="00EE13E5">
        <w:rPr>
          <w:rFonts w:ascii="Times New Roman" w:hAnsi="Times New Roman"/>
          <w:lang w:val="es-CR"/>
        </w:rPr>
        <w:t xml:space="preserve"> múltiple</w:t>
      </w:r>
      <w:r w:rsidRPr="00121E2A">
        <w:rPr>
          <w:rFonts w:ascii="Times New Roman" w:hAnsi="Times New Roman"/>
          <w:lang w:val="es-CR"/>
        </w:rPr>
        <w:t xml:space="preserve"> en R, que permite evaluar la relación de cada variable con PD9</w:t>
      </w:r>
      <w:r w:rsidR="001E7293">
        <w:rPr>
          <w:rFonts w:ascii="Times New Roman" w:hAnsi="Times New Roman"/>
          <w:lang w:val="es-CR"/>
        </w:rPr>
        <w:t>0</w:t>
      </w:r>
      <w:r w:rsidRPr="00121E2A">
        <w:rPr>
          <w:rFonts w:ascii="Times New Roman" w:hAnsi="Times New Roman"/>
          <w:lang w:val="es-CR"/>
        </w:rPr>
        <w:t>.</w:t>
      </w:r>
    </w:p>
    <w:p w14:paraId="068F9DEB" w14:textId="77777777" w:rsidR="00886EA2" w:rsidRDefault="00EE13E5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EE13E5">
        <w:rPr>
          <w:rFonts w:ascii="Times New Roman" w:hAnsi="Times New Roman"/>
          <w:b/>
          <w:bCs/>
          <w:lang w:val="es-CR"/>
        </w:rPr>
        <w:t>Modelos</w:t>
      </w:r>
    </w:p>
    <w:p w14:paraId="77FE0EDB" w14:textId="66BD4868" w:rsidR="00EE13E5" w:rsidRPr="00281428" w:rsidRDefault="00EE13E5" w:rsidP="003D0F51">
      <w:pPr>
        <w:jc w:val="both"/>
        <w:rPr>
          <w:rFonts w:ascii="Times New Roman" w:hAnsi="Times New Roman"/>
          <w:b/>
          <w:bCs/>
        </w:rPr>
      </w:pPr>
      <w:r w:rsidRPr="00281428">
        <w:rPr>
          <w:rFonts w:ascii="Times New Roman" w:hAnsi="Times New Roman"/>
          <w:b/>
          <w:bCs/>
        </w:rPr>
        <w:t xml:space="preserve">mod1 &lt;- </w:t>
      </w:r>
      <w:proofErr w:type="spellStart"/>
      <w:proofErr w:type="gramStart"/>
      <w:r w:rsidRPr="00281428">
        <w:rPr>
          <w:rFonts w:ascii="Times New Roman" w:hAnsi="Times New Roman"/>
          <w:b/>
          <w:bCs/>
        </w:rPr>
        <w:t>lm</w:t>
      </w:r>
      <w:proofErr w:type="spellEnd"/>
      <w:r w:rsidRPr="00281428">
        <w:rPr>
          <w:rFonts w:ascii="Times New Roman" w:hAnsi="Times New Roman"/>
          <w:b/>
          <w:bCs/>
        </w:rPr>
        <w:t>(</w:t>
      </w:r>
      <w:proofErr w:type="gramEnd"/>
      <w:r w:rsidRPr="00281428">
        <w:rPr>
          <w:rFonts w:ascii="Times New Roman" w:hAnsi="Times New Roman"/>
          <w:b/>
          <w:bCs/>
        </w:rPr>
        <w:t>PD90 ~ TPM + FX + INF_YOY, data=</w:t>
      </w:r>
      <w:proofErr w:type="spellStart"/>
      <w:r w:rsidRPr="00281428">
        <w:rPr>
          <w:rFonts w:ascii="Times New Roman" w:hAnsi="Times New Roman"/>
          <w:b/>
          <w:bCs/>
        </w:rPr>
        <w:t>datos</w:t>
      </w:r>
      <w:proofErr w:type="spellEnd"/>
      <w:r w:rsidRPr="00281428">
        <w:rPr>
          <w:rFonts w:ascii="Times New Roman" w:hAnsi="Times New Roman"/>
          <w:b/>
          <w:bCs/>
        </w:rPr>
        <w:t>)</w:t>
      </w:r>
    </w:p>
    <w:p w14:paraId="1EAFA183" w14:textId="77777777" w:rsidR="00EE13E5" w:rsidRDefault="00EE13E5" w:rsidP="008D6685">
      <w:pPr>
        <w:rPr>
          <w:rFonts w:ascii="Times New Roman" w:hAnsi="Times New Roman"/>
          <w:b/>
          <w:bCs/>
          <w:lang w:val="es-CR"/>
        </w:rPr>
      </w:pPr>
      <w:r w:rsidRPr="00EE13E5">
        <w:rPr>
          <w:rFonts w:ascii="Times New Roman" w:hAnsi="Times New Roman"/>
          <w:b/>
          <w:bCs/>
          <w:noProof/>
          <w:lang w:val="es-CR"/>
        </w:rPr>
        <w:drawing>
          <wp:inline distT="0" distB="0" distL="0" distR="0" wp14:anchorId="3F9D6171" wp14:editId="664E37B9">
            <wp:extent cx="2962275" cy="2246058"/>
            <wp:effectExtent l="0" t="0" r="0" b="1905"/>
            <wp:docPr id="84200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08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6639" cy="225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C47B" w14:textId="1A3807EC" w:rsidR="00886EA2" w:rsidRDefault="00343131" w:rsidP="003D0F51">
      <w:pPr>
        <w:jc w:val="both"/>
        <w:rPr>
          <w:rFonts w:ascii="Times New Roman" w:hAnsi="Times New Roman"/>
          <w:lang w:val="es-CR"/>
        </w:rPr>
      </w:pPr>
      <w:r w:rsidRPr="00343131">
        <w:rPr>
          <w:rFonts w:ascii="Times New Roman" w:hAnsi="Times New Roman"/>
          <w:lang w:val="es-CR"/>
        </w:rPr>
        <w:t>El modelo de regresión lineal múltiple es globalmente significativo (F=9.184; p=1.017e</w:t>
      </w:r>
      <w:r w:rsidR="002909A0">
        <w:rPr>
          <w:rFonts w:ascii="Times New Roman" w:hAnsi="Times New Roman"/>
          <w:lang w:val="es-CR"/>
        </w:rPr>
        <w:t>-</w:t>
      </w:r>
      <w:r w:rsidRPr="00343131">
        <w:rPr>
          <w:rFonts w:ascii="Times New Roman" w:hAnsi="Times New Roman"/>
          <w:lang w:val="es-CR"/>
        </w:rPr>
        <w:t>05), aunque con capacidad explicativa limitada</w:t>
      </w:r>
      <w:r>
        <w:rPr>
          <w:rFonts w:ascii="Times New Roman" w:hAnsi="Times New Roman"/>
          <w:lang w:val="es-CR"/>
        </w:rPr>
        <w:t xml:space="preserve">, puesto a </w:t>
      </w:r>
      <w:proofErr w:type="spellStart"/>
      <w:r>
        <w:rPr>
          <w:rFonts w:ascii="Times New Roman" w:hAnsi="Times New Roman"/>
          <w:lang w:val="es-CR"/>
        </w:rPr>
        <w:t>Rs</w:t>
      </w:r>
      <w:proofErr w:type="spellEnd"/>
      <w:r>
        <w:rPr>
          <w:rFonts w:ascii="Times New Roman" w:hAnsi="Times New Roman"/>
          <w:lang w:val="es-CR"/>
        </w:rPr>
        <w:t xml:space="preserve"> bastante baj</w:t>
      </w:r>
      <w:r w:rsidR="002909A0">
        <w:rPr>
          <w:rFonts w:ascii="Times New Roman" w:hAnsi="Times New Roman"/>
          <w:lang w:val="es-CR"/>
        </w:rPr>
        <w:t>a</w:t>
      </w:r>
      <w:r>
        <w:rPr>
          <w:rFonts w:ascii="Times New Roman" w:hAnsi="Times New Roman"/>
          <w:lang w:val="es-CR"/>
        </w:rPr>
        <w:t xml:space="preserve">s: </w:t>
      </w:r>
      <w:r w:rsidRPr="00343131">
        <w:rPr>
          <w:rFonts w:ascii="Times New Roman" w:hAnsi="Times New Roman"/>
          <w:lang w:val="es-CR"/>
        </w:rPr>
        <w:t>R²=0.122; R² ajustado=0.108. A nivel individual, TPM presenta asociación positiva y significativa</w:t>
      </w:r>
      <w:r>
        <w:rPr>
          <w:rFonts w:ascii="Times New Roman" w:hAnsi="Times New Roman"/>
          <w:lang w:val="es-CR"/>
        </w:rPr>
        <w:t xml:space="preserve"> increíblemente alta (0.1%)</w:t>
      </w:r>
      <w:r w:rsidRPr="00343131">
        <w:rPr>
          <w:rFonts w:ascii="Times New Roman" w:hAnsi="Times New Roman"/>
          <w:lang w:val="es-CR"/>
        </w:rPr>
        <w:t xml:space="preserve"> con PD90 (p</w:t>
      </w:r>
      <w:r w:rsidR="002909A0">
        <w:rPr>
          <w:rFonts w:ascii="Times New Roman" w:hAnsi="Times New Roman"/>
          <w:lang w:val="es-CR"/>
        </w:rPr>
        <w:t>=</w:t>
      </w:r>
      <w:r w:rsidRPr="00343131">
        <w:rPr>
          <w:rFonts w:ascii="Times New Roman" w:hAnsi="Times New Roman"/>
          <w:lang w:val="es-CR"/>
        </w:rPr>
        <w:t>0.0075)</w:t>
      </w:r>
      <w:r>
        <w:rPr>
          <w:rFonts w:ascii="Times New Roman" w:hAnsi="Times New Roman"/>
          <w:lang w:val="es-CR"/>
        </w:rPr>
        <w:t xml:space="preserve">, es decir, </w:t>
      </w:r>
      <w:r w:rsidRPr="00343131">
        <w:rPr>
          <w:rFonts w:ascii="Times New Roman" w:hAnsi="Times New Roman"/>
          <w:lang w:val="es-CR"/>
        </w:rPr>
        <w:t>si la TPM sube en 1 unidad, PD90 sube en 0.0001558, mientras que la inflación presenta asociación negativa y altamente significativa (p</w:t>
      </w:r>
      <w:r w:rsidR="002909A0" w:rsidRPr="002909A0">
        <w:rPr>
          <w:rFonts w:ascii="Times New Roman" w:hAnsi="Times New Roman"/>
          <w:lang w:val="es-CR"/>
        </w:rPr>
        <w:t>&lt;</w:t>
      </w:r>
      <w:r w:rsidRPr="00343131">
        <w:rPr>
          <w:rFonts w:ascii="Times New Roman" w:hAnsi="Times New Roman"/>
          <w:lang w:val="es-CR"/>
        </w:rPr>
        <w:t>0.001)</w:t>
      </w:r>
      <w:r>
        <w:rPr>
          <w:rFonts w:ascii="Times New Roman" w:hAnsi="Times New Roman"/>
          <w:lang w:val="es-CR"/>
        </w:rPr>
        <w:t xml:space="preserve">, por ende, establece que </w:t>
      </w:r>
      <w:r w:rsidRPr="00343131">
        <w:rPr>
          <w:rFonts w:ascii="Times New Roman" w:hAnsi="Times New Roman"/>
          <w:lang w:val="es-CR"/>
        </w:rPr>
        <w:t>si la inflación sube en 1 unidad</w:t>
      </w:r>
      <w:r>
        <w:rPr>
          <w:rFonts w:ascii="Times New Roman" w:hAnsi="Times New Roman"/>
          <w:lang w:val="es-CR"/>
        </w:rPr>
        <w:t xml:space="preserve"> </w:t>
      </w:r>
      <w:r w:rsidRPr="00343131">
        <w:rPr>
          <w:rFonts w:ascii="Times New Roman" w:hAnsi="Times New Roman"/>
          <w:lang w:val="es-CR"/>
        </w:rPr>
        <w:t>PD90 baja en 0.0002047</w:t>
      </w:r>
      <w:r>
        <w:rPr>
          <w:rFonts w:ascii="Times New Roman" w:hAnsi="Times New Roman"/>
          <w:lang w:val="es-CR"/>
        </w:rPr>
        <w:t>.</w:t>
      </w:r>
      <w:r w:rsidRPr="00343131">
        <w:rPr>
          <w:rFonts w:ascii="Times New Roman" w:hAnsi="Times New Roman"/>
          <w:lang w:val="es-CR"/>
        </w:rPr>
        <w:t xml:space="preserve"> El tipo de cambio no resulta significativo (p=0.616), por lo que no se observa evidencia de relación lineal con PD90</w:t>
      </w:r>
      <w:r>
        <w:rPr>
          <w:rFonts w:ascii="Times New Roman" w:hAnsi="Times New Roman"/>
          <w:lang w:val="es-CR"/>
        </w:rPr>
        <w:t>.</w:t>
      </w:r>
    </w:p>
    <w:p w14:paraId="2081F714" w14:textId="77777777" w:rsidR="00886EA2" w:rsidRPr="003D0F51" w:rsidRDefault="00886EA2" w:rsidP="003D0F51">
      <w:pPr>
        <w:jc w:val="both"/>
        <w:rPr>
          <w:rFonts w:ascii="Times New Roman" w:hAnsi="Times New Roman"/>
          <w:b/>
          <w:bCs/>
        </w:rPr>
      </w:pPr>
      <w:r w:rsidRPr="003D0F51">
        <w:rPr>
          <w:rFonts w:ascii="Times New Roman" w:hAnsi="Times New Roman"/>
          <w:b/>
          <w:bCs/>
        </w:rPr>
        <w:t xml:space="preserve">Mod2 - </w:t>
      </w:r>
      <w:proofErr w:type="spellStart"/>
      <w:r w:rsidRPr="003D0F51">
        <w:rPr>
          <w:rFonts w:ascii="Times New Roman" w:hAnsi="Times New Roman"/>
          <w:b/>
          <w:bCs/>
        </w:rPr>
        <w:t>mod_inf_TPM</w:t>
      </w:r>
      <w:proofErr w:type="spellEnd"/>
      <w:r w:rsidRPr="003D0F51">
        <w:rPr>
          <w:rFonts w:ascii="Times New Roman" w:hAnsi="Times New Roman"/>
          <w:b/>
          <w:bCs/>
        </w:rPr>
        <w:t xml:space="preserve"> &lt;- </w:t>
      </w:r>
      <w:proofErr w:type="spellStart"/>
      <w:proofErr w:type="gramStart"/>
      <w:r w:rsidRPr="003D0F51">
        <w:rPr>
          <w:rFonts w:ascii="Times New Roman" w:hAnsi="Times New Roman"/>
          <w:b/>
          <w:bCs/>
        </w:rPr>
        <w:t>lm</w:t>
      </w:r>
      <w:proofErr w:type="spellEnd"/>
      <w:r w:rsidRPr="003D0F51">
        <w:rPr>
          <w:rFonts w:ascii="Times New Roman" w:hAnsi="Times New Roman"/>
          <w:b/>
          <w:bCs/>
        </w:rPr>
        <w:t>(</w:t>
      </w:r>
      <w:proofErr w:type="gramEnd"/>
      <w:r w:rsidRPr="003D0F51">
        <w:rPr>
          <w:rFonts w:ascii="Times New Roman" w:hAnsi="Times New Roman"/>
          <w:b/>
          <w:bCs/>
        </w:rPr>
        <w:t xml:space="preserve">PD90 ~ INF_YOY + TPM, data = </w:t>
      </w:r>
      <w:proofErr w:type="spellStart"/>
      <w:r w:rsidRPr="003D0F51">
        <w:rPr>
          <w:rFonts w:ascii="Times New Roman" w:hAnsi="Times New Roman"/>
          <w:b/>
          <w:bCs/>
        </w:rPr>
        <w:t>datos</w:t>
      </w:r>
      <w:proofErr w:type="spellEnd"/>
      <w:r w:rsidRPr="003D0F51">
        <w:rPr>
          <w:rFonts w:ascii="Times New Roman" w:hAnsi="Times New Roman"/>
          <w:b/>
          <w:bCs/>
        </w:rPr>
        <w:t>)</w:t>
      </w:r>
    </w:p>
    <w:p w14:paraId="6F1186EB" w14:textId="4CD72580" w:rsidR="00886EA2" w:rsidRDefault="00886EA2" w:rsidP="003D0F51">
      <w:pPr>
        <w:jc w:val="both"/>
        <w:rPr>
          <w:rFonts w:ascii="Times New Roman" w:hAnsi="Times New Roman"/>
          <w:lang w:val="es-CR"/>
        </w:rPr>
      </w:pPr>
      <w:r w:rsidRPr="00886EA2">
        <w:rPr>
          <w:rFonts w:ascii="Times New Roman" w:hAnsi="Times New Roman"/>
          <w:lang w:val="es-CR"/>
        </w:rPr>
        <w:t xml:space="preserve">Dado a lo visto en el modelo global, se decidió realizar </w:t>
      </w:r>
      <w:r>
        <w:rPr>
          <w:rFonts w:ascii="Times New Roman" w:hAnsi="Times New Roman"/>
          <w:lang w:val="es-CR"/>
        </w:rPr>
        <w:t>otra regresión, sin contemplar FX, dado a no ser significativa, su resultado fue:</w:t>
      </w:r>
    </w:p>
    <w:p w14:paraId="004666BD" w14:textId="77777777" w:rsidR="00886EA2" w:rsidRDefault="00886EA2" w:rsidP="008D6685">
      <w:pPr>
        <w:rPr>
          <w:rFonts w:ascii="Times New Roman" w:hAnsi="Times New Roman"/>
          <w:lang w:val="es-CR"/>
        </w:rPr>
      </w:pPr>
      <w:r w:rsidRPr="00886EA2">
        <w:rPr>
          <w:rFonts w:ascii="Times New Roman" w:hAnsi="Times New Roman"/>
          <w:noProof/>
          <w:lang w:val="es-CR"/>
        </w:rPr>
        <w:drawing>
          <wp:inline distT="0" distB="0" distL="0" distR="0" wp14:anchorId="1B353C3B" wp14:editId="10FD01A2">
            <wp:extent cx="3181350" cy="2127066"/>
            <wp:effectExtent l="0" t="0" r="0" b="6985"/>
            <wp:docPr id="12445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3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96" cy="21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EA2">
        <w:rPr>
          <w:rFonts w:ascii="Times New Roman" w:hAnsi="Times New Roman"/>
          <w:lang w:val="es-CR"/>
        </w:rPr>
        <w:t xml:space="preserve"> </w:t>
      </w:r>
    </w:p>
    <w:p w14:paraId="338C4693" w14:textId="16ABEFB2" w:rsidR="003B14FC" w:rsidRDefault="00886EA2" w:rsidP="003D0F51">
      <w:pPr>
        <w:jc w:val="both"/>
        <w:rPr>
          <w:rFonts w:ascii="Times New Roman" w:hAnsi="Times New Roman"/>
          <w:lang w:val="es-CR"/>
        </w:rPr>
      </w:pPr>
      <w:r w:rsidRPr="00886EA2">
        <w:rPr>
          <w:rFonts w:ascii="Times New Roman" w:hAnsi="Times New Roman"/>
          <w:lang w:val="es-CR"/>
        </w:rPr>
        <w:lastRenderedPageBreak/>
        <w:t>Al estimar un modelo alternativo excluyendo FX (PD90 ~ INF_YOY + TPM), el modelo se mantiene globalmente significativo (F=13.7; p=2.652e</w:t>
      </w:r>
      <w:r w:rsidR="002909A0">
        <w:rPr>
          <w:rFonts w:ascii="Times New Roman" w:hAnsi="Times New Roman"/>
          <w:lang w:val="es-CR"/>
        </w:rPr>
        <w:t>-</w:t>
      </w:r>
      <w:r w:rsidRPr="00886EA2">
        <w:rPr>
          <w:rFonts w:ascii="Times New Roman" w:hAnsi="Times New Roman"/>
          <w:lang w:val="es-CR"/>
        </w:rPr>
        <w:t>06</w:t>
      </w:r>
      <w:r w:rsidR="002C6587">
        <w:rPr>
          <w:rFonts w:ascii="Times New Roman" w:hAnsi="Times New Roman"/>
          <w:lang w:val="es-CR"/>
        </w:rPr>
        <w:t xml:space="preserve">), </w:t>
      </w:r>
      <w:r w:rsidR="006E676C">
        <w:rPr>
          <w:rFonts w:ascii="Times New Roman" w:hAnsi="Times New Roman"/>
          <w:lang w:val="es-CR"/>
        </w:rPr>
        <w:t>no obstante</w:t>
      </w:r>
      <w:r w:rsidR="002C6587">
        <w:rPr>
          <w:rFonts w:ascii="Times New Roman" w:hAnsi="Times New Roman"/>
          <w:lang w:val="es-CR"/>
        </w:rPr>
        <w:t xml:space="preserve">, el ajuste no fue tan extraordinario, puesto que las </w:t>
      </w:r>
      <w:proofErr w:type="spellStart"/>
      <w:r w:rsidR="002C6587">
        <w:rPr>
          <w:rFonts w:ascii="Times New Roman" w:hAnsi="Times New Roman"/>
          <w:lang w:val="es-CR"/>
        </w:rPr>
        <w:t>Rs</w:t>
      </w:r>
      <w:proofErr w:type="spellEnd"/>
      <w:r w:rsidR="002C6587">
        <w:rPr>
          <w:rFonts w:ascii="Times New Roman" w:hAnsi="Times New Roman"/>
          <w:lang w:val="es-CR"/>
        </w:rPr>
        <w:t xml:space="preserve"> son muy similares al modelo completo: </w:t>
      </w:r>
      <w:r w:rsidRPr="00886EA2">
        <w:rPr>
          <w:rFonts w:ascii="Times New Roman" w:hAnsi="Times New Roman"/>
          <w:lang w:val="es-CR"/>
        </w:rPr>
        <w:t>R²=0.121; R² ajustado=0.112</w:t>
      </w:r>
      <w:r w:rsidR="002C6587">
        <w:rPr>
          <w:rFonts w:ascii="Times New Roman" w:hAnsi="Times New Roman"/>
          <w:lang w:val="es-CR"/>
        </w:rPr>
        <w:t>, y por otro lado, t</w:t>
      </w:r>
      <w:r w:rsidRPr="00886EA2">
        <w:rPr>
          <w:rFonts w:ascii="Times New Roman" w:hAnsi="Times New Roman"/>
          <w:lang w:val="es-CR"/>
        </w:rPr>
        <w:t>anto INF_YOY como TPM conservan sus signos y significancia estadística (INF_YOY negativa, p&lt;0.001</w:t>
      </w:r>
      <w:r w:rsidR="002909A0">
        <w:rPr>
          <w:rFonts w:ascii="Times New Roman" w:hAnsi="Times New Roman"/>
          <w:lang w:val="es-CR"/>
        </w:rPr>
        <w:t xml:space="preserve"> &amp;</w:t>
      </w:r>
      <w:r w:rsidRPr="00886EA2">
        <w:rPr>
          <w:rFonts w:ascii="Times New Roman" w:hAnsi="Times New Roman"/>
          <w:lang w:val="es-CR"/>
        </w:rPr>
        <w:t xml:space="preserve"> TPM positiva, p&lt;0.01)</w:t>
      </w:r>
      <w:r w:rsidR="006E676C">
        <w:rPr>
          <w:rFonts w:ascii="Times New Roman" w:hAnsi="Times New Roman"/>
          <w:lang w:val="es-CR"/>
        </w:rPr>
        <w:t>, mostrando consistencia, por ende, dado que</w:t>
      </w:r>
      <w:r w:rsidRPr="00886EA2">
        <w:rPr>
          <w:rFonts w:ascii="Times New Roman" w:hAnsi="Times New Roman"/>
          <w:lang w:val="es-CR"/>
        </w:rPr>
        <w:t xml:space="preserve"> FX no resultó significativa en el modelo inicial y su exclusión no reduce el ajuste</w:t>
      </w:r>
      <w:r w:rsidR="006E676C">
        <w:rPr>
          <w:rFonts w:ascii="Times New Roman" w:hAnsi="Times New Roman"/>
          <w:lang w:val="es-CR"/>
        </w:rPr>
        <w:t xml:space="preserve">, se prefiere este último, </w:t>
      </w:r>
      <w:r w:rsidR="006E676C" w:rsidRPr="006E676C">
        <w:rPr>
          <w:rFonts w:ascii="Times New Roman" w:hAnsi="Times New Roman"/>
          <w:lang w:val="es-CR"/>
        </w:rPr>
        <w:t>con el fin de evitar incorporar una variable que no aporta evidencia estadística y que podría introducir ruido innecesario.</w:t>
      </w:r>
    </w:p>
    <w:p w14:paraId="1F6D5F62" w14:textId="77777777" w:rsidR="003B14FC" w:rsidRDefault="003B14FC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3B14FC">
        <w:rPr>
          <w:rFonts w:ascii="Times New Roman" w:hAnsi="Times New Roman"/>
          <w:b/>
          <w:bCs/>
          <w:lang w:val="es-CR"/>
        </w:rPr>
        <w:t>Sugerencia/Perspectiva</w:t>
      </w:r>
    </w:p>
    <w:p w14:paraId="1EA53734" w14:textId="39A79F60" w:rsidR="00583B18" w:rsidRDefault="003B14FC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 xml:space="preserve">Establecido lo anterior, se puede observar que </w:t>
      </w:r>
      <w:r w:rsidRPr="003B14FC">
        <w:rPr>
          <w:rFonts w:ascii="Times New Roman" w:hAnsi="Times New Roman"/>
          <w:lang w:val="es-CR"/>
        </w:rPr>
        <w:t>La TPM aparece como variable relevante: incrementos en tasas se asocian con mayor PD90, consistente con presión en la capacidad de pago</w:t>
      </w:r>
      <w:r>
        <w:rPr>
          <w:rFonts w:ascii="Times New Roman" w:hAnsi="Times New Roman"/>
          <w:lang w:val="es-CR"/>
        </w:rPr>
        <w:t>.</w:t>
      </w:r>
      <w:r w:rsidR="0091067A">
        <w:rPr>
          <w:rFonts w:ascii="Times New Roman" w:hAnsi="Times New Roman"/>
          <w:lang w:val="es-CR"/>
        </w:rPr>
        <w:t xml:space="preserve"> </w:t>
      </w:r>
      <w:r>
        <w:rPr>
          <w:rFonts w:ascii="Times New Roman" w:hAnsi="Times New Roman"/>
          <w:lang w:val="es-CR"/>
        </w:rPr>
        <w:t xml:space="preserve">El signo negativo de la inflación puede reflejar una dinámica temporal, puesto a su naturaleza como variable económica y con esa relación de a menor mora por unidad de inflación, </w:t>
      </w:r>
      <w:r w:rsidR="0091067A" w:rsidRPr="0091067A">
        <w:rPr>
          <w:rFonts w:ascii="Times New Roman" w:hAnsi="Times New Roman"/>
          <w:lang w:val="es-CR"/>
        </w:rPr>
        <w:t>resulta un hallazgo interesante para profundizar en futuros análisis.</w:t>
      </w:r>
      <w:r w:rsidR="0091067A">
        <w:rPr>
          <w:rFonts w:ascii="Times New Roman" w:hAnsi="Times New Roman"/>
          <w:lang w:val="es-CR"/>
        </w:rPr>
        <w:t xml:space="preserve"> </w:t>
      </w:r>
      <w:r>
        <w:rPr>
          <w:rFonts w:ascii="Times New Roman" w:hAnsi="Times New Roman"/>
          <w:lang w:val="es-CR"/>
        </w:rPr>
        <w:t xml:space="preserve">El FX, </w:t>
      </w:r>
      <w:r w:rsidR="00C0367F">
        <w:rPr>
          <w:rFonts w:ascii="Times New Roman" w:hAnsi="Times New Roman"/>
          <w:lang w:val="es-CR"/>
        </w:rPr>
        <w:t>a pesar de que</w:t>
      </w:r>
      <w:r w:rsidR="001121D8" w:rsidRPr="001121D8">
        <w:rPr>
          <w:rFonts w:ascii="Times New Roman" w:hAnsi="Times New Roman"/>
          <w:lang w:val="es-CR"/>
        </w:rPr>
        <w:t xml:space="preserve"> es una variable importante para el SFN debido a la composición y exposición del crédito</w:t>
      </w:r>
      <w:r>
        <w:rPr>
          <w:rFonts w:ascii="Times New Roman" w:hAnsi="Times New Roman"/>
          <w:lang w:val="es-CR"/>
        </w:rPr>
        <w:t xml:space="preserve">, </w:t>
      </w:r>
      <w:r w:rsidR="001121D8">
        <w:rPr>
          <w:rFonts w:ascii="Times New Roman" w:hAnsi="Times New Roman"/>
          <w:lang w:val="es-CR"/>
        </w:rPr>
        <w:t xml:space="preserve">en este reporte, </w:t>
      </w:r>
      <w:r>
        <w:rPr>
          <w:rFonts w:ascii="Times New Roman" w:hAnsi="Times New Roman"/>
          <w:lang w:val="es-CR"/>
        </w:rPr>
        <w:t xml:space="preserve">no muestra relación lineal </w:t>
      </w:r>
      <w:r w:rsidR="001121D8">
        <w:rPr>
          <w:rFonts w:ascii="Times New Roman" w:hAnsi="Times New Roman"/>
          <w:lang w:val="es-CR"/>
        </w:rPr>
        <w:t>significativa</w:t>
      </w:r>
      <w:r w:rsidR="00C0367F">
        <w:rPr>
          <w:rFonts w:ascii="Times New Roman" w:hAnsi="Times New Roman"/>
          <w:lang w:val="es-CR"/>
        </w:rPr>
        <w:t xml:space="preserve"> con PD90. Lo</w:t>
      </w:r>
      <w:r>
        <w:rPr>
          <w:rFonts w:ascii="Times New Roman" w:hAnsi="Times New Roman"/>
          <w:lang w:val="es-CR"/>
        </w:rPr>
        <w:t xml:space="preserve"> que alza la incógnita </w:t>
      </w:r>
      <w:r w:rsidR="00C0367F" w:rsidRPr="00C0367F">
        <w:rPr>
          <w:rFonts w:ascii="Times New Roman" w:hAnsi="Times New Roman"/>
          <w:lang w:val="es-CR"/>
        </w:rPr>
        <w:t>si el efecto del tipo de cambio se manifiesta de forma no lineal</w:t>
      </w:r>
      <w:r w:rsidR="00C0367F">
        <w:rPr>
          <w:rFonts w:ascii="Times New Roman" w:hAnsi="Times New Roman"/>
          <w:lang w:val="es-CR"/>
        </w:rPr>
        <w:t xml:space="preserve"> o en segmentos específicos, </w:t>
      </w:r>
      <w:r w:rsidR="00583B18">
        <w:rPr>
          <w:rFonts w:ascii="Times New Roman" w:hAnsi="Times New Roman"/>
          <w:lang w:val="es-CR"/>
        </w:rPr>
        <w:t>tomando,</w:t>
      </w:r>
      <w:r w:rsidR="00C0367F">
        <w:rPr>
          <w:rFonts w:ascii="Times New Roman" w:hAnsi="Times New Roman"/>
          <w:lang w:val="es-CR"/>
        </w:rPr>
        <w:t xml:space="preserve"> por ejemplo, carteras en moneda extranjera, entre otros</w:t>
      </w:r>
      <w:r>
        <w:rPr>
          <w:rFonts w:ascii="Times New Roman" w:hAnsi="Times New Roman"/>
          <w:lang w:val="es-CR"/>
        </w:rPr>
        <w:t xml:space="preserve">. </w:t>
      </w:r>
    </w:p>
    <w:p w14:paraId="019589A5" w14:textId="65E5593E" w:rsidR="003B14FC" w:rsidRDefault="003B14FC" w:rsidP="003D0F51">
      <w:pPr>
        <w:jc w:val="both"/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t>Por último, dado a l</w:t>
      </w:r>
      <w:r w:rsidR="00065FA6">
        <w:rPr>
          <w:rFonts w:ascii="Times New Roman" w:hAnsi="Times New Roman"/>
          <w:lang w:val="es-CR"/>
        </w:rPr>
        <w:t>a</w:t>
      </w:r>
      <w:r>
        <w:rPr>
          <w:rFonts w:ascii="Times New Roman" w:hAnsi="Times New Roman"/>
          <w:lang w:val="es-CR"/>
        </w:rPr>
        <w:t xml:space="preserve">s </w:t>
      </w:r>
      <w:proofErr w:type="spellStart"/>
      <w:r>
        <w:rPr>
          <w:rFonts w:ascii="Times New Roman" w:hAnsi="Times New Roman"/>
          <w:lang w:val="es-CR"/>
        </w:rPr>
        <w:t>Rs</w:t>
      </w:r>
      <w:proofErr w:type="spellEnd"/>
      <w:r>
        <w:rPr>
          <w:rFonts w:ascii="Times New Roman" w:hAnsi="Times New Roman"/>
          <w:lang w:val="es-CR"/>
        </w:rPr>
        <w:t xml:space="preserve">, </w:t>
      </w:r>
      <w:r w:rsidRPr="003B14FC">
        <w:rPr>
          <w:rFonts w:ascii="Times New Roman" w:hAnsi="Times New Roman"/>
          <w:lang w:val="es-CR"/>
        </w:rPr>
        <w:t>la mora PD90 probablemente depende también de variables omitidas (empleo, actividad económica, condiciones crediticias, shocks específicos</w:t>
      </w:r>
      <w:r w:rsidR="00D56FE7">
        <w:rPr>
          <w:rFonts w:ascii="Times New Roman" w:hAnsi="Times New Roman"/>
          <w:lang w:val="es-CR"/>
        </w:rPr>
        <w:t>, entre otras</w:t>
      </w:r>
      <w:r w:rsidRPr="003B14FC">
        <w:rPr>
          <w:rFonts w:ascii="Times New Roman" w:hAnsi="Times New Roman"/>
          <w:lang w:val="es-CR"/>
        </w:rPr>
        <w:t>).</w:t>
      </w:r>
    </w:p>
    <w:p w14:paraId="7EC0AC75" w14:textId="77777777" w:rsidR="00E4217C" w:rsidRDefault="003B14FC" w:rsidP="003D0F51">
      <w:pPr>
        <w:jc w:val="both"/>
        <w:rPr>
          <w:rFonts w:ascii="Times New Roman" w:hAnsi="Times New Roman"/>
          <w:lang w:val="es-CR"/>
        </w:rPr>
      </w:pPr>
      <w:r w:rsidRPr="003B14FC">
        <w:rPr>
          <w:rFonts w:ascii="Times New Roman" w:hAnsi="Times New Roman"/>
          <w:lang w:val="es-CR"/>
        </w:rPr>
        <w:t xml:space="preserve">En </w:t>
      </w:r>
      <w:r>
        <w:rPr>
          <w:rFonts w:ascii="Times New Roman" w:hAnsi="Times New Roman"/>
          <w:lang w:val="es-CR"/>
        </w:rPr>
        <w:t>resumen</w:t>
      </w:r>
      <w:r w:rsidRPr="003B14FC">
        <w:rPr>
          <w:rFonts w:ascii="Times New Roman" w:hAnsi="Times New Roman"/>
          <w:lang w:val="es-CR"/>
        </w:rPr>
        <w:t xml:space="preserve">, la evidencia sugiere que </w:t>
      </w:r>
      <w:r>
        <w:rPr>
          <w:rFonts w:ascii="Times New Roman" w:hAnsi="Times New Roman"/>
          <w:lang w:val="es-CR"/>
        </w:rPr>
        <w:t>la TPM</w:t>
      </w:r>
      <w:r w:rsidRPr="003B14FC">
        <w:rPr>
          <w:rFonts w:ascii="Times New Roman" w:hAnsi="Times New Roman"/>
          <w:lang w:val="es-CR"/>
        </w:rPr>
        <w:t xml:space="preserve"> y </w:t>
      </w:r>
      <w:r>
        <w:rPr>
          <w:rFonts w:ascii="Times New Roman" w:hAnsi="Times New Roman"/>
          <w:lang w:val="es-CR"/>
        </w:rPr>
        <w:t>la inflación</w:t>
      </w:r>
      <w:r w:rsidRPr="003B14FC">
        <w:rPr>
          <w:rFonts w:ascii="Times New Roman" w:hAnsi="Times New Roman"/>
          <w:lang w:val="es-CR"/>
        </w:rPr>
        <w:t xml:space="preserve"> se asocian con el comportamiento de la mora PD90+ en 2007</w:t>
      </w:r>
      <w:r w:rsidR="00340AB9">
        <w:rPr>
          <w:rFonts w:ascii="Times New Roman" w:hAnsi="Times New Roman"/>
          <w:lang w:val="es-CR"/>
        </w:rPr>
        <w:t>-</w:t>
      </w:r>
      <w:r w:rsidRPr="003B14FC">
        <w:rPr>
          <w:rFonts w:ascii="Times New Roman" w:hAnsi="Times New Roman"/>
          <w:lang w:val="es-CR"/>
        </w:rPr>
        <w:t>2023, mientras que el tipo de cambio no muestra evidencia lineal significativa bajo este enfoque</w:t>
      </w:r>
      <w:r w:rsidR="00773CCE">
        <w:rPr>
          <w:rFonts w:ascii="Times New Roman" w:hAnsi="Times New Roman"/>
          <w:lang w:val="es-CR"/>
        </w:rPr>
        <w:t>.</w:t>
      </w:r>
    </w:p>
    <w:p w14:paraId="13BE3C02" w14:textId="77777777" w:rsidR="00E4217C" w:rsidRDefault="00E4217C">
      <w:pPr>
        <w:rPr>
          <w:rFonts w:ascii="Times New Roman" w:hAnsi="Times New Roman"/>
          <w:lang w:val="es-CR"/>
        </w:rPr>
      </w:pPr>
      <w:r>
        <w:rPr>
          <w:rFonts w:ascii="Times New Roman" w:hAnsi="Times New Roman"/>
          <w:lang w:val="es-CR"/>
        </w:rPr>
        <w:br w:type="page"/>
      </w:r>
    </w:p>
    <w:p w14:paraId="3E204F8F" w14:textId="77777777" w:rsidR="00E4217C" w:rsidRDefault="00E4217C" w:rsidP="003D0F51">
      <w:pPr>
        <w:jc w:val="both"/>
        <w:rPr>
          <w:rFonts w:ascii="Times New Roman" w:hAnsi="Times New Roman"/>
          <w:lang w:val="es-CR"/>
        </w:rPr>
      </w:pPr>
      <w:r w:rsidRPr="00E4217C">
        <w:rPr>
          <w:rFonts w:ascii="Times New Roman" w:hAnsi="Times New Roman"/>
          <w:b/>
          <w:bCs/>
          <w:lang w:val="es-CR"/>
        </w:rPr>
        <w:lastRenderedPageBreak/>
        <w:t>Reporte de Analista 2.</w:t>
      </w:r>
    </w:p>
    <w:p w14:paraId="41740004" w14:textId="41F0635A" w:rsidR="00121BE7" w:rsidRPr="00E4217C" w:rsidRDefault="00121BE7" w:rsidP="003D0F51">
      <w:pPr>
        <w:jc w:val="both"/>
        <w:rPr>
          <w:rFonts w:ascii="Times New Roman" w:hAnsi="Times New Roman"/>
          <w:b/>
          <w:bCs/>
          <w:lang w:val="es-CR"/>
        </w:rPr>
      </w:pPr>
      <w:r w:rsidRPr="00E4217C">
        <w:rPr>
          <w:rFonts w:ascii="Times New Roman" w:hAnsi="Times New Roman"/>
          <w:b/>
          <w:bCs/>
          <w:lang w:val="es-CR"/>
        </w:rPr>
        <w:br w:type="page"/>
      </w:r>
    </w:p>
    <w:p w14:paraId="38B65CC2" w14:textId="77777777" w:rsidR="00121BE7" w:rsidRPr="001C0DD3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b/>
          <w:bCs/>
          <w:lang w:val="es-CR"/>
        </w:rPr>
        <w:lastRenderedPageBreak/>
        <w:t>Referencias</w:t>
      </w:r>
    </w:p>
    <w:p w14:paraId="471141D6" w14:textId="77777777" w:rsidR="00121BE7" w:rsidRPr="004123E4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lang w:val="es-CR"/>
        </w:rPr>
        <w:t xml:space="preserve">Banco Central de Costa Rica. (s. f.). </w:t>
      </w:r>
      <w:r w:rsidRPr="004123E4">
        <w:rPr>
          <w:rFonts w:ascii="Times New Roman" w:hAnsi="Times New Roman"/>
          <w:i/>
          <w:iCs/>
          <w:lang w:val="es-CR"/>
        </w:rPr>
        <w:t>Tasa de política monetaria</w:t>
      </w:r>
      <w:r w:rsidRPr="004123E4">
        <w:rPr>
          <w:rFonts w:ascii="Times New Roman" w:hAnsi="Times New Roman"/>
          <w:lang w:val="es-CR"/>
        </w:rPr>
        <w:t xml:space="preserve"> [Conjunto de datos]. Indicadores Económicos (GEE). Recuperado el 19 de febrero de 2026, de </w:t>
      </w:r>
      <w:hyperlink r:id="rId11" w:history="1">
        <w:r w:rsidRPr="0090762B">
          <w:rPr>
            <w:rStyle w:val="Hyperlink"/>
            <w:rFonts w:ascii="Times New Roman" w:eastAsiaTheme="majorEastAsia" w:hAnsi="Times New Roman"/>
            <w:lang w:val="es-CR"/>
          </w:rPr>
          <w:t>https://gee.bccr.fi.cr/indicadoreseconomicos/cuadros/frmvercatcuadro.aspx?idioma=1&amp;codcuadro=779</w:t>
        </w:r>
      </w:hyperlink>
      <w:r>
        <w:rPr>
          <w:rFonts w:ascii="Times New Roman" w:hAnsi="Times New Roman"/>
          <w:lang w:val="es-CR"/>
        </w:rPr>
        <w:t xml:space="preserve"> </w:t>
      </w:r>
    </w:p>
    <w:p w14:paraId="7C1793E4" w14:textId="77777777" w:rsidR="00121BE7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lang w:val="es-CR"/>
        </w:rPr>
        <w:t xml:space="preserve">Banco Central de Costa Rica. (s. f.). </w:t>
      </w:r>
      <w:r w:rsidRPr="004123E4">
        <w:rPr>
          <w:rFonts w:ascii="Times New Roman" w:hAnsi="Times New Roman"/>
          <w:i/>
          <w:iCs/>
          <w:lang w:val="es-CR"/>
        </w:rPr>
        <w:t>Índice de precios al consumidor (IPC)</w:t>
      </w:r>
      <w:r w:rsidRPr="004123E4">
        <w:rPr>
          <w:rFonts w:ascii="Times New Roman" w:hAnsi="Times New Roman"/>
          <w:lang w:val="es-CR"/>
        </w:rPr>
        <w:t xml:space="preserve"> [Conjunto de datos]. Indicadores Económicos (GEE). Recuperado el 19 de febrero de 2026, de </w:t>
      </w:r>
      <w:hyperlink r:id="rId12" w:history="1">
        <w:r w:rsidRPr="0090762B">
          <w:rPr>
            <w:rStyle w:val="Hyperlink"/>
            <w:rFonts w:ascii="Times New Roman" w:eastAsiaTheme="majorEastAsia" w:hAnsi="Times New Roman"/>
            <w:lang w:val="es-CR"/>
          </w:rPr>
          <w:t>https://gee.bccr.fi.cr/indicadoreseconomicos/cuadros/frmvercatcuadro.aspx?idioma=1&amp;codcuadro=2732</w:t>
        </w:r>
      </w:hyperlink>
      <w:r>
        <w:rPr>
          <w:rFonts w:ascii="Times New Roman" w:hAnsi="Times New Roman"/>
          <w:lang w:val="es-CR"/>
        </w:rPr>
        <w:t xml:space="preserve"> </w:t>
      </w:r>
    </w:p>
    <w:p w14:paraId="2F919A46" w14:textId="77777777" w:rsidR="00121BE7" w:rsidRPr="004123E4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lang w:val="es-CR"/>
        </w:rPr>
        <w:t xml:space="preserve">Banco Central de Costa Rica. (s. f.). </w:t>
      </w:r>
      <w:r w:rsidRPr="004123E4">
        <w:rPr>
          <w:rFonts w:ascii="Times New Roman" w:hAnsi="Times New Roman"/>
          <w:i/>
          <w:iCs/>
          <w:lang w:val="es-CR"/>
        </w:rPr>
        <w:t>Indicadores Económicos de Costa Rica (Cuadro 491)</w:t>
      </w:r>
      <w:r w:rsidRPr="004123E4">
        <w:rPr>
          <w:rFonts w:ascii="Times New Roman" w:hAnsi="Times New Roman"/>
          <w:lang w:val="es-CR"/>
        </w:rPr>
        <w:t xml:space="preserve"> [Conjunto de datos]. Recuperado el 19 de febrero de 2026, de </w:t>
      </w:r>
      <w:hyperlink r:id="rId13" w:history="1">
        <w:r w:rsidRPr="0090762B">
          <w:rPr>
            <w:rStyle w:val="Hyperlink"/>
            <w:rFonts w:ascii="Times New Roman" w:eastAsiaTheme="majorEastAsia" w:hAnsi="Times New Roman"/>
            <w:lang w:val="es-CR"/>
          </w:rPr>
          <w:t>https://sdd.bccr.fi.cr/es/IndicadoresEconomicos/Inicio/Contenedor/125?Cuadro=491</w:t>
        </w:r>
      </w:hyperlink>
      <w:r>
        <w:rPr>
          <w:rFonts w:ascii="Times New Roman" w:hAnsi="Times New Roman"/>
          <w:lang w:val="es-CR"/>
        </w:rPr>
        <w:t xml:space="preserve"> </w:t>
      </w:r>
    </w:p>
    <w:p w14:paraId="7FD8406C" w14:textId="77777777" w:rsidR="00121BE7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lang w:val="es-CR"/>
        </w:rPr>
        <w:t xml:space="preserve">Superintendencia General de Entidades Financieras. (s. f.). </w:t>
      </w:r>
      <w:r w:rsidRPr="004123E4">
        <w:rPr>
          <w:rFonts w:ascii="Times New Roman" w:hAnsi="Times New Roman"/>
          <w:i/>
          <w:iCs/>
          <w:lang w:val="es-CR"/>
        </w:rPr>
        <w:t>Descripción de indicadores</w:t>
      </w:r>
      <w:r w:rsidRPr="004123E4">
        <w:rPr>
          <w:rFonts w:ascii="Times New Roman" w:hAnsi="Times New Roman"/>
          <w:lang w:val="es-CR"/>
        </w:rPr>
        <w:t xml:space="preserve"> [PDF]. Recuperado el 19 de febrero de 2026, de </w:t>
      </w:r>
      <w:hyperlink r:id="rId14" w:history="1">
        <w:r w:rsidRPr="0090762B">
          <w:rPr>
            <w:rStyle w:val="Hyperlink"/>
            <w:rFonts w:ascii="Times New Roman" w:eastAsiaTheme="majorEastAsia" w:hAnsi="Times New Roman"/>
            <w:lang w:val="es-CR"/>
          </w:rPr>
          <w:t>https://www.sugef.fi.cr/reportes/IndicadoresFinancieros/documentos/Descripcion_Indicadores.pdf</w:t>
        </w:r>
      </w:hyperlink>
      <w:r>
        <w:rPr>
          <w:rFonts w:ascii="Times New Roman" w:hAnsi="Times New Roman"/>
          <w:lang w:val="es-CR"/>
        </w:rPr>
        <w:t xml:space="preserve"> </w:t>
      </w:r>
    </w:p>
    <w:p w14:paraId="262C7D00" w14:textId="77777777" w:rsidR="00121BE7" w:rsidRPr="00597D6C" w:rsidRDefault="00121BE7" w:rsidP="00121BE7">
      <w:pPr>
        <w:rPr>
          <w:rFonts w:ascii="Times New Roman" w:hAnsi="Times New Roman"/>
          <w:lang w:val="es-CR"/>
        </w:rPr>
      </w:pPr>
      <w:r w:rsidRPr="004123E4">
        <w:rPr>
          <w:rFonts w:ascii="Times New Roman" w:hAnsi="Times New Roman"/>
          <w:lang w:val="es-CR"/>
        </w:rPr>
        <w:t xml:space="preserve">Superintendencia General de Entidades Financieras. (s. f.). </w:t>
      </w:r>
      <w:r w:rsidRPr="004123E4">
        <w:rPr>
          <w:rFonts w:ascii="Times New Roman" w:hAnsi="Times New Roman"/>
          <w:i/>
          <w:iCs/>
          <w:lang w:val="es-CR"/>
        </w:rPr>
        <w:t>Reporte cartera de crédito a partir enero 2024</w:t>
      </w:r>
      <w:r w:rsidRPr="004123E4">
        <w:rPr>
          <w:rFonts w:ascii="Times New Roman" w:hAnsi="Times New Roman"/>
          <w:lang w:val="es-CR"/>
        </w:rPr>
        <w:t xml:space="preserve"> [Conjunto de datos]. Recuperado el 19 de febrero de 2026, de </w:t>
      </w:r>
      <w:hyperlink r:id="rId15" w:history="1">
        <w:r w:rsidRPr="0090762B">
          <w:rPr>
            <w:rStyle w:val="Hyperlink"/>
            <w:rFonts w:ascii="Times New Roman" w:eastAsiaTheme="majorEastAsia" w:hAnsi="Times New Roman"/>
            <w:lang w:val="es-CR"/>
          </w:rPr>
          <w:t>https://www.sugef.fi.cr/rsw_reportes/reporteCrediticioDespues</w:t>
        </w:r>
      </w:hyperlink>
      <w:r>
        <w:rPr>
          <w:rFonts w:ascii="Times New Roman" w:hAnsi="Times New Roman"/>
          <w:lang w:val="es-CR"/>
        </w:rPr>
        <w:t xml:space="preserve"> </w:t>
      </w:r>
    </w:p>
    <w:p w14:paraId="782B85BB" w14:textId="77777777" w:rsidR="00121BE7" w:rsidRPr="00121BE7" w:rsidRDefault="00121BE7">
      <w:pPr>
        <w:rPr>
          <w:rFonts w:ascii="Times New Roman" w:hAnsi="Times New Roman"/>
          <w:lang w:val="es-CR"/>
        </w:rPr>
      </w:pPr>
    </w:p>
    <w:sectPr w:rsidR="00121BE7" w:rsidRPr="00121BE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DE67" w14:textId="77777777" w:rsidR="00F37948" w:rsidRDefault="00F37948" w:rsidP="003D0F51">
      <w:pPr>
        <w:spacing w:after="0" w:line="240" w:lineRule="auto"/>
      </w:pPr>
      <w:r>
        <w:separator/>
      </w:r>
    </w:p>
  </w:endnote>
  <w:endnote w:type="continuationSeparator" w:id="0">
    <w:p w14:paraId="3F2A8491" w14:textId="77777777" w:rsidR="00F37948" w:rsidRDefault="00F37948" w:rsidP="003D0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378918"/>
      <w:docPartObj>
        <w:docPartGallery w:val="Page Numbers (Bottom of Page)"/>
        <w:docPartUnique/>
      </w:docPartObj>
    </w:sdtPr>
    <w:sdtEndPr>
      <w:rPr>
        <w:rFonts w:ascii="Times New Roman" w:hAnsi="Times New Roman"/>
        <w:b/>
        <w:bCs/>
        <w:noProof/>
      </w:rPr>
    </w:sdtEndPr>
    <w:sdtContent>
      <w:p w14:paraId="7FCA961B" w14:textId="2201F2BE" w:rsidR="003D0F51" w:rsidRPr="003D0F51" w:rsidRDefault="003D0F51" w:rsidP="003D0F51">
        <w:pPr>
          <w:pStyle w:val="Footer"/>
          <w:jc w:val="right"/>
          <w:rPr>
            <w:rFonts w:ascii="Times New Roman" w:hAnsi="Times New Roman"/>
            <w:b/>
            <w:bCs/>
          </w:rPr>
        </w:pPr>
        <w:r w:rsidRPr="003D0F51">
          <w:rPr>
            <w:rFonts w:ascii="Times New Roman" w:hAnsi="Times New Roman"/>
            <w:b/>
            <w:bCs/>
          </w:rPr>
          <w:fldChar w:fldCharType="begin"/>
        </w:r>
        <w:r w:rsidRPr="003D0F51">
          <w:rPr>
            <w:rFonts w:ascii="Times New Roman" w:hAnsi="Times New Roman"/>
            <w:b/>
            <w:bCs/>
          </w:rPr>
          <w:instrText xml:space="preserve"> PAGE   \* MERGEFORMAT </w:instrText>
        </w:r>
        <w:r w:rsidRPr="003D0F51">
          <w:rPr>
            <w:rFonts w:ascii="Times New Roman" w:hAnsi="Times New Roman"/>
            <w:b/>
            <w:bCs/>
          </w:rPr>
          <w:fldChar w:fldCharType="separate"/>
        </w:r>
        <w:r w:rsidRPr="003D0F51">
          <w:rPr>
            <w:rFonts w:ascii="Times New Roman" w:hAnsi="Times New Roman"/>
            <w:b/>
            <w:bCs/>
            <w:noProof/>
          </w:rPr>
          <w:t>2</w:t>
        </w:r>
        <w:r w:rsidRPr="003D0F51">
          <w:rPr>
            <w:rFonts w:ascii="Times New Roman" w:hAnsi="Times New Roman"/>
            <w:b/>
            <w:bCs/>
            <w:noProof/>
          </w:rPr>
          <w:fldChar w:fldCharType="end"/>
        </w:r>
      </w:p>
    </w:sdtContent>
  </w:sdt>
  <w:p w14:paraId="051BED83" w14:textId="77777777" w:rsidR="003D0F51" w:rsidRDefault="003D0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0788" w14:textId="77777777" w:rsidR="00F37948" w:rsidRDefault="00F37948" w:rsidP="003D0F51">
      <w:pPr>
        <w:spacing w:after="0" w:line="240" w:lineRule="auto"/>
      </w:pPr>
      <w:r>
        <w:separator/>
      </w:r>
    </w:p>
  </w:footnote>
  <w:footnote w:type="continuationSeparator" w:id="0">
    <w:p w14:paraId="3BBBE0AB" w14:textId="77777777" w:rsidR="00F37948" w:rsidRDefault="00F37948" w:rsidP="003D0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E24"/>
    <w:multiLevelType w:val="multilevel"/>
    <w:tmpl w:val="CDE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7291A"/>
    <w:multiLevelType w:val="multilevel"/>
    <w:tmpl w:val="F6C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95B54"/>
    <w:multiLevelType w:val="multilevel"/>
    <w:tmpl w:val="002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50273"/>
    <w:multiLevelType w:val="multilevel"/>
    <w:tmpl w:val="658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4CA7"/>
    <w:multiLevelType w:val="multilevel"/>
    <w:tmpl w:val="E08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D7BBA"/>
    <w:multiLevelType w:val="multilevel"/>
    <w:tmpl w:val="A1E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B1C37"/>
    <w:multiLevelType w:val="multilevel"/>
    <w:tmpl w:val="233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9430F"/>
    <w:multiLevelType w:val="multilevel"/>
    <w:tmpl w:val="AE5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45079">
    <w:abstractNumId w:val="7"/>
  </w:num>
  <w:num w:numId="2" w16cid:durableId="1130395449">
    <w:abstractNumId w:val="4"/>
  </w:num>
  <w:num w:numId="3" w16cid:durableId="1470628938">
    <w:abstractNumId w:val="1"/>
  </w:num>
  <w:num w:numId="4" w16cid:durableId="623000578">
    <w:abstractNumId w:val="2"/>
  </w:num>
  <w:num w:numId="5" w16cid:durableId="927497490">
    <w:abstractNumId w:val="3"/>
  </w:num>
  <w:num w:numId="6" w16cid:durableId="1443040049">
    <w:abstractNumId w:val="5"/>
  </w:num>
  <w:num w:numId="7" w16cid:durableId="136386320">
    <w:abstractNumId w:val="0"/>
  </w:num>
  <w:num w:numId="8" w16cid:durableId="968361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E7"/>
    <w:rsid w:val="00065FA6"/>
    <w:rsid w:val="000C654D"/>
    <w:rsid w:val="000E525C"/>
    <w:rsid w:val="001121D8"/>
    <w:rsid w:val="00121BE7"/>
    <w:rsid w:val="00121E2A"/>
    <w:rsid w:val="001612D3"/>
    <w:rsid w:val="001E7293"/>
    <w:rsid w:val="00213977"/>
    <w:rsid w:val="00281428"/>
    <w:rsid w:val="002909A0"/>
    <w:rsid w:val="002C6587"/>
    <w:rsid w:val="002E7DB8"/>
    <w:rsid w:val="00340AB9"/>
    <w:rsid w:val="00343131"/>
    <w:rsid w:val="00347211"/>
    <w:rsid w:val="003B14FC"/>
    <w:rsid w:val="003D0F51"/>
    <w:rsid w:val="00583B18"/>
    <w:rsid w:val="005D17E0"/>
    <w:rsid w:val="005D2DFB"/>
    <w:rsid w:val="005D5A8E"/>
    <w:rsid w:val="00687AD2"/>
    <w:rsid w:val="006D7E8F"/>
    <w:rsid w:val="006E676C"/>
    <w:rsid w:val="0072089C"/>
    <w:rsid w:val="00740959"/>
    <w:rsid w:val="00773CCE"/>
    <w:rsid w:val="0078162A"/>
    <w:rsid w:val="007B1A65"/>
    <w:rsid w:val="00886EA2"/>
    <w:rsid w:val="008D6685"/>
    <w:rsid w:val="008E1AE7"/>
    <w:rsid w:val="0091067A"/>
    <w:rsid w:val="009B4F03"/>
    <w:rsid w:val="00A01D83"/>
    <w:rsid w:val="00A024C1"/>
    <w:rsid w:val="00AE00A6"/>
    <w:rsid w:val="00B440F1"/>
    <w:rsid w:val="00B610BA"/>
    <w:rsid w:val="00C0367F"/>
    <w:rsid w:val="00C0590E"/>
    <w:rsid w:val="00C7626C"/>
    <w:rsid w:val="00CA4398"/>
    <w:rsid w:val="00D16E08"/>
    <w:rsid w:val="00D41FE3"/>
    <w:rsid w:val="00D56FE7"/>
    <w:rsid w:val="00DC3919"/>
    <w:rsid w:val="00E32524"/>
    <w:rsid w:val="00E4217C"/>
    <w:rsid w:val="00E93C03"/>
    <w:rsid w:val="00EE13E5"/>
    <w:rsid w:val="00EF51EB"/>
    <w:rsid w:val="00F37948"/>
    <w:rsid w:val="00FA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FC2E"/>
  <w15:chartTrackingRefBased/>
  <w15:docId w15:val="{73511CDE-0370-4B8B-98A5-A48793B1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BE7"/>
    <w:rPr>
      <w:rFonts w:ascii="Aptos" w:eastAsia="Times New Roman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E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1BE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21BE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0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F51"/>
    <w:rPr>
      <w:rFonts w:ascii="Aptos" w:eastAsia="Times New Roman" w:hAnsi="Aptos" w:cs="Times New Roma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0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F51"/>
    <w:rPr>
      <w:rFonts w:ascii="Aptos" w:eastAsia="Times New Roman" w:hAnsi="Aptos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dd.bccr.fi.cr/es/IndicadoresEconomicos/Inicio/Contenedor/125?Cuadro=49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ee.bccr.fi.cr/indicadoreseconomicos/cuadros/frmvercatcuadro.aspx?idioma=1&amp;codcuadro=273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e.bccr.fi.cr/indicadoreseconomicos/cuadros/frmvercatcuadro.aspx?idioma=1&amp;codcuadro=77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ugef.fi.cr/rsw_reportes/reporteCrediticioDespue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ugef.fi.cr/reportes/IndicadoresFinancieros/documentos/Descripcion_Indicador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Eduardo Rocha Mora</dc:creator>
  <cp:keywords/>
  <dc:description/>
  <cp:lastModifiedBy>Óscar Eduardo Rocha Mora</cp:lastModifiedBy>
  <cp:revision>41</cp:revision>
  <dcterms:created xsi:type="dcterms:W3CDTF">2026-02-19T23:12:00Z</dcterms:created>
  <dcterms:modified xsi:type="dcterms:W3CDTF">2026-04-03T05:50:00Z</dcterms:modified>
</cp:coreProperties>
</file>