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5883" w14:textId="77777777" w:rsidR="00027B87" w:rsidRPr="00F72F2D" w:rsidRDefault="00027B87" w:rsidP="001C0555">
      <w:pPr>
        <w:jc w:val="both"/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Práctica. Caso 3.</w:t>
      </w:r>
    </w:p>
    <w:p w14:paraId="2FE278ED" w14:textId="77777777" w:rsidR="00027B87" w:rsidRDefault="00027B87" w:rsidP="001C0555">
      <w:pPr>
        <w:jc w:val="both"/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Pregunta 1.</w:t>
      </w:r>
    </w:p>
    <w:p w14:paraId="7A613235" w14:textId="28546F8C" w:rsidR="003C0209" w:rsidRPr="003C0209" w:rsidRDefault="003C0209" w:rsidP="001C0555">
      <w:p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Para determinar si el margen financiero meta que propone la Junta es alcanzable, se calcula el rendimiento tanto del activo, como del pasivo.</w:t>
      </w:r>
    </w:p>
    <w:p w14:paraId="4036BAC0" w14:textId="47B417C3" w:rsidR="00027B87" w:rsidRPr="00F72F2D" w:rsidRDefault="003C0209" w:rsidP="001C0555">
      <w:pPr>
        <w:jc w:val="both"/>
        <w:rPr>
          <w:rFonts w:ascii="Times New Roman" w:hAnsi="Times New Roman" w:cs="Times New Roman"/>
          <w:b/>
          <w:bCs/>
          <w:lang w:val="es-CR"/>
        </w:rPr>
      </w:pPr>
      <w:r>
        <w:rPr>
          <w:rFonts w:ascii="Times New Roman" w:hAnsi="Times New Roman" w:cs="Times New Roman"/>
          <w:b/>
          <w:bCs/>
          <w:lang w:val="es-CR"/>
        </w:rPr>
        <w:t>Rendimiento del activo:</w:t>
      </w:r>
    </w:p>
    <w:p w14:paraId="54B9BFDC" w14:textId="532AF7A8" w:rsidR="00027B87" w:rsidRPr="00F72F2D" w:rsidRDefault="00027B87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10% * 2% + 20% * 5% + 20% * 7% + 20% * 8% + 30% * 10% = 7.20%</w:t>
      </w:r>
    </w:p>
    <w:p w14:paraId="237B4411" w14:textId="01FAD3D9" w:rsidR="00027B87" w:rsidRPr="00F72F2D" w:rsidRDefault="003C0209" w:rsidP="001C0555">
      <w:pPr>
        <w:jc w:val="both"/>
        <w:rPr>
          <w:rFonts w:ascii="Times New Roman" w:hAnsi="Times New Roman" w:cs="Times New Roman"/>
          <w:b/>
          <w:bCs/>
          <w:lang w:val="es-CR"/>
        </w:rPr>
      </w:pPr>
      <w:r>
        <w:rPr>
          <w:rFonts w:ascii="Times New Roman" w:hAnsi="Times New Roman" w:cs="Times New Roman"/>
          <w:b/>
          <w:bCs/>
          <w:lang w:val="es-CR"/>
        </w:rPr>
        <w:t>Costo del pasivo:</w:t>
      </w:r>
    </w:p>
    <w:p w14:paraId="284539F8" w14:textId="19EE7442" w:rsidR="00027B87" w:rsidRPr="00F72F2D" w:rsidRDefault="00027B87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25% * 1% + 30% * 3% + 20% * 7% + 15% * 8% + 10% * 6% = 4.35%</w:t>
      </w:r>
    </w:p>
    <w:p w14:paraId="436E8239" w14:textId="3D021625" w:rsidR="00027B87" w:rsidRPr="00F72F2D" w:rsidRDefault="00027B87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Por lo tanto, el margen financiero es:</w:t>
      </w:r>
    </w:p>
    <w:p w14:paraId="035878DB" w14:textId="4958C892" w:rsidR="00027B87" w:rsidRPr="00F72F2D" w:rsidRDefault="00027B87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7.20% - 4.35% = 2.85%</w:t>
      </w:r>
    </w:p>
    <w:p w14:paraId="7AF5AA30" w14:textId="51325088" w:rsidR="00027B87" w:rsidRPr="00F72F2D" w:rsidRDefault="00027B87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Lejos del 5% que desea la JD. Se ve que no es solo un tema de rentabilidad, si no</w:t>
      </w:r>
      <w:r w:rsidR="003C0209">
        <w:rPr>
          <w:rFonts w:ascii="Times New Roman" w:hAnsi="Times New Roman" w:cs="Times New Roman"/>
          <w:lang w:val="es-CR"/>
        </w:rPr>
        <w:t xml:space="preserve"> </w:t>
      </w:r>
      <w:r w:rsidRPr="00F72F2D">
        <w:rPr>
          <w:rFonts w:ascii="Times New Roman" w:hAnsi="Times New Roman" w:cs="Times New Roman"/>
          <w:lang w:val="es-CR"/>
        </w:rPr>
        <w:t>de calce entre activos líquidos, activos productivos, estabilidad del fondeo y costo de las fuentes.</w:t>
      </w:r>
    </w:p>
    <w:p w14:paraId="26905ADC" w14:textId="172A01A7" w:rsidR="00027B87" w:rsidRPr="00F72F2D" w:rsidRDefault="00027B87" w:rsidP="001C05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Recomendación para administrar el activo líquido de acuerdo con las necesidades del pasivo</w:t>
      </w:r>
    </w:p>
    <w:p w14:paraId="0D032749" w14:textId="50D4074A" w:rsidR="00027B87" w:rsidRPr="00F72F2D" w:rsidRDefault="001C0555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La situación actual determina que</w:t>
      </w:r>
      <w:r w:rsidR="008C3C11" w:rsidRPr="00F72F2D">
        <w:rPr>
          <w:rFonts w:ascii="Times New Roman" w:hAnsi="Times New Roman" w:cs="Times New Roman"/>
          <w:lang w:val="es-CR"/>
        </w:rPr>
        <w:t xml:space="preserve"> el banco </w:t>
      </w:r>
      <w:r w:rsidRPr="00F72F2D">
        <w:rPr>
          <w:rFonts w:ascii="Times New Roman" w:hAnsi="Times New Roman" w:cs="Times New Roman"/>
          <w:lang w:val="es-CR"/>
        </w:rPr>
        <w:t xml:space="preserve">mantiene 30% en activos líquidos: 10% en efectivo y 20% en bonos de gobierno de corto plazo. Esta posición da </w:t>
      </w:r>
      <w:r w:rsidR="003C0209">
        <w:rPr>
          <w:rFonts w:ascii="Times New Roman" w:hAnsi="Times New Roman" w:cs="Times New Roman"/>
          <w:lang w:val="es-CR"/>
        </w:rPr>
        <w:t xml:space="preserve">cierta </w:t>
      </w:r>
      <w:r w:rsidRPr="00F72F2D">
        <w:rPr>
          <w:rFonts w:ascii="Times New Roman" w:hAnsi="Times New Roman" w:cs="Times New Roman"/>
          <w:lang w:val="es-CR"/>
        </w:rPr>
        <w:t>holgura para atender salidas de fondos, pero también tiene costo de oportunidad, porque el efectivo y las inversiones líquidas rinden menos que la cartera de crédito. En clase se indicó que mantener liquidez tiene un costo frente a activos más rentables.</w:t>
      </w:r>
    </w:p>
    <w:p w14:paraId="69C4E3BA" w14:textId="77777777" w:rsidR="001C0555" w:rsidRPr="00F72F2D" w:rsidRDefault="001C0555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Aplicado al pasivo, el principal riesgo inmediato está en el fondeo a plazo público. Este representa 30% del pasivo y solo renueva 50%, por lo que el banco debe prever una posible salida de:</w:t>
      </w:r>
    </w:p>
    <w:p w14:paraId="653400D7" w14:textId="543E014E" w:rsidR="00765036" w:rsidRPr="00F72F2D" w:rsidRDefault="00765036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30% * 50% = 15% del balance.</w:t>
      </w:r>
    </w:p>
    <w:p w14:paraId="6950B362" w14:textId="25272796" w:rsidR="001C0555" w:rsidRPr="00F72F2D" w:rsidRDefault="001C0555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Además, el fondeo a la vista representa 25% y presenta una desviación promedio de 2%, por lo que debe mantenerse una holgura adicional para cubrir retiros normales o inesperados. Por su parte, el fondeo institucional vence a plazos mayores a dos años, lo cual aporta mayor estabilidad estructural, aunque a un costo más alto.</w:t>
      </w:r>
    </w:p>
    <w:p w14:paraId="5D793F64" w14:textId="607F09EC" w:rsidR="001C0555" w:rsidRPr="00F72F2D" w:rsidRDefault="001C0555" w:rsidP="001C0555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Por lo tanto, no recomendaría reducir agresivamente el efectivo y los bonos de corto plazo. Sí revisaría si el 30% actual en activos líquidos es superior a la necesidad</w:t>
      </w:r>
      <w:r w:rsidR="003C0209">
        <w:rPr>
          <w:rFonts w:ascii="Times New Roman" w:hAnsi="Times New Roman" w:cs="Times New Roman"/>
          <w:lang w:val="es-CR"/>
        </w:rPr>
        <w:t xml:space="preserve"> prudente</w:t>
      </w:r>
      <w:r w:rsidRPr="00F72F2D">
        <w:rPr>
          <w:rFonts w:ascii="Times New Roman" w:hAnsi="Times New Roman" w:cs="Times New Roman"/>
          <w:lang w:val="es-CR"/>
        </w:rPr>
        <w:t xml:space="preserve">. Una parte podría reasignarse gradualmente hacia activos más productivos, siempre que el banco conserve capacidad para atender retiros, no renovaciones y escenarios </w:t>
      </w:r>
      <w:r w:rsidR="003C0209">
        <w:rPr>
          <w:rFonts w:ascii="Times New Roman" w:hAnsi="Times New Roman" w:cs="Times New Roman"/>
          <w:lang w:val="es-CR"/>
        </w:rPr>
        <w:t>de tensión moderada.</w:t>
      </w:r>
    </w:p>
    <w:p w14:paraId="35899A25" w14:textId="16E3020E" w:rsidR="001C0555" w:rsidRPr="00F72F2D" w:rsidRDefault="003C0209" w:rsidP="001C0555">
      <w:pPr>
        <w:jc w:val="both"/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lastRenderedPageBreak/>
        <w:t>En resumen</w:t>
      </w:r>
      <w:r w:rsidR="001C0555" w:rsidRPr="00F72F2D">
        <w:rPr>
          <w:rFonts w:ascii="Times New Roman" w:hAnsi="Times New Roman" w:cs="Times New Roman"/>
          <w:lang w:val="es-CR"/>
        </w:rPr>
        <w:t>, el activo líquido debe administrarse en función de los pasivos más sensibles: vista, plazo público no renovado y fondeo de mercado. La liquidez debe cubrir el riesgo de retiro y no renovación, pero sin mantener una holgura tan alta que impida mejorar el margen financiero.</w:t>
      </w:r>
    </w:p>
    <w:p w14:paraId="2CD83981" w14:textId="5E56E81D" w:rsidR="00765036" w:rsidRPr="00F72F2D" w:rsidRDefault="00765036" w:rsidP="001C05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Recomendación para administrar el activo no líquido de acuerdo con las metas de rentabilidad</w:t>
      </w:r>
    </w:p>
    <w:p w14:paraId="0F82B417" w14:textId="71B46FD9" w:rsidR="00765036" w:rsidRPr="00F72F2D" w:rsidRDefault="001C0555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Tomando la situación corriente, los</w:t>
      </w:r>
      <w:r w:rsidR="00765036" w:rsidRPr="00F72F2D">
        <w:rPr>
          <w:rFonts w:ascii="Times New Roman" w:hAnsi="Times New Roman" w:cs="Times New Roman"/>
          <w:lang w:val="es-CR"/>
        </w:rPr>
        <w:t xml:space="preserve"> activos no líquidos del banco son los fondos inmobiliarios, la cartera de crédito a cinco años y la cartera de crédito de largo plazo. E</w:t>
      </w:r>
      <w:r w:rsidRPr="00F72F2D">
        <w:rPr>
          <w:rFonts w:ascii="Times New Roman" w:hAnsi="Times New Roman" w:cs="Times New Roman"/>
          <w:lang w:val="es-CR"/>
        </w:rPr>
        <w:t>n conjunto representan:</w:t>
      </w:r>
      <w:r w:rsidR="00765036" w:rsidRPr="00F72F2D">
        <w:rPr>
          <w:rFonts w:ascii="Times New Roman" w:hAnsi="Times New Roman" w:cs="Times New Roman"/>
          <w:lang w:val="es-CR"/>
        </w:rPr>
        <w:t xml:space="preserve"> </w:t>
      </w:r>
    </w:p>
    <w:p w14:paraId="5A071EE7" w14:textId="211CA9F6" w:rsidR="00765036" w:rsidRPr="00F72F2D" w:rsidRDefault="001C0555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20% + 20% + 30% = 70% del activo.</w:t>
      </w:r>
    </w:p>
    <w:p w14:paraId="3E26E48A" w14:textId="45A8B4A9" w:rsidR="00765036" w:rsidRPr="00F72F2D" w:rsidRDefault="001C0555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Aplicado al balance, estos activos generan mayor rendimiento, pero también reducen flexibilidad. Los fondos inmobiliarios rinden 7%, la cartera a cinco años 8% y la cartera de largo plazo 10%. Desde negocio, tendría sentido aumentar activos más rentables; desde riesgo, esto debe hacerse con cuidado por el calce de plazos y la estabilidad del fondeo.</w:t>
      </w:r>
    </w:p>
    <w:tbl>
      <w:tblPr>
        <w:tblStyle w:val="TableGrid"/>
        <w:tblW w:w="1034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333"/>
      </w:tblGrid>
      <w:tr w:rsidR="00765036" w:rsidRPr="00F72F2D" w14:paraId="17A34DC7" w14:textId="77777777" w:rsidTr="00765036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470BF5F0" w14:textId="7519D287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Activo no líquido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30E6DDDE" w14:textId="57D57B4F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Peso actual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23DA53C9" w14:textId="200B83B3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Rendimiento</w:t>
            </w:r>
          </w:p>
        </w:tc>
        <w:tc>
          <w:tcPr>
            <w:tcW w:w="3333" w:type="dxa"/>
            <w:tcBorders>
              <w:top w:val="single" w:sz="4" w:space="0" w:color="auto"/>
              <w:bottom w:val="single" w:sz="4" w:space="0" w:color="auto"/>
            </w:tcBorders>
          </w:tcPr>
          <w:p w14:paraId="09CCFA19" w14:textId="41853A27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Lectura</w:t>
            </w:r>
          </w:p>
        </w:tc>
      </w:tr>
      <w:tr w:rsidR="00765036" w:rsidRPr="003C0209" w14:paraId="572F96E2" w14:textId="77777777" w:rsidTr="00765036">
        <w:tc>
          <w:tcPr>
            <w:tcW w:w="2337" w:type="dxa"/>
            <w:tcBorders>
              <w:top w:val="single" w:sz="4" w:space="0" w:color="auto"/>
            </w:tcBorders>
          </w:tcPr>
          <w:p w14:paraId="6EEB83B6" w14:textId="45BB36C2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Fondos inmobiliarios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C28D4B4" w14:textId="60C2BA7B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20%</w:t>
            </w:r>
          </w:p>
        </w:tc>
        <w:tc>
          <w:tcPr>
            <w:tcW w:w="2338" w:type="dxa"/>
            <w:tcBorders>
              <w:top w:val="single" w:sz="4" w:space="0" w:color="auto"/>
            </w:tcBorders>
          </w:tcPr>
          <w:p w14:paraId="2574D356" w14:textId="1F7D74A9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7%</w:t>
            </w:r>
          </w:p>
        </w:tc>
        <w:tc>
          <w:tcPr>
            <w:tcW w:w="3333" w:type="dxa"/>
            <w:tcBorders>
              <w:top w:val="single" w:sz="4" w:space="0" w:color="auto"/>
            </w:tcBorders>
          </w:tcPr>
          <w:p w14:paraId="0DDC4AD5" w14:textId="693962D8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Menos líquido y no tan rentable frente al crédito.</w:t>
            </w:r>
          </w:p>
        </w:tc>
      </w:tr>
      <w:tr w:rsidR="00765036" w:rsidRPr="003C0209" w14:paraId="4C47A9FC" w14:textId="77777777" w:rsidTr="00765036">
        <w:tc>
          <w:tcPr>
            <w:tcW w:w="2337" w:type="dxa"/>
          </w:tcPr>
          <w:p w14:paraId="57BC3D35" w14:textId="1D0F2A7A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Crédito a 5 años</w:t>
            </w:r>
          </w:p>
        </w:tc>
        <w:tc>
          <w:tcPr>
            <w:tcW w:w="2337" w:type="dxa"/>
          </w:tcPr>
          <w:p w14:paraId="6B8503AD" w14:textId="19715471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20%</w:t>
            </w:r>
          </w:p>
        </w:tc>
        <w:tc>
          <w:tcPr>
            <w:tcW w:w="2338" w:type="dxa"/>
          </w:tcPr>
          <w:p w14:paraId="68EAF37D" w14:textId="2C0C996C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8%</w:t>
            </w:r>
          </w:p>
        </w:tc>
        <w:tc>
          <w:tcPr>
            <w:tcW w:w="3333" w:type="dxa"/>
          </w:tcPr>
          <w:p w14:paraId="188BF521" w14:textId="20121A07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Productivo, pero requiere fondeo estable.</w:t>
            </w:r>
          </w:p>
        </w:tc>
      </w:tr>
      <w:tr w:rsidR="00765036" w:rsidRPr="003C0209" w14:paraId="56694893" w14:textId="77777777" w:rsidTr="00765036">
        <w:tc>
          <w:tcPr>
            <w:tcW w:w="2337" w:type="dxa"/>
          </w:tcPr>
          <w:p w14:paraId="399437B1" w14:textId="50C8FD1D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Crédito largo plazo</w:t>
            </w:r>
          </w:p>
        </w:tc>
        <w:tc>
          <w:tcPr>
            <w:tcW w:w="2337" w:type="dxa"/>
          </w:tcPr>
          <w:p w14:paraId="0629456A" w14:textId="5016A673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30%</w:t>
            </w:r>
          </w:p>
        </w:tc>
        <w:tc>
          <w:tcPr>
            <w:tcW w:w="2338" w:type="dxa"/>
          </w:tcPr>
          <w:p w14:paraId="7858AB40" w14:textId="2EDBC37C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10%</w:t>
            </w:r>
          </w:p>
        </w:tc>
        <w:tc>
          <w:tcPr>
            <w:tcW w:w="3333" w:type="dxa"/>
          </w:tcPr>
          <w:p w14:paraId="7CAEBBD8" w14:textId="35624EB6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Más rentable, pero aumenta riesgo de liquidez y calce.</w:t>
            </w:r>
          </w:p>
        </w:tc>
      </w:tr>
    </w:tbl>
    <w:p w14:paraId="3B00DFD7" w14:textId="77777777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</w:p>
    <w:p w14:paraId="3D4F1043" w14:textId="1DD27EC6" w:rsidR="001C0555" w:rsidRPr="00F72F2D" w:rsidRDefault="001C0555" w:rsidP="001C0555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La recomendación sería reducir gradualmente la exposición a fondos inmobiliarios y trasladar parte de esos recursos hacia cartera de crédito, principalmente a cinco años y, de forma más limitada a largo plazo. Esto debe hacerse solo si existe fondeo estable suficiente.</w:t>
      </w:r>
    </w:p>
    <w:p w14:paraId="4C0BA445" w14:textId="7FF4C66C" w:rsidR="001C0555" w:rsidRPr="00F72F2D" w:rsidRDefault="001C0555" w:rsidP="001C0555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El fondeo institucional local y el fondeo institucional en US vencen a plazos mayores a dos años, por lo que pueden respaldar mejor activos de mayor plazo. Sin embargo, son fuentes caras. Además, el fondeo en Bolsa cuesta 8%, por lo que deja poco margen si financia cartera que también rinde 8%.</w:t>
      </w:r>
    </w:p>
    <w:p w14:paraId="7D6EC884" w14:textId="75A9B64B" w:rsidR="001C0555" w:rsidRPr="00F72F2D" w:rsidRDefault="001C0555" w:rsidP="001C0555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 xml:space="preserve">Por lo tanto, el banco debe aumentar activos productivos, pero sin mover todo </w:t>
      </w:r>
      <w:proofErr w:type="spellStart"/>
      <w:r w:rsidRPr="00F72F2D">
        <w:rPr>
          <w:rFonts w:ascii="Times New Roman" w:hAnsi="Times New Roman" w:cs="Times New Roman"/>
          <w:lang w:val="es-CR"/>
        </w:rPr>
        <w:t>hacia</w:t>
      </w:r>
      <w:proofErr w:type="spellEnd"/>
      <w:r w:rsidRPr="00F72F2D">
        <w:rPr>
          <w:rFonts w:ascii="Times New Roman" w:hAnsi="Times New Roman" w:cs="Times New Roman"/>
          <w:lang w:val="es-CR"/>
        </w:rPr>
        <w:t xml:space="preserve"> crédito largo plazo. Debe mantener calce de plazos, límites de concentración, pruebas de estrés y seguimiento del fondeo. Esto coincide con el enfoque de liquidez estructural, que analiza la composición de activos y pasivos y su efecto sobre la liquidez.</w:t>
      </w:r>
    </w:p>
    <w:p w14:paraId="2940F609" w14:textId="57F4458C" w:rsidR="00765036" w:rsidRPr="00F72F2D" w:rsidRDefault="00765036" w:rsidP="007650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¿Es posible lograr lo que solicita la Junta Directiva?</w:t>
      </w:r>
    </w:p>
    <w:p w14:paraId="3AC8D0A7" w14:textId="659C3435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Partiendo del margen actual:</w:t>
      </w:r>
    </w:p>
    <w:p w14:paraId="73327F0D" w14:textId="3FB925E8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Rendimiento promedio: 7.20%</w:t>
      </w:r>
    </w:p>
    <w:p w14:paraId="61D9DA6A" w14:textId="50CA3194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Costo promedio del pasivo: 4.35%</w:t>
      </w:r>
    </w:p>
    <w:p w14:paraId="6D735460" w14:textId="12630E65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lastRenderedPageBreak/>
        <w:t>Margen financiero actual: 2.85%</w:t>
      </w:r>
    </w:p>
    <w:p w14:paraId="456E7468" w14:textId="77777777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Para alcanzar el margen financiero del 5%, manteniendo el costo actual del pasivo, el rendimiento promedio del activo tendría que ser:</w:t>
      </w:r>
    </w:p>
    <w:p w14:paraId="07CB6844" w14:textId="77777777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4.35% + 5% = 9.35%</w:t>
      </w:r>
    </w:p>
    <w:p w14:paraId="531F3C31" w14:textId="22CA5D14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Esto implicaría acercar casi todo el activo a rendimientos similares a la cartera de largo plazo, que rinde 10%, pero esa decisión aumentaría el riesgo de liquidez, plazo, duración y concentración crediticia.</w:t>
      </w:r>
    </w:p>
    <w:p w14:paraId="1A6AFE8D" w14:textId="5BBFBEF2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Por otro lado, si se mantiene el rendimiento actual del activo en 7</w:t>
      </w:r>
      <w:r w:rsidR="001C0555" w:rsidRPr="00F72F2D">
        <w:rPr>
          <w:rFonts w:ascii="Times New Roman" w:hAnsi="Times New Roman" w:cs="Times New Roman"/>
          <w:lang w:val="es-CR"/>
        </w:rPr>
        <w:t>.</w:t>
      </w:r>
      <w:r w:rsidRPr="00F72F2D">
        <w:rPr>
          <w:rFonts w:ascii="Times New Roman" w:hAnsi="Times New Roman" w:cs="Times New Roman"/>
          <w:lang w:val="es-CR"/>
        </w:rPr>
        <w:t>20%, el costo promedio del pasivo tendría que bajar a:</w:t>
      </w:r>
    </w:p>
    <w:p w14:paraId="6250119A" w14:textId="263E4B3E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7.20% - 5.00% = 2.20%</w:t>
      </w:r>
    </w:p>
    <w:p w14:paraId="7212E9BE" w14:textId="348C6DC4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Esto tampoco parece realista con la estructura actual, porque el banco tiene una proporción importante de fondeo caro:</w:t>
      </w:r>
    </w:p>
    <w:p w14:paraId="7B7F50E8" w14:textId="0A5BD5DE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Fondeo institucional local 20% a 7% + fondeo en Bolsa 15% a 8% + fondeo institucional US 10% a 6%</w:t>
      </w:r>
    </w:p>
    <w:p w14:paraId="1487B4A3" w14:textId="5E4FC02D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Por lo tanto, el margen de 5% no parece alcanzable únicamente con una reasignación prudente del balance. Para lograrlo, el banco tendría que aumentar mucho el crédito de largo plazo, reducir liquidez o sustituir fondeo caro por fondeo más barato. Cada opción tiene un riesgo asociado.</w:t>
      </w:r>
    </w:p>
    <w:tbl>
      <w:tblPr>
        <w:tblStyle w:val="TableGrid"/>
        <w:tblW w:w="1016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369"/>
        <w:gridCol w:w="4680"/>
      </w:tblGrid>
      <w:tr w:rsidR="00765036" w:rsidRPr="00F72F2D" w14:paraId="6DF95780" w14:textId="77777777" w:rsidTr="001C0555"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p w14:paraId="0D7E6239" w14:textId="22631685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Opción</w:t>
            </w:r>
          </w:p>
        </w:tc>
        <w:tc>
          <w:tcPr>
            <w:tcW w:w="2369" w:type="dxa"/>
            <w:tcBorders>
              <w:top w:val="single" w:sz="4" w:space="0" w:color="auto"/>
              <w:bottom w:val="single" w:sz="4" w:space="0" w:color="auto"/>
            </w:tcBorders>
          </w:tcPr>
          <w:p w14:paraId="448AE406" w14:textId="37B54863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Efecto</w:t>
            </w:r>
          </w:p>
        </w:tc>
        <w:tc>
          <w:tcPr>
            <w:tcW w:w="4680" w:type="dxa"/>
            <w:tcBorders>
              <w:top w:val="single" w:sz="4" w:space="0" w:color="auto"/>
              <w:bottom w:val="single" w:sz="4" w:space="0" w:color="auto"/>
            </w:tcBorders>
          </w:tcPr>
          <w:p w14:paraId="1F5A8051" w14:textId="65968710" w:rsidR="00765036" w:rsidRPr="00F72F2D" w:rsidRDefault="00765036" w:rsidP="0076503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Riesgo</w:t>
            </w:r>
          </w:p>
        </w:tc>
      </w:tr>
      <w:tr w:rsidR="00765036" w:rsidRPr="00F72F2D" w14:paraId="44CEC105" w14:textId="77777777" w:rsidTr="001C0555">
        <w:tc>
          <w:tcPr>
            <w:tcW w:w="3116" w:type="dxa"/>
            <w:tcBorders>
              <w:top w:val="single" w:sz="4" w:space="0" w:color="auto"/>
            </w:tcBorders>
          </w:tcPr>
          <w:p w14:paraId="119EAC8F" w14:textId="47738D8E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Aumentar crédito a largo plazo</w:t>
            </w:r>
          </w:p>
        </w:tc>
        <w:tc>
          <w:tcPr>
            <w:tcW w:w="2369" w:type="dxa"/>
            <w:tcBorders>
              <w:top w:val="single" w:sz="4" w:space="0" w:color="auto"/>
            </w:tcBorders>
          </w:tcPr>
          <w:p w14:paraId="0F4EA286" w14:textId="362F21A6" w:rsidR="00765036" w:rsidRPr="00F72F2D" w:rsidRDefault="00765036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Sub</w:t>
            </w:r>
            <w:r w:rsidR="001C0555"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e</w:t>
            </w: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 xml:space="preserve"> rentabilidad</w:t>
            </w:r>
          </w:p>
        </w:tc>
        <w:tc>
          <w:tcPr>
            <w:tcW w:w="4680" w:type="dxa"/>
            <w:tcBorders>
              <w:top w:val="single" w:sz="4" w:space="0" w:color="auto"/>
            </w:tcBorders>
          </w:tcPr>
          <w:p w14:paraId="56BDA779" w14:textId="25EE405D" w:rsidR="00765036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Mayor liquidez y descalce.</w:t>
            </w:r>
          </w:p>
        </w:tc>
      </w:tr>
      <w:tr w:rsidR="00765036" w:rsidRPr="003C0209" w14:paraId="618D0264" w14:textId="77777777" w:rsidTr="001C0555">
        <w:tc>
          <w:tcPr>
            <w:tcW w:w="3116" w:type="dxa"/>
          </w:tcPr>
          <w:p w14:paraId="4ACFC484" w14:textId="56D7B288" w:rsidR="00765036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Reducir liquidez</w:t>
            </w:r>
          </w:p>
        </w:tc>
        <w:tc>
          <w:tcPr>
            <w:tcW w:w="2369" w:type="dxa"/>
          </w:tcPr>
          <w:p w14:paraId="1FB2E4C8" w14:textId="17CECA7B" w:rsidR="00765036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Sube margen</w:t>
            </w:r>
          </w:p>
        </w:tc>
        <w:tc>
          <w:tcPr>
            <w:tcW w:w="4680" w:type="dxa"/>
          </w:tcPr>
          <w:p w14:paraId="2CFF848E" w14:textId="68F0C4E3" w:rsidR="00765036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Mayor riesgo ante retiros o no renovación.</w:t>
            </w:r>
          </w:p>
        </w:tc>
      </w:tr>
      <w:tr w:rsidR="001C0555" w:rsidRPr="003C0209" w14:paraId="64E16ED5" w14:textId="77777777" w:rsidTr="001C0555">
        <w:tc>
          <w:tcPr>
            <w:tcW w:w="3116" w:type="dxa"/>
          </w:tcPr>
          <w:p w14:paraId="296B835B" w14:textId="001FAD09" w:rsidR="001C0555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Sustituir fondeo caro por fondeo barato</w:t>
            </w:r>
          </w:p>
        </w:tc>
        <w:tc>
          <w:tcPr>
            <w:tcW w:w="2369" w:type="dxa"/>
          </w:tcPr>
          <w:p w14:paraId="1C9B10E7" w14:textId="7A3374D0" w:rsidR="001C0555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Bajo costo financiero</w:t>
            </w:r>
          </w:p>
        </w:tc>
        <w:tc>
          <w:tcPr>
            <w:tcW w:w="4680" w:type="dxa"/>
          </w:tcPr>
          <w:p w14:paraId="03E43567" w14:textId="623D68F7" w:rsidR="001C0555" w:rsidRPr="00F72F2D" w:rsidRDefault="001C0555" w:rsidP="00765036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Puede aumentar volatilidad si se depende más de vista o de plazo.</w:t>
            </w:r>
          </w:p>
        </w:tc>
      </w:tr>
    </w:tbl>
    <w:p w14:paraId="273AAEF0" w14:textId="31EF8501" w:rsidR="00765036" w:rsidRPr="00F72F2D" w:rsidRDefault="00765036" w:rsidP="00765036">
      <w:pPr>
        <w:rPr>
          <w:rFonts w:ascii="Times New Roman" w:hAnsi="Times New Roman" w:cs="Times New Roman"/>
          <w:lang w:val="es-CR"/>
        </w:rPr>
      </w:pPr>
    </w:p>
    <w:p w14:paraId="2BDBCACF" w14:textId="0B977FC1" w:rsidR="001C0555" w:rsidRPr="00F72F2D" w:rsidRDefault="001C0555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En conclusión, sí es posible mejorar el margen, pero no alcanzar prudentemente el 5% con la estructura actual. La Junta debería ajustar la meta de negocio, revisar el apetito de riesgo y alinear la estrategia comercial con la estrategia de liquidez. Una meta gradual, por ejemplo, acercarse primero a un rango de 3.5% a 4.0%, sería más razonable mientras se mejora la estructura de fondeo y se reasignan activos sin comprometer la capacidad de pago del banco.</w:t>
      </w:r>
    </w:p>
    <w:p w14:paraId="3EAB55D3" w14:textId="34473C29" w:rsidR="001C0555" w:rsidRPr="00F72F2D" w:rsidRDefault="001C0555" w:rsidP="00F72F2D">
      <w:pPr>
        <w:jc w:val="both"/>
        <w:rPr>
          <w:rFonts w:ascii="Times New Roman" w:hAnsi="Times New Roman" w:cs="Times New Roman"/>
          <w:b/>
          <w:bCs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Pregunta 2.</w:t>
      </w:r>
    </w:p>
    <w:p w14:paraId="6F782BB7" w14:textId="389248C5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Dado que riesgo reputacional es la posibilidad de pérdidas económicas por afectación del prestigio de la entidad, derivadas de eventos adversos que trascienden a terceros. En clase se analizó que la reputación debe gestionarse a partir de los grupos de interés, la medición de realidad frente a percepción y la activación de acciones correctivas.</w:t>
      </w:r>
    </w:p>
    <w:p w14:paraId="058CDCA8" w14:textId="4B5238DF" w:rsidR="00F72F2D" w:rsidRPr="00F72F2D" w:rsidRDefault="00F72F2D" w:rsidP="00F72F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es-CR"/>
        </w:rPr>
      </w:pPr>
      <w:r w:rsidRPr="00F72F2D">
        <w:rPr>
          <w:rFonts w:ascii="Times New Roman" w:hAnsi="Times New Roman" w:cs="Times New Roman"/>
          <w:b/>
          <w:bCs/>
          <w:sz w:val="22"/>
          <w:szCs w:val="22"/>
          <w:lang w:val="es-CR"/>
        </w:rPr>
        <w:t>Asignación del grupo de interés</w:t>
      </w:r>
    </w:p>
    <w:tbl>
      <w:tblPr>
        <w:tblStyle w:val="TableGrid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2880"/>
        <w:gridCol w:w="2070"/>
        <w:gridCol w:w="4770"/>
      </w:tblGrid>
      <w:tr w:rsidR="00F72F2D" w:rsidRPr="00F72F2D" w14:paraId="668406D3" w14:textId="77777777" w:rsidTr="00F72F2D"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7841B9D" w14:textId="6372E0DB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lastRenderedPageBreak/>
              <w:t>Letra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02242BC2" w14:textId="174D618B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Indicador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</w:tcPr>
          <w:p w14:paraId="40AF5D29" w14:textId="2364DEC0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Grupo de interés</w: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</w:tcPr>
          <w:p w14:paraId="2295C3C4" w14:textId="62850DEB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Justificación</w:t>
            </w:r>
          </w:p>
        </w:tc>
      </w:tr>
      <w:tr w:rsidR="00F72F2D" w:rsidRPr="003C0209" w14:paraId="074B917B" w14:textId="77777777" w:rsidTr="00F72F2D">
        <w:tc>
          <w:tcPr>
            <w:tcW w:w="810" w:type="dxa"/>
            <w:tcBorders>
              <w:top w:val="single" w:sz="4" w:space="0" w:color="auto"/>
            </w:tcBorders>
          </w:tcPr>
          <w:p w14:paraId="7206B793" w14:textId="2573EE54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A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06BD63F6" w14:textId="57155EEC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Solvencia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2AB09B07" w14:textId="3A03D3BC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Fondeadores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54381A08" w14:textId="0F4207B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Les interesa la capacidad del banco para responder ante riesgos y cumplir obligaciones.</w:t>
            </w:r>
          </w:p>
        </w:tc>
      </w:tr>
      <w:tr w:rsidR="00F72F2D" w:rsidRPr="003C0209" w14:paraId="564A5054" w14:textId="77777777" w:rsidTr="00F72F2D">
        <w:tc>
          <w:tcPr>
            <w:tcW w:w="810" w:type="dxa"/>
          </w:tcPr>
          <w:p w14:paraId="7918D6B9" w14:textId="732F495A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B</w:t>
            </w:r>
          </w:p>
        </w:tc>
        <w:tc>
          <w:tcPr>
            <w:tcW w:w="2880" w:type="dxa"/>
          </w:tcPr>
          <w:p w14:paraId="48F27C81" w14:textId="72958D59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Eficiencia de servicio</w:t>
            </w:r>
          </w:p>
        </w:tc>
        <w:tc>
          <w:tcPr>
            <w:tcW w:w="2070" w:type="dxa"/>
          </w:tcPr>
          <w:p w14:paraId="199F401A" w14:textId="5AF1E027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Deudores</w:t>
            </w:r>
          </w:p>
        </w:tc>
        <w:tc>
          <w:tcPr>
            <w:tcW w:w="4770" w:type="dxa"/>
          </w:tcPr>
          <w:p w14:paraId="0D6AD3C1" w14:textId="6051346E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Son quienes reciben directamente el servicio y valoran la atención.</w:t>
            </w:r>
          </w:p>
        </w:tc>
      </w:tr>
      <w:tr w:rsidR="00F72F2D" w:rsidRPr="003C0209" w14:paraId="73368256" w14:textId="77777777" w:rsidTr="00F72F2D">
        <w:tc>
          <w:tcPr>
            <w:tcW w:w="810" w:type="dxa"/>
          </w:tcPr>
          <w:p w14:paraId="4513E29F" w14:textId="0D3305FF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</w:t>
            </w:r>
          </w:p>
        </w:tc>
        <w:tc>
          <w:tcPr>
            <w:tcW w:w="2880" w:type="dxa"/>
          </w:tcPr>
          <w:p w14:paraId="26E9BD57" w14:textId="42FBED92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Buenos rendimientos</w:t>
            </w:r>
          </w:p>
        </w:tc>
        <w:tc>
          <w:tcPr>
            <w:tcW w:w="2070" w:type="dxa"/>
          </w:tcPr>
          <w:p w14:paraId="70117956" w14:textId="1556C006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Inversionistas</w:t>
            </w:r>
          </w:p>
        </w:tc>
        <w:tc>
          <w:tcPr>
            <w:tcW w:w="4770" w:type="dxa"/>
          </w:tcPr>
          <w:p w14:paraId="6968C410" w14:textId="5A3482F6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Su principal interés es la rentabilidad obtenida al invertir en el banco.</w:t>
            </w:r>
          </w:p>
        </w:tc>
      </w:tr>
      <w:tr w:rsidR="00F72F2D" w:rsidRPr="003C0209" w14:paraId="7233EC89" w14:textId="77777777" w:rsidTr="00F72F2D">
        <w:tc>
          <w:tcPr>
            <w:tcW w:w="810" w:type="dxa"/>
          </w:tcPr>
          <w:p w14:paraId="5A7BD34A" w14:textId="4D062B8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</w:t>
            </w:r>
          </w:p>
        </w:tc>
        <w:tc>
          <w:tcPr>
            <w:tcW w:w="2880" w:type="dxa"/>
          </w:tcPr>
          <w:p w14:paraId="5B65B624" w14:textId="74FCBE6F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Cumplimiento regulatorio</w:t>
            </w:r>
          </w:p>
        </w:tc>
        <w:tc>
          <w:tcPr>
            <w:tcW w:w="2070" w:type="dxa"/>
          </w:tcPr>
          <w:p w14:paraId="6809715F" w14:textId="3E3D4B14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proofErr w:type="spellStart"/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Direectivos</w:t>
            </w:r>
            <w:proofErr w:type="spellEnd"/>
          </w:p>
        </w:tc>
        <w:tc>
          <w:tcPr>
            <w:tcW w:w="4770" w:type="dxa"/>
          </w:tcPr>
          <w:p w14:paraId="4D4F31BD" w14:textId="6FEA7B5A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Son responsables del gobierno, control y cumplimiento institucional.</w:t>
            </w:r>
          </w:p>
        </w:tc>
      </w:tr>
      <w:tr w:rsidR="00F72F2D" w:rsidRPr="003C0209" w14:paraId="31F06914" w14:textId="77777777" w:rsidTr="00F72F2D">
        <w:tc>
          <w:tcPr>
            <w:tcW w:w="810" w:type="dxa"/>
          </w:tcPr>
          <w:p w14:paraId="56449193" w14:textId="6EFBFF9A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E</w:t>
            </w:r>
          </w:p>
        </w:tc>
        <w:tc>
          <w:tcPr>
            <w:tcW w:w="2880" w:type="dxa"/>
          </w:tcPr>
          <w:p w14:paraId="1F918AA6" w14:textId="274CD4C2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Pagos en tiempo óptimo</w:t>
            </w:r>
          </w:p>
        </w:tc>
        <w:tc>
          <w:tcPr>
            <w:tcW w:w="2070" w:type="dxa"/>
          </w:tcPr>
          <w:p w14:paraId="2D80B868" w14:textId="07063F17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Proveedores</w:t>
            </w:r>
          </w:p>
        </w:tc>
        <w:tc>
          <w:tcPr>
            <w:tcW w:w="4770" w:type="dxa"/>
          </w:tcPr>
          <w:p w14:paraId="3E2F26CD" w14:textId="404BC8C3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Les afecta directamente el tiempo en que el banco paga sus cuentas.</w:t>
            </w:r>
          </w:p>
        </w:tc>
      </w:tr>
      <w:tr w:rsidR="00F72F2D" w:rsidRPr="003C0209" w14:paraId="09FA9BCF" w14:textId="77777777" w:rsidTr="00F72F2D">
        <w:tc>
          <w:tcPr>
            <w:tcW w:w="810" w:type="dxa"/>
          </w:tcPr>
          <w:p w14:paraId="3B56E7EA" w14:textId="6E3817EF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</w:t>
            </w:r>
          </w:p>
        </w:tc>
        <w:tc>
          <w:tcPr>
            <w:tcW w:w="2880" w:type="dxa"/>
          </w:tcPr>
          <w:p w14:paraId="100BDFD1" w14:textId="38FA236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Incentivos por buen desempeño</w:t>
            </w:r>
          </w:p>
        </w:tc>
        <w:tc>
          <w:tcPr>
            <w:tcW w:w="2070" w:type="dxa"/>
          </w:tcPr>
          <w:p w14:paraId="3296064E" w14:textId="62E01DF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Colaboradores</w:t>
            </w:r>
          </w:p>
        </w:tc>
        <w:tc>
          <w:tcPr>
            <w:tcW w:w="4770" w:type="dxa"/>
          </w:tcPr>
          <w:p w14:paraId="407CACB6" w14:textId="5D41CC69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Se relaciona con motivación, compensación y cumplimiento de los objetivos/metas.</w:t>
            </w:r>
          </w:p>
        </w:tc>
      </w:tr>
    </w:tbl>
    <w:p w14:paraId="40850FDD" w14:textId="77777777" w:rsidR="00F72F2D" w:rsidRPr="00F72F2D" w:rsidRDefault="00F72F2D" w:rsidP="00F72F2D">
      <w:pPr>
        <w:rPr>
          <w:rFonts w:ascii="Times New Roman" w:hAnsi="Times New Roman" w:cs="Times New Roman"/>
          <w:lang w:val="es-CR"/>
        </w:rPr>
      </w:pPr>
    </w:p>
    <w:p w14:paraId="6AB7951B" w14:textId="668395F1" w:rsidR="00F72F2D" w:rsidRPr="00F72F2D" w:rsidRDefault="00F72F2D" w:rsidP="00F72F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b/>
          <w:bCs/>
          <w:lang w:val="es-CR"/>
        </w:rPr>
        <w:t>Análisis del gráfico</w:t>
      </w:r>
    </w:p>
    <w:p w14:paraId="7A7BBC09" w14:textId="1B6AB80C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Se comparan tres datos para cada grupo de interés: dato real del banco, resultado de encuesta y dato de la competencia. Esto permite observar si el riesgo reputacional surge por un problema real de desempeño, por una mala percepción o por ambas cosas.</w:t>
      </w:r>
    </w:p>
    <w:p w14:paraId="1E771EBB" w14:textId="5253F8C7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En términos generales, el análisis se interpreta así: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72F2D" w:rsidRPr="00F72F2D" w14:paraId="431EB696" w14:textId="77777777" w:rsidTr="00F72F2D"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256EF70F" w14:textId="14CE5594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Situación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2D08BBF0" w14:textId="2D3303B2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Significado</w:t>
            </w:r>
          </w:p>
        </w:tc>
      </w:tr>
      <w:tr w:rsidR="00F72F2D" w:rsidRPr="00F72F2D" w14:paraId="2601FA31" w14:textId="77777777" w:rsidTr="00F72F2D">
        <w:tc>
          <w:tcPr>
            <w:tcW w:w="4675" w:type="dxa"/>
            <w:tcBorders>
              <w:top w:val="single" w:sz="4" w:space="0" w:color="auto"/>
            </w:tcBorders>
          </w:tcPr>
          <w:p w14:paraId="0C4F6E83" w14:textId="5C3DA193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Realidad y percepción altas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5E4F5F25" w14:textId="05636A2C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Fortaleza reputacional</w:t>
            </w:r>
          </w:p>
        </w:tc>
      </w:tr>
      <w:tr w:rsidR="00F72F2D" w:rsidRPr="003C0209" w14:paraId="7945E577" w14:textId="77777777" w:rsidTr="00F72F2D">
        <w:tc>
          <w:tcPr>
            <w:tcW w:w="4675" w:type="dxa"/>
          </w:tcPr>
          <w:p w14:paraId="34E7E4EC" w14:textId="5781E482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Realidad alta y percepción baja</w:t>
            </w:r>
          </w:p>
        </w:tc>
        <w:tc>
          <w:tcPr>
            <w:tcW w:w="4675" w:type="dxa"/>
          </w:tcPr>
          <w:p w14:paraId="3F45F146" w14:textId="3794D6CF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Brecha de comunicación o experiencia</w:t>
            </w:r>
          </w:p>
        </w:tc>
      </w:tr>
      <w:tr w:rsidR="00F72F2D" w:rsidRPr="00F72F2D" w14:paraId="648A5BEE" w14:textId="77777777" w:rsidTr="00F72F2D">
        <w:tc>
          <w:tcPr>
            <w:tcW w:w="4675" w:type="dxa"/>
          </w:tcPr>
          <w:p w14:paraId="0980FAAC" w14:textId="1C000B91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Realidad baja y percepción alta</w:t>
            </w:r>
          </w:p>
        </w:tc>
        <w:tc>
          <w:tcPr>
            <w:tcW w:w="4675" w:type="dxa"/>
          </w:tcPr>
          <w:p w14:paraId="341D5673" w14:textId="69EC285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Riesgo “oculto”</w:t>
            </w:r>
          </w:p>
        </w:tc>
      </w:tr>
      <w:tr w:rsidR="00F72F2D" w:rsidRPr="00F72F2D" w14:paraId="2EBB5457" w14:textId="77777777" w:rsidTr="00F72F2D">
        <w:tc>
          <w:tcPr>
            <w:tcW w:w="4675" w:type="dxa"/>
          </w:tcPr>
          <w:p w14:paraId="321A6EAF" w14:textId="1F4F5C2D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Realidad y percepción bajas</w:t>
            </w:r>
          </w:p>
        </w:tc>
        <w:tc>
          <w:tcPr>
            <w:tcW w:w="4675" w:type="dxa"/>
          </w:tcPr>
          <w:p w14:paraId="3B14F9AE" w14:textId="3C07031E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Riesgo reputacional crítico</w:t>
            </w:r>
          </w:p>
        </w:tc>
      </w:tr>
    </w:tbl>
    <w:p w14:paraId="305D6DDD" w14:textId="77777777" w:rsidR="00F72F2D" w:rsidRPr="00F72F2D" w:rsidRDefault="00F72F2D" w:rsidP="00F72F2D">
      <w:pPr>
        <w:rPr>
          <w:rFonts w:ascii="Times New Roman" w:hAnsi="Times New Roman" w:cs="Times New Roman"/>
          <w:lang w:val="es-CR"/>
        </w:rPr>
      </w:pPr>
    </w:p>
    <w:p w14:paraId="4CFC7C1D" w14:textId="0AFC3ECF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Con base en el gráfico, el grupo más relevante de atender es fondeadores, porque la solvencia real del banco es menor que la competencia: 13% frente a 17%. Además, la encuesta muestra 16%, también por debajo de la competencia. Esto lo ubica en el cuadrante de realidad y percepción bajas, lo que representa un riesgo reputacional crítico. En este caso, no basta con comunicar mejor; debe mejorarse el indicador real de solvencia.</w:t>
      </w:r>
    </w:p>
    <w:p w14:paraId="5E9217E3" w14:textId="0A024905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Los inversionistas, deudores y proveedores presentan una situación distinta: el dato real es superior o similar a la competencia, pero la percepción es inferior. En inversionistas, el rendimiento real es 10% frente a 9% de la competencia, pero la encuesta refleja 8%. En deudores, el servicio real es igual a la competencia, pero la percepción es menor. En proveedores, el pago real es de 7 días, igual a la competencia, pero la encuesta refleja 9 días. Por lo tanto, estos casos corresponden principalmente a brechas de percepción, comunicación o experiencia.</w:t>
      </w:r>
    </w:p>
    <w:p w14:paraId="3FFAFB5E" w14:textId="25AB40F3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 xml:space="preserve">Por su parte, directivos y colaboradores se ubican como fortalezas reputacionales, porque tanto el dato real como la encuesta están por encima de la competencia. En directivos, el cumplimiento regulatorio es 75% frente a 60% de la competencia. En colaboradores, los incentivos alcanzan 40% </w:t>
      </w:r>
      <w:r w:rsidRPr="00F72F2D">
        <w:rPr>
          <w:rFonts w:ascii="Times New Roman" w:hAnsi="Times New Roman" w:cs="Times New Roman"/>
          <w:lang w:val="es-CR"/>
        </w:rPr>
        <w:lastRenderedPageBreak/>
        <w:t>frente a 20% de la competencia, aunque conviene mejorar la comunicación interna del esquema de incentivos.</w:t>
      </w:r>
    </w:p>
    <w:p w14:paraId="6FE5909D" w14:textId="4DE479D1" w:rsidR="00F72F2D" w:rsidRPr="00F72F2D" w:rsidRDefault="00F72F2D" w:rsidP="00F72F2D">
      <w:pPr>
        <w:rPr>
          <w:rFonts w:ascii="Times New Roman" w:hAnsi="Times New Roman" w:cs="Times New Roman"/>
          <w:b/>
          <w:bCs/>
        </w:rPr>
      </w:pPr>
      <w:proofErr w:type="spellStart"/>
      <w:r w:rsidRPr="00F72F2D">
        <w:rPr>
          <w:rFonts w:ascii="Times New Roman" w:hAnsi="Times New Roman" w:cs="Times New Roman"/>
          <w:b/>
          <w:bCs/>
        </w:rPr>
        <w:t>Alternativas</w:t>
      </w:r>
      <w:proofErr w:type="spellEnd"/>
      <w:r w:rsidRPr="00F72F2D">
        <w:rPr>
          <w:rFonts w:ascii="Times New Roman" w:hAnsi="Times New Roman" w:cs="Times New Roman"/>
          <w:b/>
          <w:bCs/>
        </w:rPr>
        <w:t xml:space="preserve"> de gestion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5480"/>
      </w:tblGrid>
      <w:tr w:rsidR="00F72F2D" w:rsidRPr="00F72F2D" w14:paraId="788EC591" w14:textId="77777777" w:rsidTr="00BB65A6"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3731E9A1" w14:textId="6D84E6AF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Grupo</w:t>
            </w:r>
          </w:p>
        </w:tc>
        <w:tc>
          <w:tcPr>
            <w:tcW w:w="5480" w:type="dxa"/>
            <w:tcBorders>
              <w:top w:val="single" w:sz="4" w:space="0" w:color="auto"/>
              <w:bottom w:val="single" w:sz="4" w:space="0" w:color="auto"/>
            </w:tcBorders>
          </w:tcPr>
          <w:p w14:paraId="10DC900C" w14:textId="55A3E9FE" w:rsidR="00F72F2D" w:rsidRPr="00F72F2D" w:rsidRDefault="00F72F2D" w:rsidP="00F72F2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Acción recomendada</w:t>
            </w:r>
          </w:p>
        </w:tc>
      </w:tr>
      <w:tr w:rsidR="00F72F2D" w:rsidRPr="003C0209" w14:paraId="54E46EDF" w14:textId="77777777" w:rsidTr="00BB65A6">
        <w:tc>
          <w:tcPr>
            <w:tcW w:w="3870" w:type="dxa"/>
            <w:tcBorders>
              <w:top w:val="single" w:sz="4" w:space="0" w:color="auto"/>
            </w:tcBorders>
          </w:tcPr>
          <w:p w14:paraId="183E4822" w14:textId="0A8B34B8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Fondeadores</w:t>
            </w:r>
          </w:p>
        </w:tc>
        <w:tc>
          <w:tcPr>
            <w:tcW w:w="5480" w:type="dxa"/>
            <w:tcBorders>
              <w:top w:val="single" w:sz="4" w:space="0" w:color="auto"/>
            </w:tcBorders>
          </w:tcPr>
          <w:p w14:paraId="28620EF4" w14:textId="18A3BDD8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Fortalecer solvencia, plan de capital.</w:t>
            </w:r>
          </w:p>
        </w:tc>
      </w:tr>
      <w:tr w:rsidR="00F72F2D" w:rsidRPr="003C0209" w14:paraId="2557365B" w14:textId="77777777" w:rsidTr="00BB65A6">
        <w:tc>
          <w:tcPr>
            <w:tcW w:w="3870" w:type="dxa"/>
          </w:tcPr>
          <w:p w14:paraId="5A7E3EBF" w14:textId="37F289E6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Inversionistas</w:t>
            </w:r>
          </w:p>
        </w:tc>
        <w:tc>
          <w:tcPr>
            <w:tcW w:w="5480" w:type="dxa"/>
          </w:tcPr>
          <w:p w14:paraId="383A0825" w14:textId="5CB6C043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Comunicar mejor rendimientos y propuesta de valor.</w:t>
            </w:r>
          </w:p>
        </w:tc>
      </w:tr>
      <w:tr w:rsidR="00F72F2D" w:rsidRPr="003C0209" w14:paraId="66621FF5" w14:textId="77777777" w:rsidTr="00BB65A6">
        <w:tc>
          <w:tcPr>
            <w:tcW w:w="3870" w:type="dxa"/>
          </w:tcPr>
          <w:p w14:paraId="1DCCFC67" w14:textId="78984243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Deudores</w:t>
            </w:r>
          </w:p>
        </w:tc>
        <w:tc>
          <w:tcPr>
            <w:tcW w:w="5480" w:type="dxa"/>
          </w:tcPr>
          <w:p w14:paraId="5BFBCFDC" w14:textId="5DAFDEB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Mejorar experiencia de servicio y tiempos de atención.</w:t>
            </w:r>
          </w:p>
        </w:tc>
      </w:tr>
      <w:tr w:rsidR="00F72F2D" w:rsidRPr="003C0209" w14:paraId="27BE6504" w14:textId="77777777" w:rsidTr="00BB65A6">
        <w:tc>
          <w:tcPr>
            <w:tcW w:w="3870" w:type="dxa"/>
          </w:tcPr>
          <w:p w14:paraId="5D70EF91" w14:textId="4E326755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Proveedores</w:t>
            </w:r>
          </w:p>
        </w:tc>
        <w:tc>
          <w:tcPr>
            <w:tcW w:w="5480" w:type="dxa"/>
          </w:tcPr>
          <w:p w14:paraId="50A3674A" w14:textId="3D5D0F95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Mejorar trazabilidad y comunicación de pagos.</w:t>
            </w:r>
          </w:p>
        </w:tc>
      </w:tr>
      <w:tr w:rsidR="00F72F2D" w:rsidRPr="00F72F2D" w14:paraId="056FB643" w14:textId="77777777" w:rsidTr="00BB65A6">
        <w:tc>
          <w:tcPr>
            <w:tcW w:w="3870" w:type="dxa"/>
          </w:tcPr>
          <w:p w14:paraId="4FA92828" w14:textId="123031FB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Directivos</w:t>
            </w:r>
          </w:p>
        </w:tc>
        <w:tc>
          <w:tcPr>
            <w:tcW w:w="5480" w:type="dxa"/>
          </w:tcPr>
          <w:p w14:paraId="27766E3C" w14:textId="67A8A557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Mantener seguimiento regulatorio.</w:t>
            </w:r>
          </w:p>
        </w:tc>
      </w:tr>
      <w:tr w:rsidR="00F72F2D" w:rsidRPr="003C0209" w14:paraId="20E06A68" w14:textId="77777777" w:rsidTr="00BB65A6">
        <w:tc>
          <w:tcPr>
            <w:tcW w:w="3870" w:type="dxa"/>
          </w:tcPr>
          <w:p w14:paraId="18ECCD9A" w14:textId="72435D39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Colaboradores</w:t>
            </w:r>
          </w:p>
        </w:tc>
        <w:tc>
          <w:tcPr>
            <w:tcW w:w="5480" w:type="dxa"/>
          </w:tcPr>
          <w:p w14:paraId="4F984D75" w14:textId="67433947" w:rsidR="00F72F2D" w:rsidRPr="00F72F2D" w:rsidRDefault="00F72F2D" w:rsidP="00F72F2D">
            <w:pPr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F72F2D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Aclara metas, bonos e incentivos.</w:t>
            </w:r>
          </w:p>
        </w:tc>
      </w:tr>
    </w:tbl>
    <w:p w14:paraId="2D5FF6DD" w14:textId="77777777" w:rsidR="00F72F2D" w:rsidRPr="00F72F2D" w:rsidRDefault="00F72F2D" w:rsidP="00F72F2D">
      <w:pPr>
        <w:rPr>
          <w:rFonts w:ascii="Times New Roman" w:hAnsi="Times New Roman" w:cs="Times New Roman"/>
          <w:lang w:val="es-CR"/>
        </w:rPr>
      </w:pPr>
    </w:p>
    <w:p w14:paraId="0E905E9E" w14:textId="045F514F" w:rsidR="00F72F2D" w:rsidRP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Desde las líneas de defensa, la primera línea debe gestionar la relación directa con cada grupo; la segunda línea, integrada por Riesgo, Cumplimiento y Relaciones Corporativas, debe dar seguimiento a indicadores, alertas y planes de acción; y la tercera línea, Auditoría Interna, debe revisar que los controles y acciones se ejecuten correctamente.</w:t>
      </w:r>
    </w:p>
    <w:p w14:paraId="312FD954" w14:textId="538A86B9" w:rsidR="00F72F2D" w:rsidRDefault="00F72F2D" w:rsidP="00F72F2D">
      <w:pPr>
        <w:jc w:val="both"/>
        <w:rPr>
          <w:rFonts w:ascii="Times New Roman" w:hAnsi="Times New Roman" w:cs="Times New Roman"/>
          <w:lang w:val="es-CR"/>
        </w:rPr>
      </w:pPr>
      <w:r w:rsidRPr="00F72F2D">
        <w:rPr>
          <w:rFonts w:ascii="Times New Roman" w:hAnsi="Times New Roman" w:cs="Times New Roman"/>
          <w:lang w:val="es-CR"/>
        </w:rPr>
        <w:t>En conclusión, el foco principal debe ser fondeadores, por presentar una debilidad real y percibida. Los demás grupos requieren acciones diferenciadas: unos por brecha de percepción y otros como fortalezas que deben mantenerse.</w:t>
      </w:r>
    </w:p>
    <w:p w14:paraId="1E1C6781" w14:textId="77777777" w:rsidR="005B5F4E" w:rsidRDefault="005B5F4E" w:rsidP="00F72F2D">
      <w:pPr>
        <w:jc w:val="both"/>
        <w:rPr>
          <w:rFonts w:ascii="Times New Roman" w:hAnsi="Times New Roman" w:cs="Times New Roman"/>
          <w:lang w:val="es-CR"/>
        </w:rPr>
      </w:pPr>
    </w:p>
    <w:p w14:paraId="2D67039A" w14:textId="77777777" w:rsidR="005B5F4E" w:rsidRDefault="005B5F4E" w:rsidP="00F72F2D">
      <w:pPr>
        <w:jc w:val="both"/>
        <w:rPr>
          <w:rFonts w:ascii="Times New Roman" w:hAnsi="Times New Roman" w:cs="Times New Roman"/>
          <w:lang w:val="es-CR"/>
        </w:rPr>
      </w:pPr>
    </w:p>
    <w:p w14:paraId="3C9283C9" w14:textId="77777777" w:rsidR="005B5F4E" w:rsidRDefault="005B5F4E" w:rsidP="00F72F2D">
      <w:pPr>
        <w:jc w:val="both"/>
        <w:rPr>
          <w:rFonts w:ascii="Times New Roman" w:hAnsi="Times New Roman" w:cs="Times New Roman"/>
          <w:lang w:val="es-CR"/>
        </w:rPr>
      </w:pPr>
    </w:p>
    <w:p w14:paraId="52B58CF2" w14:textId="77777777" w:rsidR="005B5F4E" w:rsidRDefault="005B5F4E" w:rsidP="00F72F2D">
      <w:pPr>
        <w:jc w:val="both"/>
        <w:rPr>
          <w:rFonts w:ascii="Times New Roman" w:hAnsi="Times New Roman" w:cs="Times New Roman"/>
          <w:lang w:val="es-CR"/>
        </w:rPr>
      </w:pPr>
    </w:p>
    <w:p w14:paraId="5082535B" w14:textId="77777777" w:rsidR="005B5F4E" w:rsidRPr="00F72F2D" w:rsidRDefault="005B5F4E" w:rsidP="00F72F2D">
      <w:pPr>
        <w:jc w:val="both"/>
        <w:rPr>
          <w:rFonts w:ascii="Times New Roman" w:hAnsi="Times New Roman" w:cs="Times New Roman"/>
          <w:lang w:val="es-CR"/>
        </w:rPr>
      </w:pPr>
    </w:p>
    <w:sectPr w:rsidR="005B5F4E" w:rsidRPr="00F72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042C"/>
    <w:multiLevelType w:val="hybridMultilevel"/>
    <w:tmpl w:val="342614FA"/>
    <w:lvl w:ilvl="0" w:tplc="1D70DB9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65657"/>
    <w:multiLevelType w:val="hybridMultilevel"/>
    <w:tmpl w:val="671C0D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34406"/>
    <w:multiLevelType w:val="hybridMultilevel"/>
    <w:tmpl w:val="2EC478E4"/>
    <w:lvl w:ilvl="0" w:tplc="B232B9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21AAB"/>
    <w:multiLevelType w:val="hybridMultilevel"/>
    <w:tmpl w:val="9D2AC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188715">
    <w:abstractNumId w:val="2"/>
  </w:num>
  <w:num w:numId="2" w16cid:durableId="73940500">
    <w:abstractNumId w:val="1"/>
  </w:num>
  <w:num w:numId="3" w16cid:durableId="1142382530">
    <w:abstractNumId w:val="3"/>
  </w:num>
  <w:num w:numId="4" w16cid:durableId="50555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87"/>
    <w:rsid w:val="00027B87"/>
    <w:rsid w:val="001C0555"/>
    <w:rsid w:val="003C0209"/>
    <w:rsid w:val="005B5F4E"/>
    <w:rsid w:val="00765036"/>
    <w:rsid w:val="007B1A65"/>
    <w:rsid w:val="008C3C11"/>
    <w:rsid w:val="00AA339B"/>
    <w:rsid w:val="00B440F1"/>
    <w:rsid w:val="00BB65A6"/>
    <w:rsid w:val="00C0590E"/>
    <w:rsid w:val="00E42F08"/>
    <w:rsid w:val="00ED6BAE"/>
    <w:rsid w:val="00F72F2D"/>
    <w:rsid w:val="00F9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0C43"/>
  <w15:chartTrackingRefBased/>
  <w15:docId w15:val="{74CB5685-C51D-4B4D-86ED-411EB2E3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B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7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Eduardo Rocha Mora</dc:creator>
  <cp:keywords/>
  <dc:description/>
  <cp:lastModifiedBy>Óscar Eduardo Rocha Mora</cp:lastModifiedBy>
  <cp:revision>3</cp:revision>
  <dcterms:created xsi:type="dcterms:W3CDTF">2026-07-16T20:30:00Z</dcterms:created>
  <dcterms:modified xsi:type="dcterms:W3CDTF">2026-07-19T02:53:00Z</dcterms:modified>
</cp:coreProperties>
</file>