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328984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82D90B" w14:textId="363F2AF8" w:rsidR="00167F23" w:rsidRPr="00167F23" w:rsidRDefault="00167F23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7F23">
            <w:rPr>
              <w:rFonts w:ascii="Times New Roman" w:hAnsi="Times New Roman" w:cs="Times New Roman"/>
              <w:color w:val="auto"/>
            </w:rPr>
            <w:t>Contents</w:t>
          </w:r>
        </w:p>
        <w:p w14:paraId="6F6A6BC4" w14:textId="29FEDDB4" w:rsidR="00167F23" w:rsidRPr="00167F23" w:rsidRDefault="00167F2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167F23">
            <w:rPr>
              <w:rFonts w:ascii="Times New Roman" w:hAnsi="Times New Roman" w:cs="Times New Roman"/>
            </w:rPr>
            <w:fldChar w:fldCharType="begin"/>
          </w:r>
          <w:r w:rsidRPr="00167F23">
            <w:rPr>
              <w:rFonts w:ascii="Times New Roman" w:hAnsi="Times New Roman" w:cs="Times New Roman"/>
            </w:rPr>
            <w:instrText xml:space="preserve"> TOC \o "1-3" \h \z \u </w:instrText>
          </w:r>
          <w:r w:rsidRPr="00167F23">
            <w:rPr>
              <w:rFonts w:ascii="Times New Roman" w:hAnsi="Times New Roman" w:cs="Times New Roman"/>
            </w:rPr>
            <w:fldChar w:fldCharType="separate"/>
          </w:r>
          <w:hyperlink w:anchor="_Toc203744400" w:history="1">
            <w:r w:rsidRPr="00167F23">
              <w:rPr>
                <w:rStyle w:val="Hyperlink"/>
                <w:rFonts w:ascii="Times New Roman" w:hAnsi="Times New Roman" w:cs="Times New Roman"/>
                <w:bCs/>
                <w:noProof/>
                <w:lang w:val="es-CR"/>
              </w:rPr>
              <w:t>-</w:t>
            </w:r>
            <w:r w:rsidRPr="00167F23">
              <w:rPr>
                <w:rFonts w:ascii="Times New Roman" w:hAnsi="Times New Roman" w:cs="Times New Roman"/>
                <w:noProof/>
              </w:rPr>
              <w:tab/>
            </w:r>
            <w:r w:rsidRPr="00167F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CR"/>
              </w:rPr>
              <w:t>Relación con el curso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instrText xml:space="preserve"> PAGEREF _Toc203744400 \h </w:instrTex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B54419" w14:textId="674C134B" w:rsidR="00167F23" w:rsidRPr="00167F23" w:rsidRDefault="00167F2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3744401" w:history="1">
            <w:r w:rsidRPr="00167F23">
              <w:rPr>
                <w:rStyle w:val="Hyperlink"/>
                <w:rFonts w:ascii="Times New Roman" w:hAnsi="Times New Roman" w:cs="Times New Roman"/>
                <w:bCs/>
                <w:noProof/>
                <w:lang w:val="es-CR"/>
              </w:rPr>
              <w:t>-</w:t>
            </w:r>
            <w:r w:rsidRPr="00167F23">
              <w:rPr>
                <w:rFonts w:ascii="Times New Roman" w:hAnsi="Times New Roman" w:cs="Times New Roman"/>
                <w:noProof/>
              </w:rPr>
              <w:tab/>
            </w:r>
            <w:r w:rsidRPr="00167F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CR"/>
              </w:rPr>
              <w:t>Descripción de la aplicación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instrText xml:space="preserve"> PAGEREF _Toc203744401 \h </w:instrTex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263B4" w14:textId="7AC54397" w:rsidR="00167F23" w:rsidRPr="00167F23" w:rsidRDefault="00167F2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3744402" w:history="1">
            <w:r w:rsidRPr="00167F23">
              <w:rPr>
                <w:rStyle w:val="Hyperlink"/>
                <w:rFonts w:ascii="Times New Roman" w:hAnsi="Times New Roman" w:cs="Times New Roman"/>
                <w:bCs/>
                <w:noProof/>
                <w:lang w:val="es-CR"/>
              </w:rPr>
              <w:t>-</w:t>
            </w:r>
            <w:r w:rsidRPr="00167F23">
              <w:rPr>
                <w:rFonts w:ascii="Times New Roman" w:hAnsi="Times New Roman" w:cs="Times New Roman"/>
                <w:noProof/>
              </w:rPr>
              <w:tab/>
            </w:r>
            <w:r w:rsidRPr="00167F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CR"/>
              </w:rPr>
              <w:t>Conclusión: utilidad práctica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instrText xml:space="preserve"> PAGEREF _Toc203744402 \h </w:instrTex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B7A417" w14:textId="4184D422" w:rsidR="00167F23" w:rsidRPr="00167F23" w:rsidRDefault="00167F2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3744403" w:history="1">
            <w:r w:rsidRPr="00167F23">
              <w:rPr>
                <w:rStyle w:val="Hyperlink"/>
                <w:rFonts w:ascii="Times New Roman" w:hAnsi="Times New Roman" w:cs="Times New Roman"/>
                <w:bCs/>
                <w:noProof/>
                <w:lang w:val="es-CR"/>
              </w:rPr>
              <w:t>-</w:t>
            </w:r>
            <w:r w:rsidRPr="00167F23">
              <w:rPr>
                <w:rFonts w:ascii="Times New Roman" w:hAnsi="Times New Roman" w:cs="Times New Roman"/>
                <w:noProof/>
              </w:rPr>
              <w:tab/>
            </w:r>
            <w:r w:rsidRPr="00167F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CR"/>
              </w:rPr>
              <w:t>Bibliografía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instrText xml:space="preserve"> PAGEREF _Toc203744403 \h </w:instrTex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67F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CD5A87" w14:textId="0B1EECF0" w:rsidR="00167F23" w:rsidRDefault="00167F23">
          <w:r w:rsidRPr="00167F2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459C7B5" w14:textId="77777777" w:rsidR="00FA2BAA" w:rsidRDefault="005567FD" w:rsidP="006A25A1">
      <w:pPr>
        <w:jc w:val="both"/>
        <w:rPr>
          <w:rFonts w:ascii="Times New Roman" w:hAnsi="Times New Roman" w:cs="Times New Roman"/>
          <w:b/>
          <w:bCs/>
          <w:lang w:val="es-CR"/>
        </w:rPr>
      </w:pPr>
      <w:r w:rsidRPr="005567FD">
        <w:rPr>
          <w:rFonts w:ascii="Times New Roman" w:hAnsi="Times New Roman" w:cs="Times New Roman"/>
          <w:b/>
          <w:bCs/>
          <w:lang w:val="es-CR"/>
        </w:rPr>
        <w:t>Universidad de Costa Rica</w:t>
      </w:r>
    </w:p>
    <w:p w14:paraId="7C1556E2" w14:textId="4B1449A3" w:rsidR="005567FD" w:rsidRPr="005567FD" w:rsidRDefault="005567FD" w:rsidP="006A25A1">
      <w:pPr>
        <w:jc w:val="both"/>
        <w:rPr>
          <w:rFonts w:ascii="Times New Roman" w:hAnsi="Times New Roman" w:cs="Times New Roman"/>
          <w:b/>
          <w:bCs/>
          <w:lang w:val="es-CR"/>
        </w:rPr>
      </w:pPr>
      <w:r w:rsidRPr="005567FD">
        <w:rPr>
          <w:rFonts w:ascii="Times New Roman" w:hAnsi="Times New Roman" w:cs="Times New Roman"/>
          <w:b/>
          <w:bCs/>
          <w:lang w:val="es-CR"/>
        </w:rPr>
        <w:t>Posgrado en Economía</w:t>
      </w:r>
    </w:p>
    <w:p w14:paraId="0EE59806" w14:textId="59B31F60" w:rsidR="005567FD" w:rsidRPr="005567FD" w:rsidRDefault="005567FD" w:rsidP="006A25A1">
      <w:pPr>
        <w:jc w:val="both"/>
        <w:rPr>
          <w:rFonts w:ascii="Times New Roman" w:hAnsi="Times New Roman" w:cs="Times New Roman"/>
          <w:b/>
          <w:bCs/>
          <w:lang w:val="es-CR"/>
        </w:rPr>
      </w:pPr>
      <w:r w:rsidRPr="005567FD">
        <w:rPr>
          <w:rFonts w:ascii="Times New Roman" w:hAnsi="Times New Roman" w:cs="Times New Roman"/>
          <w:b/>
          <w:bCs/>
          <w:lang w:val="es-CR"/>
        </w:rPr>
        <w:t>Maestría Profesional en Finanzas y Riesgo</w:t>
      </w:r>
    </w:p>
    <w:p w14:paraId="4BBA170B" w14:textId="77777777" w:rsidR="005567FD" w:rsidRPr="005567FD" w:rsidRDefault="005567FD" w:rsidP="006A25A1">
      <w:pPr>
        <w:jc w:val="both"/>
        <w:rPr>
          <w:rFonts w:ascii="Times New Roman" w:hAnsi="Times New Roman" w:cs="Times New Roman"/>
          <w:b/>
          <w:bCs/>
          <w:lang w:val="es-CR"/>
        </w:rPr>
      </w:pPr>
      <w:r w:rsidRPr="005567FD">
        <w:rPr>
          <w:rFonts w:ascii="Times New Roman" w:hAnsi="Times New Roman" w:cs="Times New Roman"/>
          <w:b/>
          <w:bCs/>
          <w:lang w:val="es-CR"/>
        </w:rPr>
        <w:t>PF6570 Matemáticas y Probabilidades para Economía Financiera</w:t>
      </w:r>
    </w:p>
    <w:p w14:paraId="2E158A0D" w14:textId="7EB8074B" w:rsidR="005567FD" w:rsidRPr="005567FD" w:rsidRDefault="005567FD" w:rsidP="006A25A1">
      <w:pPr>
        <w:jc w:val="both"/>
        <w:rPr>
          <w:rFonts w:ascii="Times New Roman" w:hAnsi="Times New Roman" w:cs="Times New Roman"/>
          <w:b/>
          <w:bCs/>
          <w:lang w:val="es-CR"/>
        </w:rPr>
      </w:pPr>
      <w:r w:rsidRPr="005567FD">
        <w:rPr>
          <w:rFonts w:ascii="Times New Roman" w:hAnsi="Times New Roman" w:cs="Times New Roman"/>
          <w:b/>
          <w:bCs/>
          <w:lang w:val="es-CR"/>
        </w:rPr>
        <w:t>II cuatrimestre 2025</w:t>
      </w:r>
    </w:p>
    <w:p w14:paraId="7C744A81" w14:textId="2292F986" w:rsidR="005567FD" w:rsidRDefault="005567FD" w:rsidP="006A25A1">
      <w:pPr>
        <w:jc w:val="both"/>
        <w:rPr>
          <w:rFonts w:ascii="Times New Roman" w:hAnsi="Times New Roman" w:cs="Times New Roman"/>
          <w:b/>
          <w:bCs/>
          <w:lang w:val="es-CR"/>
        </w:rPr>
      </w:pPr>
      <w:r w:rsidRPr="005567FD">
        <w:rPr>
          <w:rFonts w:ascii="Times New Roman" w:hAnsi="Times New Roman" w:cs="Times New Roman"/>
          <w:b/>
          <w:bCs/>
          <w:lang w:val="es-CR"/>
        </w:rPr>
        <w:t xml:space="preserve">Profesor: </w:t>
      </w:r>
      <w:proofErr w:type="spellStart"/>
      <w:r w:rsidRPr="005567FD">
        <w:rPr>
          <w:rFonts w:ascii="Times New Roman" w:hAnsi="Times New Roman" w:cs="Times New Roman"/>
          <w:b/>
          <w:bCs/>
          <w:lang w:val="es-CR"/>
        </w:rPr>
        <w:t>Jos</w:t>
      </w:r>
      <w:r>
        <w:rPr>
          <w:rFonts w:ascii="Times New Roman" w:hAnsi="Times New Roman" w:cs="Times New Roman"/>
          <w:b/>
          <w:bCs/>
          <w:lang w:val="es-CR"/>
        </w:rPr>
        <w:t>e</w:t>
      </w:r>
      <w:proofErr w:type="spellEnd"/>
      <w:r w:rsidRPr="005567FD">
        <w:rPr>
          <w:rFonts w:ascii="Times New Roman" w:hAnsi="Times New Roman" w:cs="Times New Roman"/>
          <w:b/>
          <w:bCs/>
          <w:lang w:val="es-CR"/>
        </w:rPr>
        <w:t xml:space="preserve"> Pablo Barquero</w:t>
      </w:r>
    </w:p>
    <w:p w14:paraId="049F0FFD" w14:textId="3F36EF7C" w:rsidR="005567FD" w:rsidRPr="00167F23" w:rsidRDefault="005567FD" w:rsidP="00167F2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lang w:val="es-CR"/>
        </w:rPr>
      </w:pPr>
      <w:bookmarkStart w:id="0" w:name="_Toc203744400"/>
      <w:r w:rsidRPr="00167F23">
        <w:rPr>
          <w:rFonts w:ascii="Times New Roman" w:hAnsi="Times New Roman" w:cs="Times New Roman"/>
          <w:b/>
          <w:bCs/>
          <w:color w:val="auto"/>
          <w:lang w:val="es-CR"/>
        </w:rPr>
        <w:t>Relación con el curso</w:t>
      </w:r>
      <w:bookmarkEnd w:id="0"/>
    </w:p>
    <w:p w14:paraId="428597D3" w14:textId="55490559" w:rsidR="005567FD" w:rsidRPr="005567FD" w:rsidRDefault="00F677E6" w:rsidP="006A25A1">
      <w:pPr>
        <w:jc w:val="both"/>
        <w:rPr>
          <w:rFonts w:ascii="Times New Roman" w:hAnsi="Times New Roman" w:cs="Times New Roman"/>
          <w:lang w:val="es-CR"/>
        </w:rPr>
      </w:pPr>
      <w:r w:rsidRPr="00F677E6">
        <w:rPr>
          <w:rFonts w:ascii="Times New Roman" w:hAnsi="Times New Roman" w:cs="Times New Roman"/>
          <w:lang w:val="es-CR"/>
        </w:rPr>
        <w:t>A lo largo del curso se estudiaron herramientas fundamentales como la regresión lineal, la visualización de datos, el álgebra matricial, el análisis de distribuciones y la optimización. Estas herramientas son sumamente relevantes en el análisis de riesgo crediticio, especialmente cuando se trabaja con portafolios grandes que contienen información compleja y cambiante. En mi puesto actual, dentro del área de riesgo crediticio de una empresa multinacional energética, tengo acceso a bases de datos que contienen el comportamiento crediticio de clientes en América, Europa y Asia</w:t>
      </w:r>
      <w:r>
        <w:rPr>
          <w:rFonts w:ascii="Times New Roman" w:hAnsi="Times New Roman" w:cs="Times New Roman"/>
          <w:lang w:val="es-CR"/>
        </w:rPr>
        <w:t>, siendo Américas el foco de atención de mi departamento.</w:t>
      </w:r>
      <w:r w:rsidRPr="00F677E6">
        <w:rPr>
          <w:rFonts w:ascii="Times New Roman" w:hAnsi="Times New Roman" w:cs="Times New Roman"/>
          <w:lang w:val="es-CR"/>
        </w:rPr>
        <w:t xml:space="preserve"> Estos datos son utilizados para monitorear el estado actual de los clientes y también para apoyar procesos predictivos y de categorización del riesgo, los cuales están basados, en muchos casos, en las técnicas estudiadas en este curso.</w:t>
      </w:r>
      <w:r>
        <w:rPr>
          <w:rFonts w:ascii="Times New Roman" w:hAnsi="Times New Roman" w:cs="Times New Roman"/>
          <w:lang w:val="es-CR"/>
        </w:rPr>
        <w:t xml:space="preserve"> Plataformas</w:t>
      </w:r>
      <w:r w:rsidR="005567FD" w:rsidRPr="005567FD">
        <w:rPr>
          <w:rFonts w:ascii="Times New Roman" w:hAnsi="Times New Roman" w:cs="Times New Roman"/>
          <w:lang w:val="es-CR"/>
        </w:rPr>
        <w:t xml:space="preserve"> como CRM (</w:t>
      </w:r>
      <w:proofErr w:type="spellStart"/>
      <w:r w:rsidR="005567FD" w:rsidRPr="005567FD">
        <w:rPr>
          <w:rFonts w:ascii="Times New Roman" w:hAnsi="Times New Roman" w:cs="Times New Roman"/>
          <w:lang w:val="es-CR"/>
        </w:rPr>
        <w:t>Credit</w:t>
      </w:r>
      <w:proofErr w:type="spellEnd"/>
      <w:r w:rsidR="005567FD" w:rsidRPr="005567FD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="005567FD" w:rsidRPr="005567FD">
        <w:rPr>
          <w:rFonts w:ascii="Times New Roman" w:hAnsi="Times New Roman" w:cs="Times New Roman"/>
          <w:lang w:val="es-CR"/>
        </w:rPr>
        <w:t>Risk</w:t>
      </w:r>
      <w:proofErr w:type="spellEnd"/>
      <w:r w:rsidR="005567FD" w:rsidRPr="005567FD">
        <w:rPr>
          <w:rFonts w:ascii="Times New Roman" w:hAnsi="Times New Roman" w:cs="Times New Roman"/>
          <w:lang w:val="es-CR"/>
        </w:rPr>
        <w:t xml:space="preserve"> Monitor) generan sus </w:t>
      </w:r>
      <w:r>
        <w:rPr>
          <w:rFonts w:ascii="Times New Roman" w:hAnsi="Times New Roman" w:cs="Times New Roman"/>
          <w:lang w:val="es-CR"/>
        </w:rPr>
        <w:t>indicadores</w:t>
      </w:r>
      <w:r w:rsidR="005567FD" w:rsidRPr="005567FD">
        <w:rPr>
          <w:rFonts w:ascii="Times New Roman" w:hAnsi="Times New Roman" w:cs="Times New Roman"/>
          <w:lang w:val="es-CR"/>
        </w:rPr>
        <w:t xml:space="preserve"> de riesgo crediticio</w:t>
      </w:r>
      <w:r>
        <w:rPr>
          <w:rFonts w:ascii="Times New Roman" w:hAnsi="Times New Roman" w:cs="Times New Roman"/>
          <w:lang w:val="es-CR"/>
        </w:rPr>
        <w:t>, fundamentados en varios puntos vistos en clase.</w:t>
      </w:r>
    </w:p>
    <w:p w14:paraId="57A8C262" w14:textId="003613EE" w:rsidR="00A7256E" w:rsidRDefault="00A7256E" w:rsidP="006A25A1">
      <w:pPr>
        <w:jc w:val="both"/>
        <w:rPr>
          <w:rFonts w:ascii="Times New Roman" w:hAnsi="Times New Roman" w:cs="Times New Roman"/>
          <w:lang w:val="es-CR"/>
        </w:rPr>
      </w:pPr>
      <w:r w:rsidRPr="00A7256E">
        <w:rPr>
          <w:rFonts w:ascii="Times New Roman" w:hAnsi="Times New Roman" w:cs="Times New Roman"/>
          <w:lang w:val="es-CR"/>
        </w:rPr>
        <w:t>Por ejemplo, el Z-Score de Altman es un modelo que utiliza una regresión lineal múltiple para combinar varias razones financieras y predecir la probabilidad de quiebra de una empresa</w:t>
      </w:r>
      <w:r>
        <w:rPr>
          <w:rFonts w:ascii="Times New Roman" w:hAnsi="Times New Roman" w:cs="Times New Roman"/>
          <w:lang w:val="es-CR"/>
        </w:rPr>
        <w:t>.</w:t>
      </w:r>
    </w:p>
    <w:p w14:paraId="7EAD794B" w14:textId="2E666A9C" w:rsidR="005567FD" w:rsidRPr="00167F23" w:rsidRDefault="005567FD" w:rsidP="00167F2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lang w:val="es-CR"/>
        </w:rPr>
      </w:pPr>
      <w:bookmarkStart w:id="1" w:name="_Toc203744401"/>
      <w:r w:rsidRPr="00167F23">
        <w:rPr>
          <w:rFonts w:ascii="Times New Roman" w:hAnsi="Times New Roman" w:cs="Times New Roman"/>
          <w:b/>
          <w:bCs/>
          <w:color w:val="auto"/>
          <w:lang w:val="es-CR"/>
        </w:rPr>
        <w:t>Descripción de la aplicación</w:t>
      </w:r>
      <w:bookmarkEnd w:id="1"/>
    </w:p>
    <w:p w14:paraId="2AE213EC" w14:textId="77777777" w:rsidR="0080670D" w:rsidRDefault="00DB718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La fórmula clásica del Z-Score de Altman es:</w:t>
      </w:r>
    </w:p>
    <w:p w14:paraId="2871554C" w14:textId="79D2E682" w:rsidR="00DB718D" w:rsidRPr="0080670D" w:rsidRDefault="00DB718D" w:rsidP="006A25A1">
      <w:pPr>
        <w:jc w:val="both"/>
        <w:rPr>
          <w:rFonts w:ascii="Times New Roman" w:hAnsi="Times New Roman" w:cs="Times New Roman"/>
          <w:lang w:val="es-CR"/>
        </w:rPr>
      </w:pPr>
      <m:oMathPara>
        <m:oMath>
          <m:r>
            <w:rPr>
              <w:rFonts w:ascii="Cambria Math" w:hAnsi="Cambria Math" w:cs="Times New Roman"/>
              <w:lang w:val="es-CR"/>
            </w:rPr>
            <m:t>Z=1.2</m:t>
          </m:r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CR"/>
            </w:rPr>
            <m:t>+1.4</m:t>
          </m:r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CR"/>
            </w:rPr>
            <m:t>+3.3</m:t>
          </m:r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s-CR"/>
            </w:rPr>
            <m:t>+0.6</m:t>
          </m:r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s-CR"/>
            </w:rPr>
            <m:t>+1.0</m:t>
          </m:r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s-CR"/>
            </w:rPr>
            <m:t>+μ</m:t>
          </m:r>
        </m:oMath>
      </m:oMathPara>
    </w:p>
    <w:p w14:paraId="5CFDC67A" w14:textId="60412465" w:rsidR="00DB718D" w:rsidRDefault="00DB718D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lastRenderedPageBreak/>
        <w:t xml:space="preserve">Donde: </w:t>
      </w:r>
    </w:p>
    <w:p w14:paraId="70C85DD4" w14:textId="2C9C3841" w:rsidR="00DB718D" w:rsidRDefault="00000000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1</m:t>
            </m:r>
          </m:sub>
        </m:sSub>
      </m:oMath>
      <w:r w:rsidR="00DB718D">
        <w:rPr>
          <w:rFonts w:ascii="Times New Roman" w:eastAsiaTheme="minorEastAsia" w:hAnsi="Times New Roman" w:cs="Times New Roman"/>
          <w:lang w:val="es-CR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CR"/>
              </w:rPr>
              <m:t>Capital de trabajo</m:t>
            </m:r>
          </m:num>
          <m:den>
            <m:r>
              <w:rPr>
                <w:rFonts w:ascii="Cambria Math" w:eastAsiaTheme="minorEastAsia" w:hAnsi="Cambria Math" w:cs="Times New Roman"/>
                <w:lang w:val="es-CR"/>
              </w:rPr>
              <m:t>Activos totales</m:t>
            </m:r>
          </m:den>
        </m:f>
      </m:oMath>
    </w:p>
    <w:p w14:paraId="4E71834E" w14:textId="56249EA6" w:rsidR="00DB718D" w:rsidRPr="00DB718D" w:rsidRDefault="00000000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2</m:t>
            </m:r>
          </m:sub>
        </m:sSub>
      </m:oMath>
      <w:r w:rsidR="00DB718D">
        <w:rPr>
          <w:rFonts w:ascii="Times New Roman" w:eastAsiaTheme="minorEastAsia" w:hAnsi="Times New Roman" w:cs="Times New Roman"/>
          <w:lang w:val="es-CR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CR"/>
              </w:rPr>
              <m:t>Utilidades retenidas</m:t>
            </m:r>
          </m:num>
          <m:den>
            <m:r>
              <w:rPr>
                <w:rFonts w:ascii="Cambria Math" w:eastAsiaTheme="minorEastAsia" w:hAnsi="Cambria Math" w:cs="Times New Roman"/>
                <w:lang w:val="es-CR"/>
              </w:rPr>
              <m:t>Activos totales</m:t>
            </m:r>
          </m:den>
        </m:f>
      </m:oMath>
    </w:p>
    <w:p w14:paraId="41F87F44" w14:textId="54BA54AF" w:rsidR="00DB718D" w:rsidRPr="00DB718D" w:rsidRDefault="00000000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3</m:t>
            </m:r>
          </m:sub>
        </m:sSub>
      </m:oMath>
      <w:r w:rsidR="00DB718D">
        <w:rPr>
          <w:rFonts w:ascii="Times New Roman" w:eastAsiaTheme="minorEastAsia" w:hAnsi="Times New Roman" w:cs="Times New Roman"/>
          <w:lang w:val="es-CR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CR"/>
              </w:rPr>
              <m:t>EBIT</m:t>
            </m:r>
          </m:num>
          <m:den>
            <m:r>
              <w:rPr>
                <w:rFonts w:ascii="Cambria Math" w:eastAsiaTheme="minorEastAsia" w:hAnsi="Cambria Math" w:cs="Times New Roman"/>
                <w:lang w:val="es-CR"/>
              </w:rPr>
              <m:t>Activos totales</m:t>
            </m:r>
          </m:den>
        </m:f>
      </m:oMath>
    </w:p>
    <w:p w14:paraId="372E016D" w14:textId="2D6BB382" w:rsidR="00DB718D" w:rsidRPr="00DB718D" w:rsidRDefault="00000000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4</m:t>
            </m:r>
          </m:sub>
        </m:sSub>
      </m:oMath>
      <w:r w:rsidR="00DB718D">
        <w:rPr>
          <w:rFonts w:ascii="Times New Roman" w:eastAsiaTheme="minorEastAsia" w:hAnsi="Times New Roman" w:cs="Times New Roman"/>
          <w:lang w:val="es-CR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CR"/>
              </w:rPr>
              <m:t>Valor de mercado del patrimonio</m:t>
            </m:r>
          </m:num>
          <m:den>
            <m:r>
              <w:rPr>
                <w:rFonts w:ascii="Cambria Math" w:eastAsiaTheme="minorEastAsia" w:hAnsi="Cambria Math" w:cs="Times New Roman"/>
                <w:lang w:val="es-CR"/>
              </w:rPr>
              <m:t>Valor contable de la deudas</m:t>
            </m:r>
          </m:den>
        </m:f>
      </m:oMath>
    </w:p>
    <w:p w14:paraId="6E0845FA" w14:textId="130E301F" w:rsidR="00DB718D" w:rsidRDefault="00000000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5</m:t>
            </m:r>
          </m:sub>
        </m:sSub>
      </m:oMath>
      <w:r w:rsidR="00DB718D">
        <w:rPr>
          <w:rFonts w:ascii="Times New Roman" w:eastAsiaTheme="minorEastAsia" w:hAnsi="Times New Roman" w:cs="Times New Roman"/>
          <w:lang w:val="es-CR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CR"/>
              </w:rPr>
              <m:t>Ventas</m:t>
            </m:r>
          </m:num>
          <m:den>
            <m:r>
              <w:rPr>
                <w:rFonts w:ascii="Cambria Math" w:eastAsiaTheme="minorEastAsia" w:hAnsi="Cambria Math" w:cs="Times New Roman"/>
                <w:lang w:val="es-CR"/>
              </w:rPr>
              <m:t>Activos totales</m:t>
            </m:r>
          </m:den>
        </m:f>
      </m:oMath>
    </w:p>
    <w:p w14:paraId="4583D087" w14:textId="0294775B" w:rsidR="0080670D" w:rsidRDefault="0080670D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r>
          <w:rPr>
            <w:rFonts w:ascii="Cambria Math" w:eastAsiaTheme="minorEastAsia" w:hAnsi="Cambria Math" w:cs="Times New Roman"/>
            <w:lang w:val="es-CR"/>
          </w:rPr>
          <m:t>μ</m:t>
        </m:r>
      </m:oMath>
      <w:r>
        <w:rPr>
          <w:rFonts w:ascii="Times New Roman" w:eastAsiaTheme="minorEastAsia" w:hAnsi="Times New Roman" w:cs="Times New Roman"/>
          <w:lang w:val="es-CR"/>
        </w:rPr>
        <w:t xml:space="preserve"> = término de error que representa factores no contemplados por las variables independientes.</w:t>
      </w:r>
    </w:p>
    <w:p w14:paraId="4ADD0571" w14:textId="3E0109B5" w:rsidR="002E4241" w:rsidRDefault="002E4241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 xml:space="preserve">Los coeficientes (1.2, 1.4, 3.3, 0.6, 1.0) son los pesos que se asignan a cada variable financiera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es-C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es-CR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lang w:val="es-CR"/>
        </w:rPr>
        <w:t>, en el modelo, por lo que no son arbitrarios, son los coeficientes asignados por regresión lineal múltiple que indican la importancia relativa de cada variable para predecir el riesgo.</w:t>
      </w:r>
    </w:p>
    <w:p w14:paraId="58489FF9" w14:textId="249A3481" w:rsidR="0080670D" w:rsidRDefault="0080670D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Expresado como se vio en clase:</w:t>
      </w:r>
    </w:p>
    <w:p w14:paraId="77ABB8E2" w14:textId="023221D5" w:rsidR="0080670D" w:rsidRPr="0080670D" w:rsidRDefault="0080670D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m:oMathPara>
        <m:oMath>
          <m:r>
            <w:rPr>
              <w:rFonts w:ascii="Cambria Math" w:eastAsiaTheme="minorEastAsia" w:hAnsi="Cambria Math" w:cs="Times New Roman"/>
              <w:lang w:val="es-CR"/>
            </w:rPr>
            <m:t>Y=Xβ+μ</m:t>
          </m:r>
        </m:oMath>
      </m:oMathPara>
    </w:p>
    <w:p w14:paraId="026D71D1" w14:textId="3B13246C" w:rsidR="0080670D" w:rsidRDefault="0080670D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Donde:</w:t>
      </w:r>
    </w:p>
    <w:p w14:paraId="237ED439" w14:textId="1D971741" w:rsidR="0080670D" w:rsidRDefault="0080670D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r>
          <w:rPr>
            <w:rFonts w:ascii="Cambria Math" w:eastAsiaTheme="minorEastAsia" w:hAnsi="Cambria Math" w:cs="Times New Roman"/>
            <w:lang w:val="es-CR"/>
          </w:rPr>
          <m:t>Y</m:t>
        </m:r>
      </m:oMath>
      <w:r>
        <w:rPr>
          <w:rFonts w:ascii="Times New Roman" w:eastAsiaTheme="minorEastAsia" w:hAnsi="Times New Roman" w:cs="Times New Roman"/>
          <w:lang w:val="es-CR"/>
        </w:rPr>
        <w:t xml:space="preserve"> es el vector que contiene los valores observados del Z-Score</w:t>
      </w:r>
    </w:p>
    <w:p w14:paraId="528537B2" w14:textId="77777777" w:rsidR="002E4241" w:rsidRPr="002E4241" w:rsidRDefault="0080670D" w:rsidP="002E424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r>
          <w:rPr>
            <w:rFonts w:ascii="Cambria Math" w:eastAsiaTheme="minorEastAsia" w:hAnsi="Cambria Math" w:cs="Times New Roman"/>
            <w:lang w:val="es-CR"/>
          </w:rPr>
          <m:t>X</m:t>
        </m:r>
      </m:oMath>
      <w:r>
        <w:rPr>
          <w:rFonts w:ascii="Times New Roman" w:eastAsiaTheme="minorEastAsia" w:hAnsi="Times New Roman" w:cs="Times New Roman"/>
          <w:lang w:val="es-CR"/>
        </w:rPr>
        <w:t xml:space="preserve"> es la matriz con las variables financieras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es-C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es-CR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CR"/>
              </w:rPr>
              <m:t>5</m:t>
            </m:r>
          </m:sub>
        </m:sSub>
      </m:oMath>
    </w:p>
    <w:p w14:paraId="49D3A975" w14:textId="55EBCF86" w:rsidR="0080670D" w:rsidRPr="002E4241" w:rsidRDefault="0080670D" w:rsidP="002E424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r>
          <w:rPr>
            <w:rFonts w:ascii="Cambria Math" w:eastAsiaTheme="minorEastAsia" w:hAnsi="Cambria Math" w:cs="Times New Roman"/>
            <w:lang w:val="es-CR"/>
          </w:rPr>
          <m:t>β</m:t>
        </m:r>
      </m:oMath>
      <w:r w:rsidRPr="002E4241">
        <w:rPr>
          <w:rFonts w:ascii="Times New Roman" w:eastAsiaTheme="minorEastAsia" w:hAnsi="Times New Roman" w:cs="Times New Roman"/>
          <w:lang w:val="es-CR"/>
        </w:rPr>
        <w:t xml:space="preserve"> es el vector de coeficientes (1.2, 1.4, 3.3, 0.6, 1.0)</w:t>
      </w:r>
    </w:p>
    <w:p w14:paraId="6F2F4A66" w14:textId="3BA4EAAA" w:rsidR="0080670D" w:rsidRPr="0080670D" w:rsidRDefault="0080670D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m:oMath>
        <m:r>
          <w:rPr>
            <w:rFonts w:ascii="Cambria Math" w:eastAsiaTheme="minorEastAsia" w:hAnsi="Cambria Math" w:cs="Times New Roman"/>
            <w:lang w:val="es-CR"/>
          </w:rPr>
          <m:t>μ</m:t>
        </m:r>
      </m:oMath>
      <w:r>
        <w:rPr>
          <w:rFonts w:ascii="Times New Roman" w:eastAsiaTheme="minorEastAsia" w:hAnsi="Times New Roman" w:cs="Times New Roman"/>
          <w:iCs/>
          <w:lang w:val="es-CR"/>
        </w:rPr>
        <w:t xml:space="preserve"> es el término de error que captura la variabilidad no explicada por el modelo.</w:t>
      </w:r>
    </w:p>
    <w:p w14:paraId="527A6D72" w14:textId="4AB6E6C9" w:rsidR="0080670D" w:rsidRDefault="0080670D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Ejemplo práctico:</w:t>
      </w:r>
    </w:p>
    <w:p w14:paraId="644D005E" w14:textId="5BB696B5" w:rsidR="0080670D" w:rsidRPr="0080670D" w:rsidRDefault="0080670D" w:rsidP="006A25A1">
      <w:pPr>
        <w:pBdr>
          <w:bottom w:val="single" w:sz="4" w:space="1" w:color="auto"/>
        </w:pBdr>
        <w:jc w:val="both"/>
        <w:rPr>
          <w:rFonts w:ascii="Times New Roman" w:eastAsiaTheme="minorEastAsia" w:hAnsi="Times New Roman" w:cs="Times New Roman"/>
          <w:b/>
          <w:bCs/>
          <w:lang w:val="es-CR"/>
        </w:rPr>
      </w:pPr>
      <w:r w:rsidRPr="0080670D">
        <w:rPr>
          <w:rFonts w:ascii="Times New Roman" w:eastAsiaTheme="minorEastAsia" w:hAnsi="Times New Roman" w:cs="Times New Roman"/>
          <w:b/>
          <w:bCs/>
          <w:lang w:val="es-CR"/>
        </w:rPr>
        <w:t>Indicador</w:t>
      </w:r>
      <w:r w:rsidRPr="0080670D">
        <w:rPr>
          <w:rFonts w:ascii="Times New Roman" w:eastAsiaTheme="minorEastAsia" w:hAnsi="Times New Roman" w:cs="Times New Roman"/>
          <w:b/>
          <w:bCs/>
          <w:lang w:val="es-CR"/>
        </w:rPr>
        <w:tab/>
      </w:r>
      <w:r w:rsidRPr="0080670D">
        <w:rPr>
          <w:rFonts w:ascii="Times New Roman" w:eastAsiaTheme="minorEastAsia" w:hAnsi="Times New Roman" w:cs="Times New Roman"/>
          <w:b/>
          <w:bCs/>
          <w:lang w:val="es-CR"/>
        </w:rPr>
        <w:tab/>
      </w:r>
      <w:r w:rsidRPr="0080670D">
        <w:rPr>
          <w:rFonts w:ascii="Times New Roman" w:eastAsiaTheme="minorEastAsia" w:hAnsi="Times New Roman" w:cs="Times New Roman"/>
          <w:b/>
          <w:bCs/>
          <w:lang w:val="es-CR"/>
        </w:rPr>
        <w:tab/>
      </w:r>
      <w:r w:rsidRPr="0080670D">
        <w:rPr>
          <w:rFonts w:ascii="Times New Roman" w:eastAsiaTheme="minorEastAsia" w:hAnsi="Times New Roman" w:cs="Times New Roman"/>
          <w:b/>
          <w:bCs/>
          <w:lang w:val="es-CR"/>
        </w:rPr>
        <w:tab/>
      </w:r>
      <w:r w:rsidRPr="0080670D">
        <w:rPr>
          <w:rFonts w:ascii="Times New Roman" w:eastAsiaTheme="minorEastAsia" w:hAnsi="Times New Roman" w:cs="Times New Roman"/>
          <w:b/>
          <w:bCs/>
          <w:lang w:val="es-CR"/>
        </w:rPr>
        <w:tab/>
        <w:t>Valor</w:t>
      </w:r>
      <w:r>
        <w:rPr>
          <w:rFonts w:ascii="Times New Roman" w:eastAsiaTheme="minorEastAsia" w:hAnsi="Times New Roman" w:cs="Times New Roman"/>
          <w:b/>
          <w:bCs/>
          <w:lang w:val="es-CR"/>
        </w:rPr>
        <w:t xml:space="preserve"> (expresado en $)</w:t>
      </w:r>
    </w:p>
    <w:p w14:paraId="1332E86C" w14:textId="435BBF93" w:rsidR="0080670D" w:rsidRDefault="0080670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Capital de trabajo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$200,000.00</w:t>
      </w:r>
    </w:p>
    <w:p w14:paraId="462DB96F" w14:textId="5402E3A0" w:rsidR="0080670D" w:rsidRDefault="0080670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Activos totales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$1,000,000.00</w:t>
      </w:r>
    </w:p>
    <w:p w14:paraId="65D65F59" w14:textId="57F65AD9" w:rsidR="0080670D" w:rsidRDefault="0080670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Utilidades retenidas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$150,000.00</w:t>
      </w:r>
    </w:p>
    <w:p w14:paraId="4EB659AC" w14:textId="352F4208" w:rsidR="0080670D" w:rsidRDefault="0080670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EBIT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$100,000.00</w:t>
      </w:r>
    </w:p>
    <w:p w14:paraId="699896C8" w14:textId="6D978FF7" w:rsidR="0080670D" w:rsidRDefault="0080670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Valor mercado patrimonio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$500,000.00</w:t>
      </w:r>
    </w:p>
    <w:p w14:paraId="0B151880" w14:textId="05DECECD" w:rsidR="0080670D" w:rsidRDefault="0080670D" w:rsidP="006A25A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Valor contable deuda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$300,000.00</w:t>
      </w:r>
    </w:p>
    <w:p w14:paraId="75BC3BD2" w14:textId="514FEE29" w:rsidR="0080670D" w:rsidRDefault="0080670D" w:rsidP="006A25A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Ventas</w:t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</w:r>
      <w:r>
        <w:rPr>
          <w:rFonts w:ascii="Times New Roman" w:hAnsi="Times New Roman" w:cs="Times New Roman"/>
          <w:lang w:val="es-CR"/>
        </w:rPr>
        <w:tab/>
        <w:t>$1,200,000.00</w:t>
      </w:r>
    </w:p>
    <w:p w14:paraId="2EF62513" w14:textId="39FF48FB" w:rsidR="0080670D" w:rsidRDefault="0080670D" w:rsidP="006A25A1">
      <w:p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Calculando las variables:</w:t>
      </w:r>
    </w:p>
    <w:p w14:paraId="3545481A" w14:textId="589F38E8" w:rsidR="0080670D" w:rsidRPr="0080670D" w:rsidRDefault="00000000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lang w:val="es-CR"/>
                </w:rPr>
                <m:t>200,000</m:t>
              </m:r>
            </m:num>
            <m:den>
              <m:r>
                <w:rPr>
                  <w:rFonts w:ascii="Cambria Math" w:hAnsi="Cambria Math" w:cs="Times New Roman"/>
                  <w:lang w:val="es-CR"/>
                </w:rPr>
                <m:t>1,000,00</m:t>
              </m:r>
            </m:den>
          </m:f>
          <m:r>
            <w:rPr>
              <w:rFonts w:ascii="Cambria Math" w:hAnsi="Cambria Math" w:cs="Times New Roman"/>
              <w:lang w:val="es-CR"/>
            </w:rPr>
            <m:t>=0.2</m:t>
          </m:r>
        </m:oMath>
      </m:oMathPara>
    </w:p>
    <w:p w14:paraId="0B083E22" w14:textId="0A2E063F" w:rsidR="0080670D" w:rsidRDefault="00000000" w:rsidP="006A25A1">
      <w:pPr>
        <w:jc w:val="both"/>
        <w:rPr>
          <w:rFonts w:ascii="Times New Roman" w:hAnsi="Times New Roman" w:cs="Times New Roman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lang w:val="es-CR"/>
                </w:rPr>
                <m:t>150,000</m:t>
              </m:r>
            </m:num>
            <m:den>
              <m:r>
                <w:rPr>
                  <w:rFonts w:ascii="Cambria Math" w:hAnsi="Cambria Math" w:cs="Times New Roman"/>
                  <w:lang w:val="es-CR"/>
                </w:rPr>
                <m:t>1,000,00</m:t>
              </m:r>
            </m:den>
          </m:f>
          <m:r>
            <w:rPr>
              <w:rFonts w:ascii="Cambria Math" w:hAnsi="Cambria Math" w:cs="Times New Roman"/>
              <w:lang w:val="es-CR"/>
            </w:rPr>
            <m:t>=0.15</m:t>
          </m:r>
        </m:oMath>
      </m:oMathPara>
    </w:p>
    <w:p w14:paraId="7BE63507" w14:textId="15C287F8" w:rsidR="0080670D" w:rsidRDefault="00000000" w:rsidP="006A25A1">
      <w:pPr>
        <w:jc w:val="both"/>
        <w:rPr>
          <w:rFonts w:ascii="Times New Roman" w:hAnsi="Times New Roman" w:cs="Times New Roman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lang w:val="es-CR"/>
                </w:rPr>
                <m:t>100,000</m:t>
              </m:r>
            </m:num>
            <m:den>
              <m:r>
                <w:rPr>
                  <w:rFonts w:ascii="Cambria Math" w:hAnsi="Cambria Math" w:cs="Times New Roman"/>
                  <w:lang w:val="es-CR"/>
                </w:rPr>
                <m:t>1,000,00</m:t>
              </m:r>
            </m:den>
          </m:f>
          <m:r>
            <w:rPr>
              <w:rFonts w:ascii="Cambria Math" w:hAnsi="Cambria Math" w:cs="Times New Roman"/>
              <w:lang w:val="es-CR"/>
            </w:rPr>
            <m:t>=0.1</m:t>
          </m:r>
        </m:oMath>
      </m:oMathPara>
    </w:p>
    <w:p w14:paraId="6D83CA86" w14:textId="713888FD" w:rsidR="0080670D" w:rsidRDefault="00000000" w:rsidP="006A25A1">
      <w:pPr>
        <w:jc w:val="both"/>
        <w:rPr>
          <w:rFonts w:ascii="Times New Roman" w:hAnsi="Times New Roman" w:cs="Times New Roman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lang w:val="es-CR"/>
                </w:rPr>
                <m:t>500,000</m:t>
              </m:r>
            </m:num>
            <m:den>
              <m:r>
                <w:rPr>
                  <w:rFonts w:ascii="Cambria Math" w:hAnsi="Cambria Math" w:cs="Times New Roman"/>
                  <w:lang w:val="es-CR"/>
                </w:rPr>
                <m:t>300,00</m:t>
              </m:r>
            </m:den>
          </m:f>
          <m:r>
            <w:rPr>
              <w:rFonts w:ascii="Cambria Math" w:hAnsi="Cambria Math" w:cs="Times New Roman"/>
              <w:lang w:val="es-CR"/>
            </w:rPr>
            <m:t>=1.37</m:t>
          </m:r>
        </m:oMath>
      </m:oMathPara>
    </w:p>
    <w:p w14:paraId="51D8EE7B" w14:textId="4301DAF6" w:rsidR="0080670D" w:rsidRPr="0080670D" w:rsidRDefault="00000000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 w:cs="Times New Roman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CR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s-C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lang w:val="es-CR"/>
                </w:rPr>
                <m:t>1,200,000</m:t>
              </m:r>
            </m:num>
            <m:den>
              <m:r>
                <w:rPr>
                  <w:rFonts w:ascii="Cambria Math" w:hAnsi="Cambria Math" w:cs="Times New Roman"/>
                  <w:lang w:val="es-CR"/>
                </w:rPr>
                <m:t>1,000,00</m:t>
              </m:r>
            </m:den>
          </m:f>
          <m:r>
            <w:rPr>
              <w:rFonts w:ascii="Cambria Math" w:hAnsi="Cambria Math" w:cs="Times New Roman"/>
              <w:lang w:val="es-CR"/>
            </w:rPr>
            <m:t>=1.2</m:t>
          </m:r>
        </m:oMath>
      </m:oMathPara>
    </w:p>
    <w:p w14:paraId="7ED0FB1E" w14:textId="1B2A0E85" w:rsidR="0080670D" w:rsidRDefault="006A25A1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Calculando el Z-Score (donde Y=Z):</w:t>
      </w:r>
    </w:p>
    <w:p w14:paraId="2FCDC56B" w14:textId="77777777" w:rsidR="006A25A1" w:rsidRPr="006A25A1" w:rsidRDefault="006A25A1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m:oMathPara>
        <m:oMath>
          <m:r>
            <w:rPr>
              <w:rFonts w:ascii="Cambria Math" w:eastAsiaTheme="minorEastAsia" w:hAnsi="Cambria Math" w:cs="Times New Roman"/>
              <w:lang w:val="es-CR"/>
            </w:rPr>
            <m:t>Z=1.2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CR"/>
                </w:rPr>
                <m:t>0.2</m:t>
              </m:r>
            </m:e>
          </m:d>
          <m:r>
            <w:rPr>
              <w:rFonts w:ascii="Cambria Math" w:eastAsiaTheme="minorEastAsia" w:hAnsi="Cambria Math" w:cs="Times New Roman"/>
              <w:lang w:val="es-CR"/>
            </w:rPr>
            <m:t>+1.4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CR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lang w:val="es-CR"/>
            </w:rPr>
            <m:t>+3.3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CR"/>
                </w:rPr>
                <m:t>0.1</m:t>
              </m:r>
            </m:e>
          </m:d>
          <m:r>
            <w:rPr>
              <w:rFonts w:ascii="Cambria Math" w:eastAsiaTheme="minorEastAsia" w:hAnsi="Cambria Math" w:cs="Times New Roman"/>
              <w:lang w:val="es-CR"/>
            </w:rPr>
            <m:t>+0.6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CR"/>
                </w:rPr>
                <m:t>1.67</m:t>
              </m:r>
            </m:e>
          </m:d>
          <m:r>
            <w:rPr>
              <w:rFonts w:ascii="Cambria Math" w:eastAsiaTheme="minorEastAsia" w:hAnsi="Cambria Math" w:cs="Times New Roman"/>
              <w:lang w:val="es-CR"/>
            </w:rPr>
            <m:t>+1.0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CR"/>
                </w:rPr>
                <m:t>1.2</m:t>
              </m:r>
            </m:e>
          </m:d>
          <m:r>
            <w:rPr>
              <w:rFonts w:ascii="Cambria Math" w:eastAsiaTheme="minorEastAsia" w:hAnsi="Cambria Math" w:cs="Times New Roman"/>
              <w:lang w:val="es-CR"/>
            </w:rPr>
            <m:t>+μ=2.982+ μ</m:t>
          </m:r>
        </m:oMath>
      </m:oMathPara>
    </w:p>
    <w:p w14:paraId="4BF0C9DD" w14:textId="31259E8E" w:rsidR="006A25A1" w:rsidRDefault="006A25A1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Interpretación:</w:t>
      </w:r>
    </w:p>
    <w:p w14:paraId="44701F97" w14:textId="3620706F" w:rsidR="006A25A1" w:rsidRDefault="006A25A1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Si Z</w:t>
      </w:r>
      <w:r w:rsidRPr="006A25A1">
        <w:rPr>
          <w:rFonts w:ascii="Times New Roman" w:eastAsiaTheme="minorEastAsia" w:hAnsi="Times New Roman" w:cs="Times New Roman"/>
          <w:lang w:val="es-CR"/>
        </w:rPr>
        <w:t xml:space="preserve"> &gt; 2.99, determina una b</w:t>
      </w:r>
      <w:r>
        <w:rPr>
          <w:rFonts w:ascii="Times New Roman" w:eastAsiaTheme="minorEastAsia" w:hAnsi="Times New Roman" w:cs="Times New Roman"/>
          <w:lang w:val="es-CR"/>
        </w:rPr>
        <w:t>aja probabilidad de quiebra</w:t>
      </w:r>
    </w:p>
    <w:p w14:paraId="568A223D" w14:textId="75EAE936" w:rsidR="006A25A1" w:rsidRDefault="006A25A1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>Si 1.81 &lt; Z &lt; 2.99, es lo que se llama como: “Zona gris”, (riesgo medio).</w:t>
      </w:r>
    </w:p>
    <w:p w14:paraId="2B9408F1" w14:textId="795600C0" w:rsidR="006A25A1" w:rsidRPr="006A25A1" w:rsidRDefault="006A25A1" w:rsidP="006A25A1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 xml:space="preserve">Si Z </w:t>
      </w:r>
      <w:r w:rsidRPr="006A25A1">
        <w:rPr>
          <w:rFonts w:ascii="Times New Roman" w:eastAsiaTheme="minorEastAsia" w:hAnsi="Times New Roman" w:cs="Times New Roman"/>
          <w:lang w:val="es-CR"/>
        </w:rPr>
        <w:t>&lt; 1.81, ser</w:t>
      </w:r>
      <w:r>
        <w:rPr>
          <w:rFonts w:ascii="Times New Roman" w:eastAsiaTheme="minorEastAsia" w:hAnsi="Times New Roman" w:cs="Times New Roman"/>
          <w:lang w:val="es-CR"/>
        </w:rPr>
        <w:t>ía alto riesgo de quiebra.</w:t>
      </w:r>
    </w:p>
    <w:p w14:paraId="663143F0" w14:textId="7367B983" w:rsidR="0080670D" w:rsidRPr="006A25A1" w:rsidRDefault="006A25A1" w:rsidP="006A25A1">
      <w:pPr>
        <w:jc w:val="both"/>
        <w:rPr>
          <w:rFonts w:ascii="Times New Roman" w:eastAsiaTheme="minorEastAsia" w:hAnsi="Times New Roman" w:cs="Times New Roman"/>
          <w:lang w:val="es-CR"/>
        </w:rPr>
      </w:pPr>
      <w:r>
        <w:rPr>
          <w:rFonts w:ascii="Times New Roman" w:eastAsiaTheme="minorEastAsia" w:hAnsi="Times New Roman" w:cs="Times New Roman"/>
          <w:lang w:val="es-CR"/>
        </w:rPr>
        <w:t xml:space="preserve">En la práctica, para la interpretación del Z-Score, </w:t>
      </w:r>
      <m:oMath>
        <m:r>
          <w:rPr>
            <w:rFonts w:ascii="Cambria Math" w:hAnsi="Cambria Math" w:cs="Times New Roman"/>
            <w:lang w:val="es-CR"/>
          </w:rPr>
          <m:t>μ</m:t>
        </m:r>
      </m:oMath>
      <w:r>
        <w:rPr>
          <w:rFonts w:ascii="Times New Roman" w:eastAsiaTheme="minorEastAsia" w:hAnsi="Times New Roman" w:cs="Times New Roman"/>
          <w:lang w:val="es-CR"/>
        </w:rPr>
        <w:t>, usualmente se asume que el valor es cercano a cero o se ignora por completo, dado que el modelo ya está ajustado, para que la suma de errores promedio sea cero.</w:t>
      </w:r>
    </w:p>
    <w:p w14:paraId="358C0FF1" w14:textId="77777777" w:rsidR="00704349" w:rsidRDefault="00704349" w:rsidP="00704349">
      <w:pPr>
        <w:jc w:val="both"/>
        <w:rPr>
          <w:rFonts w:ascii="Times New Roman" w:hAnsi="Times New Roman" w:cs="Times New Roman"/>
          <w:lang w:val="es-CR"/>
        </w:rPr>
      </w:pPr>
      <w:r w:rsidRPr="00704349">
        <w:rPr>
          <w:rFonts w:ascii="Times New Roman" w:hAnsi="Times New Roman" w:cs="Times New Roman"/>
          <w:lang w:val="es-CR"/>
        </w:rPr>
        <w:t>Además, CRM puede sugerir límites de crédito mediante técnicas de optimización: asignar la exposición ideal a cada cliente dentro del portafolio, considerando restricciones regulatorias y de riesgo global. El FRISK Score, basado en regresión logística, estima la probabilidad de incumplimiento utilizando variables financieras y de mercado para mejorar la precisión en la evaluación del riesgo crediticio.</w:t>
      </w:r>
    </w:p>
    <w:p w14:paraId="350E7909" w14:textId="53AAE774" w:rsidR="005567FD" w:rsidRPr="00167F23" w:rsidRDefault="005567FD" w:rsidP="00167F2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s-CR"/>
        </w:rPr>
      </w:pPr>
      <w:bookmarkStart w:id="2" w:name="_Toc203744402"/>
      <w:r w:rsidRPr="00167F23">
        <w:rPr>
          <w:rFonts w:ascii="Times New Roman" w:hAnsi="Times New Roman" w:cs="Times New Roman"/>
          <w:b/>
          <w:bCs/>
          <w:color w:val="auto"/>
          <w:lang w:val="es-CR"/>
        </w:rPr>
        <w:t>Conclusión:</w:t>
      </w:r>
      <w:r w:rsidR="00AC15BE" w:rsidRPr="00167F23">
        <w:rPr>
          <w:rFonts w:ascii="Times New Roman" w:hAnsi="Times New Roman" w:cs="Times New Roman"/>
          <w:b/>
          <w:bCs/>
          <w:color w:val="auto"/>
          <w:lang w:val="es-CR"/>
        </w:rPr>
        <w:t xml:space="preserve"> utilidad práctica</w:t>
      </w:r>
      <w:bookmarkEnd w:id="2"/>
    </w:p>
    <w:p w14:paraId="1C1C2723" w14:textId="6082F355" w:rsidR="00D1644E" w:rsidRPr="00D1644E" w:rsidRDefault="00D1644E" w:rsidP="00D1644E">
      <w:pPr>
        <w:jc w:val="both"/>
        <w:rPr>
          <w:rFonts w:ascii="Times New Roman" w:hAnsi="Times New Roman" w:cs="Times New Roman"/>
          <w:lang w:val="es-CR"/>
        </w:rPr>
      </w:pPr>
      <w:r w:rsidRPr="00D1644E">
        <w:rPr>
          <w:rFonts w:ascii="Times New Roman" w:hAnsi="Times New Roman" w:cs="Times New Roman"/>
          <w:lang w:val="es-CR"/>
        </w:rPr>
        <w:t>Desde mi experiencia profesional, los conocimientos adquiridos en este curso resultan altamente aplicables y valiosos. Me han permitido comprender qué hay detrás de los indicadores y alertas generados por herramientas utilizadas diariamente, como CRM.</w:t>
      </w:r>
    </w:p>
    <w:p w14:paraId="1175AF6E" w14:textId="6484F1AA" w:rsidR="00D1644E" w:rsidRPr="00D1644E" w:rsidRDefault="00D1644E" w:rsidP="00D1644E">
      <w:pPr>
        <w:jc w:val="both"/>
        <w:rPr>
          <w:rFonts w:ascii="Times New Roman" w:hAnsi="Times New Roman" w:cs="Times New Roman"/>
          <w:lang w:val="es-CR"/>
        </w:rPr>
      </w:pPr>
      <w:r w:rsidRPr="00D1644E">
        <w:rPr>
          <w:rFonts w:ascii="Times New Roman" w:hAnsi="Times New Roman" w:cs="Times New Roman"/>
          <w:lang w:val="es-CR"/>
        </w:rPr>
        <w:t>Más allá del componente técnico, este tipo de análisis facilita una toma de decisiones más objetiva y fundamentada, ayudando a la empresa a evitar riesgos innecesarios y, al mismo tiempo, fomentando relaciones comerciales más sólidas y sostenibles con los clientes.</w:t>
      </w:r>
    </w:p>
    <w:p w14:paraId="7198DC60" w14:textId="43D0B943" w:rsidR="00D1644E" w:rsidRPr="00D1644E" w:rsidRDefault="00D1644E" w:rsidP="00D1644E">
      <w:pPr>
        <w:jc w:val="both"/>
        <w:rPr>
          <w:rFonts w:ascii="Times New Roman" w:hAnsi="Times New Roman" w:cs="Times New Roman"/>
          <w:lang w:val="es-CR"/>
        </w:rPr>
      </w:pPr>
      <w:r w:rsidRPr="00D1644E">
        <w:rPr>
          <w:rFonts w:ascii="Times New Roman" w:hAnsi="Times New Roman" w:cs="Times New Roman"/>
          <w:lang w:val="es-CR"/>
        </w:rPr>
        <w:lastRenderedPageBreak/>
        <w:t xml:space="preserve">Comprender los fundamentos estadísticos y matemáticos detrás de modelos como el Z-Score </w:t>
      </w:r>
      <w:r>
        <w:rPr>
          <w:rFonts w:ascii="Times New Roman" w:hAnsi="Times New Roman" w:cs="Times New Roman"/>
          <w:lang w:val="es-CR"/>
        </w:rPr>
        <w:t>-</w:t>
      </w:r>
      <w:r w:rsidRPr="00D1644E">
        <w:rPr>
          <w:rFonts w:ascii="Times New Roman" w:hAnsi="Times New Roman" w:cs="Times New Roman"/>
          <w:lang w:val="es-CR"/>
        </w:rPr>
        <w:t>y su construcción a través de regresión lineal</w:t>
      </w:r>
      <w:r>
        <w:rPr>
          <w:rFonts w:ascii="Times New Roman" w:hAnsi="Times New Roman" w:cs="Times New Roman"/>
          <w:lang w:val="es-CR"/>
        </w:rPr>
        <w:t>-</w:t>
      </w:r>
      <w:r w:rsidRPr="00D1644E">
        <w:rPr>
          <w:rFonts w:ascii="Times New Roman" w:hAnsi="Times New Roman" w:cs="Times New Roman"/>
          <w:lang w:val="es-CR"/>
        </w:rPr>
        <w:t xml:space="preserve"> permite interpretar los resultados de manera crítica, identificar posibles limitaciones y aportar mayor valor a decisiones estratégicas. Esto cobra especial relevancia al considerar que muchas de estas plataformas se basan en datos de empresas públicas, mientras que para compañías privadas recurren a información secundaria disponible en línea, la cual no siempre es precisa o actualizada.</w:t>
      </w:r>
    </w:p>
    <w:p w14:paraId="17661F5F" w14:textId="3AF908A2" w:rsidR="00363278" w:rsidRDefault="00D1644E" w:rsidP="00D1644E">
      <w:pPr>
        <w:jc w:val="both"/>
        <w:rPr>
          <w:rFonts w:ascii="Times New Roman" w:hAnsi="Times New Roman" w:cs="Times New Roman"/>
          <w:lang w:val="es-CR"/>
        </w:rPr>
      </w:pPr>
      <w:r w:rsidRPr="00D1644E">
        <w:rPr>
          <w:rFonts w:ascii="Times New Roman" w:hAnsi="Times New Roman" w:cs="Times New Roman"/>
          <w:lang w:val="es-CR"/>
        </w:rPr>
        <w:t>Por eso, no se trata únicamente de confiar en los indicadores, sino de entender cómo se construyen, qué variables los componen, y cómo integrarlos adecuadamente con otras fuentes de información. Esta perspectiva más integral permite evaluar mejor si el riesgo está siendo representado de manera precisa y actuar en consecuencia, especialmente al determinar si se deben ofrecer condiciones anticipadas de pago o líneas de crédito, y en qué medida otorgarlas o ajustarlas.</w:t>
      </w:r>
    </w:p>
    <w:p w14:paraId="588425E3" w14:textId="55EB3264" w:rsidR="00363278" w:rsidRPr="00167F23" w:rsidRDefault="00363278" w:rsidP="00167F2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s-CR"/>
        </w:rPr>
      </w:pPr>
      <w:bookmarkStart w:id="3" w:name="_Toc203744403"/>
      <w:r w:rsidRPr="00167F23">
        <w:rPr>
          <w:rFonts w:ascii="Times New Roman" w:hAnsi="Times New Roman" w:cs="Times New Roman"/>
          <w:b/>
          <w:bCs/>
          <w:color w:val="auto"/>
          <w:lang w:val="es-CR"/>
        </w:rPr>
        <w:t>Bibliografía</w:t>
      </w:r>
      <w:bookmarkEnd w:id="3"/>
    </w:p>
    <w:p w14:paraId="6729B097" w14:textId="601FE40F" w:rsidR="00363278" w:rsidRPr="00363278" w:rsidRDefault="00363278" w:rsidP="00363278">
      <w:pPr>
        <w:jc w:val="both"/>
        <w:rPr>
          <w:rFonts w:ascii="Times New Roman" w:hAnsi="Times New Roman" w:cs="Times New Roman"/>
        </w:rPr>
      </w:pPr>
      <w:r w:rsidRPr="00363278">
        <w:rPr>
          <w:rFonts w:ascii="Times New Roman" w:hAnsi="Times New Roman" w:cs="Times New Roman"/>
        </w:rPr>
        <w:t xml:space="preserve">Altman, E. I. (1968). Financial ratios, discriminant analysis and the prediction of corporate bankruptcy. The Journal of Finance, 23(4), 589–609. </w:t>
      </w:r>
      <w:hyperlink r:id="rId8" w:history="1">
        <w:r w:rsidRPr="007B089A">
          <w:rPr>
            <w:rStyle w:val="Hyperlink"/>
            <w:rFonts w:ascii="Times New Roman" w:hAnsi="Times New Roman" w:cs="Times New Roman"/>
          </w:rPr>
          <w:t>https://doi.org/10.2307/2978933</w:t>
        </w:r>
      </w:hyperlink>
      <w:r>
        <w:rPr>
          <w:rFonts w:ascii="Times New Roman" w:hAnsi="Times New Roman" w:cs="Times New Roman"/>
        </w:rPr>
        <w:t xml:space="preserve"> </w:t>
      </w:r>
    </w:p>
    <w:p w14:paraId="53B4EA9C" w14:textId="330C6C27" w:rsidR="00363278" w:rsidRPr="00363278" w:rsidRDefault="00363278" w:rsidP="00363278">
      <w:pPr>
        <w:jc w:val="both"/>
        <w:rPr>
          <w:rFonts w:ascii="Times New Roman" w:hAnsi="Times New Roman" w:cs="Times New Roman"/>
        </w:rPr>
      </w:pPr>
      <w:r w:rsidRPr="00365EAC">
        <w:rPr>
          <w:rFonts w:ascii="Times New Roman" w:hAnsi="Times New Roman" w:cs="Times New Roman"/>
        </w:rPr>
        <w:t xml:space="preserve">Altman, E. I. (2000). </w:t>
      </w:r>
      <w:r w:rsidRPr="00363278">
        <w:rPr>
          <w:rFonts w:ascii="Times New Roman" w:hAnsi="Times New Roman" w:cs="Times New Roman"/>
        </w:rPr>
        <w:t>Predicting financial distress of companies: Revisiting the Z-score and Zeta® models [</w:t>
      </w:r>
      <w:proofErr w:type="spellStart"/>
      <w:r w:rsidRPr="00363278">
        <w:rPr>
          <w:rFonts w:ascii="Times New Roman" w:hAnsi="Times New Roman" w:cs="Times New Roman"/>
        </w:rPr>
        <w:t>Documento</w:t>
      </w:r>
      <w:proofErr w:type="spellEnd"/>
      <w:r w:rsidRPr="00363278">
        <w:rPr>
          <w:rFonts w:ascii="Times New Roman" w:hAnsi="Times New Roman" w:cs="Times New Roman"/>
        </w:rPr>
        <w:t xml:space="preserve"> de </w:t>
      </w:r>
      <w:proofErr w:type="spellStart"/>
      <w:r w:rsidRPr="00363278">
        <w:rPr>
          <w:rFonts w:ascii="Times New Roman" w:hAnsi="Times New Roman" w:cs="Times New Roman"/>
        </w:rPr>
        <w:t>trabajo</w:t>
      </w:r>
      <w:proofErr w:type="spellEnd"/>
      <w:r w:rsidRPr="00363278">
        <w:rPr>
          <w:rFonts w:ascii="Times New Roman" w:hAnsi="Times New Roman" w:cs="Times New Roman"/>
        </w:rPr>
        <w:t xml:space="preserve">]. New York University, Leonard N. Stern School of Business. </w:t>
      </w:r>
      <w:hyperlink r:id="rId9" w:history="1">
        <w:r w:rsidRPr="007B089A">
          <w:rPr>
            <w:rStyle w:val="Hyperlink"/>
            <w:rFonts w:ascii="Times New Roman" w:hAnsi="Times New Roman" w:cs="Times New Roman"/>
          </w:rPr>
          <w:t>http://pages.stern.nyu.edu/~ealtman/Zscores.pdf</w:t>
        </w:r>
      </w:hyperlink>
      <w:r>
        <w:rPr>
          <w:rFonts w:ascii="Times New Roman" w:hAnsi="Times New Roman" w:cs="Times New Roman"/>
        </w:rPr>
        <w:t xml:space="preserve"> </w:t>
      </w:r>
    </w:p>
    <w:p w14:paraId="375D0324" w14:textId="4DFDB261" w:rsidR="00363278" w:rsidRPr="00363278" w:rsidRDefault="00363278" w:rsidP="00363278">
      <w:pPr>
        <w:jc w:val="both"/>
        <w:rPr>
          <w:rFonts w:ascii="Times New Roman" w:hAnsi="Times New Roman" w:cs="Times New Roman"/>
        </w:rPr>
      </w:pPr>
      <w:r w:rsidRPr="00363278">
        <w:rPr>
          <w:rFonts w:ascii="Times New Roman" w:hAnsi="Times New Roman" w:cs="Times New Roman"/>
        </w:rPr>
        <w:t>Altman, E. I., &amp; Hotchkiss, E. (2006). Corporate financial distress and bankruptcy: Predict and avoid bankruptcy, analyze and invest in distressed debt (3.ª ed.). John Wiley &amp; Sons.</w:t>
      </w:r>
    </w:p>
    <w:p w14:paraId="07795C14" w14:textId="737CF99F" w:rsidR="00363278" w:rsidRPr="00363278" w:rsidRDefault="00363278" w:rsidP="00363278">
      <w:pPr>
        <w:jc w:val="both"/>
        <w:rPr>
          <w:rFonts w:ascii="Times New Roman" w:hAnsi="Times New Roman" w:cs="Times New Roman"/>
        </w:rPr>
      </w:pPr>
      <w:proofErr w:type="spellStart"/>
      <w:r w:rsidRPr="00363278">
        <w:rPr>
          <w:rFonts w:ascii="Times New Roman" w:hAnsi="Times New Roman" w:cs="Times New Roman"/>
        </w:rPr>
        <w:t>CreditRiskMonitor</w:t>
      </w:r>
      <w:proofErr w:type="spellEnd"/>
      <w:r w:rsidRPr="00363278">
        <w:rPr>
          <w:rFonts w:ascii="Times New Roman" w:hAnsi="Times New Roman" w:cs="Times New Roman"/>
        </w:rPr>
        <w:t>. (</w:t>
      </w:r>
      <w:proofErr w:type="spellStart"/>
      <w:r w:rsidRPr="00363278">
        <w:rPr>
          <w:rFonts w:ascii="Times New Roman" w:hAnsi="Times New Roman" w:cs="Times New Roman"/>
        </w:rPr>
        <w:t>s.f.</w:t>
      </w:r>
      <w:proofErr w:type="spellEnd"/>
      <w:r w:rsidRPr="00363278">
        <w:rPr>
          <w:rFonts w:ascii="Times New Roman" w:hAnsi="Times New Roman" w:cs="Times New Roman"/>
        </w:rPr>
        <w:t xml:space="preserve">). FRISK® Score methodology. </w:t>
      </w:r>
      <w:hyperlink r:id="rId10" w:history="1">
        <w:r w:rsidR="00810EEB" w:rsidRPr="0061216B">
          <w:rPr>
            <w:rStyle w:val="Hyperlink"/>
            <w:rFonts w:ascii="Times New Roman" w:hAnsi="Times New Roman" w:cs="Times New Roman"/>
          </w:rPr>
          <w:t>https://www.creditriskmonitor.com/</w:t>
        </w:r>
      </w:hyperlink>
      <w:r w:rsidR="00810EEB">
        <w:rPr>
          <w:rFonts w:ascii="Times New Roman" w:hAnsi="Times New Roman" w:cs="Times New Roman"/>
        </w:rPr>
        <w:t xml:space="preserve"> </w:t>
      </w:r>
    </w:p>
    <w:p w14:paraId="61B75716" w14:textId="56D84D75" w:rsidR="00363278" w:rsidRPr="00363278" w:rsidRDefault="00363278" w:rsidP="00363278">
      <w:pPr>
        <w:jc w:val="both"/>
        <w:rPr>
          <w:rFonts w:ascii="Times New Roman" w:hAnsi="Times New Roman" w:cs="Times New Roman"/>
        </w:rPr>
      </w:pPr>
      <w:r w:rsidRPr="00363278">
        <w:rPr>
          <w:rFonts w:ascii="Times New Roman" w:hAnsi="Times New Roman" w:cs="Times New Roman"/>
          <w:lang w:val="es-CR"/>
        </w:rPr>
        <w:t xml:space="preserve">Gujarati, D. N., &amp; Porter, D. C. (2009). </w:t>
      </w:r>
      <w:proofErr w:type="spellStart"/>
      <w:r w:rsidRPr="00363278">
        <w:rPr>
          <w:rFonts w:ascii="Times New Roman" w:hAnsi="Times New Roman" w:cs="Times New Roman"/>
        </w:rPr>
        <w:t>Econometría</w:t>
      </w:r>
      <w:proofErr w:type="spellEnd"/>
      <w:r w:rsidRPr="00363278">
        <w:rPr>
          <w:rFonts w:ascii="Times New Roman" w:hAnsi="Times New Roman" w:cs="Times New Roman"/>
        </w:rPr>
        <w:t xml:space="preserve"> (5.ª ed.). McGraw-Hill.</w:t>
      </w:r>
    </w:p>
    <w:p w14:paraId="1D51D1C0" w14:textId="5194DC67" w:rsidR="00363278" w:rsidRPr="00D1644E" w:rsidRDefault="00363278" w:rsidP="00363278">
      <w:pPr>
        <w:jc w:val="both"/>
        <w:rPr>
          <w:rFonts w:ascii="Times New Roman" w:hAnsi="Times New Roman" w:cs="Times New Roman"/>
          <w:lang w:val="es-CR"/>
        </w:rPr>
      </w:pPr>
      <w:r w:rsidRPr="00363278">
        <w:rPr>
          <w:rFonts w:ascii="Times New Roman" w:hAnsi="Times New Roman" w:cs="Times New Roman"/>
        </w:rPr>
        <w:t xml:space="preserve">Wooldridge, J. M. (2016). Introductory econometrics: A modern approach (6.ª ed.). </w:t>
      </w:r>
      <w:r w:rsidRPr="00363278">
        <w:rPr>
          <w:rFonts w:ascii="Times New Roman" w:hAnsi="Times New Roman" w:cs="Times New Roman"/>
          <w:lang w:val="es-CR"/>
        </w:rPr>
        <w:t xml:space="preserve">Cengage </w:t>
      </w:r>
      <w:proofErr w:type="spellStart"/>
      <w:r w:rsidRPr="00363278">
        <w:rPr>
          <w:rFonts w:ascii="Times New Roman" w:hAnsi="Times New Roman" w:cs="Times New Roman"/>
          <w:lang w:val="es-CR"/>
        </w:rPr>
        <w:t>Learning</w:t>
      </w:r>
      <w:proofErr w:type="spellEnd"/>
      <w:r w:rsidRPr="00363278">
        <w:rPr>
          <w:rFonts w:ascii="Times New Roman" w:hAnsi="Times New Roman" w:cs="Times New Roman"/>
          <w:lang w:val="es-CR"/>
        </w:rPr>
        <w:t>.</w:t>
      </w:r>
    </w:p>
    <w:sectPr w:rsidR="00363278" w:rsidRPr="00D164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AA87E" w14:textId="77777777" w:rsidR="003324EC" w:rsidRDefault="003324EC" w:rsidP="005567FD">
      <w:pPr>
        <w:spacing w:after="0" w:line="240" w:lineRule="auto"/>
      </w:pPr>
      <w:r>
        <w:separator/>
      </w:r>
    </w:p>
  </w:endnote>
  <w:endnote w:type="continuationSeparator" w:id="0">
    <w:p w14:paraId="422DC0D6" w14:textId="77777777" w:rsidR="003324EC" w:rsidRDefault="003324EC" w:rsidP="005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95C6E" w14:textId="77777777" w:rsidR="003324EC" w:rsidRDefault="003324EC" w:rsidP="005567FD">
      <w:pPr>
        <w:spacing w:after="0" w:line="240" w:lineRule="auto"/>
      </w:pPr>
      <w:r>
        <w:separator/>
      </w:r>
    </w:p>
  </w:footnote>
  <w:footnote w:type="continuationSeparator" w:id="0">
    <w:p w14:paraId="6823E861" w14:textId="77777777" w:rsidR="003324EC" w:rsidRDefault="003324EC" w:rsidP="005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17FE0" w14:textId="52D148EA" w:rsidR="005567FD" w:rsidRDefault="005567FD">
    <w:pPr>
      <w:pStyle w:val="Header"/>
    </w:pPr>
    <w:r>
      <w:rPr>
        <w:noProof/>
      </w:rPr>
      <w:drawing>
        <wp:inline distT="0" distB="0" distL="0" distR="0" wp14:anchorId="41E713AC" wp14:editId="07581AA2">
          <wp:extent cx="6048039" cy="57658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embrete_Econom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8852" cy="59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554E3"/>
    <w:multiLevelType w:val="hybridMultilevel"/>
    <w:tmpl w:val="DB9464DA"/>
    <w:lvl w:ilvl="0" w:tplc="3C0288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731A"/>
    <w:multiLevelType w:val="hybridMultilevel"/>
    <w:tmpl w:val="C64257D2"/>
    <w:lvl w:ilvl="0" w:tplc="77FEE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E3A82"/>
    <w:multiLevelType w:val="hybridMultilevel"/>
    <w:tmpl w:val="21482068"/>
    <w:lvl w:ilvl="0" w:tplc="EC564714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992513">
    <w:abstractNumId w:val="1"/>
  </w:num>
  <w:num w:numId="2" w16cid:durableId="646126690">
    <w:abstractNumId w:val="0"/>
  </w:num>
  <w:num w:numId="3" w16cid:durableId="115055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FD"/>
    <w:rsid w:val="00167F23"/>
    <w:rsid w:val="002E4241"/>
    <w:rsid w:val="00307BC6"/>
    <w:rsid w:val="003324EC"/>
    <w:rsid w:val="00352DA2"/>
    <w:rsid w:val="00363278"/>
    <w:rsid w:val="00365EAC"/>
    <w:rsid w:val="005567FD"/>
    <w:rsid w:val="00664431"/>
    <w:rsid w:val="006A25A1"/>
    <w:rsid w:val="006B10CA"/>
    <w:rsid w:val="006F7E98"/>
    <w:rsid w:val="00704349"/>
    <w:rsid w:val="00797EB8"/>
    <w:rsid w:val="0080670D"/>
    <w:rsid w:val="00810EEB"/>
    <w:rsid w:val="009A6503"/>
    <w:rsid w:val="00A7256E"/>
    <w:rsid w:val="00AC15BE"/>
    <w:rsid w:val="00B16BA3"/>
    <w:rsid w:val="00BB63C4"/>
    <w:rsid w:val="00C0703C"/>
    <w:rsid w:val="00CB2A1C"/>
    <w:rsid w:val="00D1644E"/>
    <w:rsid w:val="00DA214F"/>
    <w:rsid w:val="00DA7CBA"/>
    <w:rsid w:val="00DB718D"/>
    <w:rsid w:val="00E30482"/>
    <w:rsid w:val="00E74E4F"/>
    <w:rsid w:val="00F40D13"/>
    <w:rsid w:val="00F677E6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F84C"/>
  <w15:chartTrackingRefBased/>
  <w15:docId w15:val="{87EF95FB-7802-47E8-A265-2C6CB6C6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FD"/>
  </w:style>
  <w:style w:type="paragraph" w:styleId="Footer">
    <w:name w:val="footer"/>
    <w:basedOn w:val="Normal"/>
    <w:link w:val="FooterChar"/>
    <w:uiPriority w:val="99"/>
    <w:unhideWhenUsed/>
    <w:rsid w:val="00556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FD"/>
  </w:style>
  <w:style w:type="character" w:styleId="PlaceholderText">
    <w:name w:val="Placeholder Text"/>
    <w:basedOn w:val="DefaultParagraphFont"/>
    <w:uiPriority w:val="99"/>
    <w:semiHidden/>
    <w:rsid w:val="00DB718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632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27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7F2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7F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29789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reditriskmonit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ges.stern.nyu.edu/~ealtman/Zscores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2697-D98B-4FA1-BAEC-2D4A9A8A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Rocha</dc:creator>
  <cp:keywords/>
  <dc:description/>
  <cp:lastModifiedBy>Oscar Rocha</cp:lastModifiedBy>
  <cp:revision>13</cp:revision>
  <dcterms:created xsi:type="dcterms:W3CDTF">2025-07-16T00:25:00Z</dcterms:created>
  <dcterms:modified xsi:type="dcterms:W3CDTF">2025-07-22T02:34:00Z</dcterms:modified>
</cp:coreProperties>
</file>