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551B9" w14:textId="77777777" w:rsidR="00D15F49" w:rsidRDefault="00D15F49" w:rsidP="00D15F49">
      <w:pPr>
        <w:spacing w:line="480" w:lineRule="auto"/>
        <w:ind w:firstLine="0"/>
        <w:rPr>
          <w:b/>
          <w:bCs/>
        </w:rPr>
      </w:pPr>
      <w:commentRangeStart w:id="0"/>
      <w:r>
        <w:rPr>
          <w:b/>
        </w:rPr>
        <w:t>Supplementary Material For “</w:t>
      </w:r>
      <w:bookmarkStart w:id="1" w:name="_Hlk529832126"/>
      <w:bookmarkEnd w:id="1"/>
      <w:r w:rsidRPr="0096553C">
        <w:rPr>
          <w:b/>
          <w:bCs/>
        </w:rPr>
        <w:t xml:space="preserve">An </w:t>
      </w:r>
      <w:r>
        <w:rPr>
          <w:b/>
          <w:bCs/>
        </w:rPr>
        <w:t>E</w:t>
      </w:r>
      <w:r w:rsidRPr="0096553C">
        <w:rPr>
          <w:b/>
          <w:bCs/>
        </w:rPr>
        <w:t xml:space="preserve">mpiricist’s </w:t>
      </w:r>
      <w:r>
        <w:rPr>
          <w:b/>
          <w:bCs/>
        </w:rPr>
        <w:t>G</w:t>
      </w:r>
      <w:r w:rsidRPr="0096553C">
        <w:rPr>
          <w:b/>
          <w:bCs/>
        </w:rPr>
        <w:t xml:space="preserve">uide to </w:t>
      </w:r>
      <w:r>
        <w:rPr>
          <w:b/>
          <w:bCs/>
        </w:rPr>
        <w:t>M</w:t>
      </w:r>
      <w:r w:rsidRPr="0096553C">
        <w:rPr>
          <w:b/>
          <w:bCs/>
        </w:rPr>
        <w:t xml:space="preserve">odern </w:t>
      </w:r>
      <w:r>
        <w:rPr>
          <w:b/>
          <w:bCs/>
        </w:rPr>
        <w:t>C</w:t>
      </w:r>
      <w:r w:rsidRPr="0096553C">
        <w:rPr>
          <w:b/>
          <w:bCs/>
        </w:rPr>
        <w:t xml:space="preserve">oexistence </w:t>
      </w:r>
      <w:r>
        <w:rPr>
          <w:b/>
          <w:bCs/>
        </w:rPr>
        <w:t>T</w:t>
      </w:r>
      <w:r w:rsidRPr="0096553C">
        <w:rPr>
          <w:b/>
          <w:bCs/>
        </w:rPr>
        <w:t xml:space="preserve">heory for </w:t>
      </w:r>
      <w:r>
        <w:rPr>
          <w:b/>
          <w:bCs/>
        </w:rPr>
        <w:t>C</w:t>
      </w:r>
      <w:r w:rsidRPr="0096553C">
        <w:rPr>
          <w:b/>
          <w:bCs/>
        </w:rPr>
        <w:t xml:space="preserve">ompetitive </w:t>
      </w:r>
      <w:r>
        <w:rPr>
          <w:b/>
          <w:bCs/>
        </w:rPr>
        <w:t>C</w:t>
      </w:r>
      <w:r w:rsidRPr="0096553C">
        <w:rPr>
          <w:b/>
          <w:bCs/>
        </w:rPr>
        <w:t>ommunities</w:t>
      </w:r>
      <w:r>
        <w:rPr>
          <w:b/>
          <w:bCs/>
        </w:rPr>
        <w:t>”</w:t>
      </w:r>
      <w:commentRangeEnd w:id="0"/>
      <w:r w:rsidR="00FE1EB8">
        <w:rPr>
          <w:rStyle w:val="CommentReference"/>
        </w:rPr>
        <w:commentReference w:id="0"/>
      </w:r>
    </w:p>
    <w:p w14:paraId="71A76009" w14:textId="77777777" w:rsidR="00D15F49" w:rsidRDefault="00D15F49" w:rsidP="00D15F49">
      <w:pPr>
        <w:spacing w:line="480" w:lineRule="auto"/>
        <w:ind w:firstLine="0"/>
        <w:rPr>
          <w:b/>
          <w:bCs/>
        </w:rPr>
      </w:pPr>
    </w:p>
    <w:p w14:paraId="625777B5" w14:textId="54BCFF9F" w:rsidR="00D15F49" w:rsidRPr="00D15F49" w:rsidRDefault="00D15F49" w:rsidP="00D15F49">
      <w:pPr>
        <w:spacing w:line="480" w:lineRule="auto"/>
        <w:ind w:firstLine="0"/>
        <w:rPr>
          <w:b/>
          <w:bCs/>
        </w:rPr>
      </w:pPr>
      <w:r>
        <w:rPr>
          <w:b/>
        </w:rPr>
        <w:t>Supplementary Material Appendix</w:t>
      </w:r>
      <w:r w:rsidRPr="002D6445">
        <w:rPr>
          <w:b/>
        </w:rPr>
        <w:t xml:space="preserve"> </w:t>
      </w:r>
      <w:r>
        <w:rPr>
          <w:b/>
        </w:rPr>
        <w:t>A</w:t>
      </w:r>
      <w:r w:rsidRPr="002D6445">
        <w:rPr>
          <w:b/>
        </w:rPr>
        <w:t xml:space="preserve">: Simulation of Experiments </w:t>
      </w:r>
      <w:r>
        <w:rPr>
          <w:b/>
        </w:rPr>
        <w:t xml:space="preserve">to </w:t>
      </w:r>
      <w:r w:rsidRPr="002D6445">
        <w:rPr>
          <w:b/>
        </w:rPr>
        <w:t>Measure ND and RFD and Predict Coexistence</w:t>
      </w:r>
    </w:p>
    <w:p w14:paraId="509838CA" w14:textId="77777777" w:rsidR="00D15F49" w:rsidRPr="002D6445" w:rsidRDefault="00D15F49" w:rsidP="00D15F49">
      <w:pPr>
        <w:spacing w:line="480" w:lineRule="auto"/>
      </w:pPr>
      <w:r w:rsidRPr="002D6445">
        <w:t>In this supplement,</w:t>
      </w:r>
      <w:bookmarkStart w:id="2" w:name="OLE_LINK1"/>
      <w:bookmarkStart w:id="3" w:name="OLE_LINK2"/>
      <w:bookmarkStart w:id="4" w:name="OLE_LINK10"/>
      <w:r w:rsidRPr="002D6445">
        <w:t xml:space="preserve"> </w:t>
      </w:r>
      <w:bookmarkEnd w:id="2"/>
      <w:bookmarkEnd w:id="3"/>
      <w:r w:rsidRPr="002D6445">
        <w:t xml:space="preserve">we </w:t>
      </w:r>
      <w:r>
        <w:t xml:space="preserve">present </w:t>
      </w:r>
      <w:r w:rsidRPr="002D6445">
        <w:t>numerical simulations t</w:t>
      </w:r>
      <w:r>
        <w:t>hat</w:t>
      </w:r>
      <w:r w:rsidRPr="002D6445">
        <w:t xml:space="preserve"> compare the outcomes from three methods for measuring ND and RFD and also the NFD method for predicting coexistence. We used Tilman’s </w:t>
      </w:r>
      <w:r>
        <w:t xml:space="preserve">parameterized </w:t>
      </w:r>
      <w:r w:rsidRPr="002D6445">
        <w:t xml:space="preserve">consumer-resource model for two species of phytoplankton competing for essential resources </w:t>
      </w:r>
      <w:r>
        <w:rPr>
          <w:noProof/>
        </w:rPr>
        <w:t>(Tilman 1977)</w:t>
      </w:r>
      <w:r w:rsidRPr="002D6445">
        <w:t xml:space="preserve">. Annotated code for the simulations is provided in a supplemental file. Simulations were performed using the function </w:t>
      </w:r>
      <w:proofErr w:type="spellStart"/>
      <w:r w:rsidRPr="002D6445">
        <w:t>NDSolve</w:t>
      </w:r>
      <w:proofErr w:type="spellEnd"/>
      <w:r w:rsidRPr="002D6445">
        <w:t xml:space="preserve"> in Mathematica 11.2 (Wolfram Research), employing a variable step size. For each set of resource supply concentrations, we performed four simulations: (1) species 1 as a monoculture, growing from rare to near its equilibrium density; (2) species 2 as a monoculture, growing from rare to near its equilibrium density; (3) species 1 at its equilibrium density, with species 2 invading from rare; (4) and species 2 at its equilibrium density, with species 1 invading from rare. Additionally, we performed numerical simulation where both species are introduced at low densities and asked whether they coexist at the equilibrium. For each set of simulations, we manipulated the supply concentration of the two resources in order to determine whether the methods consistently agree.  </w:t>
      </w:r>
    </w:p>
    <w:p w14:paraId="7AC775A5" w14:textId="77777777" w:rsidR="00D15F49" w:rsidRPr="002D6445" w:rsidRDefault="00D15F49" w:rsidP="00D15F49">
      <w:pPr>
        <w:spacing w:line="480" w:lineRule="auto"/>
      </w:pPr>
      <w:r w:rsidRPr="002D6445">
        <w:t xml:space="preserve">We implemented the Lotka-Volterra method using information from all four simulations described above. Simulations 1 and 2 were used to estimate </w:t>
      </w:r>
      <w:proofErr w:type="spellStart"/>
      <w:r w:rsidRPr="002D6445">
        <w:rPr>
          <w:i/>
        </w:rPr>
        <w:t>r</w:t>
      </w:r>
      <w:r w:rsidRPr="002D6445">
        <w:rPr>
          <w:i/>
          <w:vertAlign w:val="subscript"/>
        </w:rPr>
        <w:t>i</w:t>
      </w:r>
      <w:proofErr w:type="spellEnd"/>
      <w:r w:rsidRPr="002D6445">
        <w:t xml:space="preserve">, </w:t>
      </w:r>
      <w:r w:rsidRPr="002D6445">
        <w:rPr>
          <w:i/>
        </w:rPr>
        <w:t>K</w:t>
      </w:r>
      <w:r w:rsidRPr="002D6445">
        <w:rPr>
          <w:i/>
          <w:vertAlign w:val="subscript"/>
        </w:rPr>
        <w:t>i</w:t>
      </w:r>
      <w:r w:rsidRPr="002D6445">
        <w:t xml:space="preserve">, and intraspecific interaction coefficients </w:t>
      </w:r>
      <w:r w:rsidRPr="002D6445">
        <w:rPr>
          <w:i/>
        </w:rPr>
        <w:t>α</w:t>
      </w:r>
      <w:r w:rsidRPr="002D6445">
        <w:rPr>
          <w:i/>
          <w:vertAlign w:val="subscript"/>
        </w:rPr>
        <w:t>ii</w:t>
      </w:r>
      <w:r w:rsidRPr="002D6445">
        <w:t xml:space="preserve">. We estimated the intraspecific interaction terms using two different approaches (Section </w:t>
      </w:r>
      <w:r>
        <w:t>1.2</w:t>
      </w:r>
      <w:r w:rsidRPr="002D6445">
        <w:t xml:space="preserve">). First, we estimated </w:t>
      </w:r>
      <w:r w:rsidRPr="002D6445">
        <w:rPr>
          <w:i/>
        </w:rPr>
        <w:t>α</w:t>
      </w:r>
      <w:r w:rsidRPr="002D6445">
        <w:rPr>
          <w:i/>
          <w:vertAlign w:val="subscript"/>
        </w:rPr>
        <w:t>ii</w:t>
      </w:r>
      <w:r w:rsidRPr="002D6445">
        <w:t xml:space="preserve"> as the slope of the relative growth rate versus population density (sign reversed) as the monoculture simulations approach equilibrium (Figure 1). </w:t>
      </w:r>
      <w:r w:rsidRPr="002D6445">
        <w:lastRenderedPageBreak/>
        <w:t xml:space="preserve">Alternatively, we used the assumption that </w:t>
      </w:r>
      <w:r w:rsidRPr="002D6445">
        <w:rPr>
          <w:i/>
        </w:rPr>
        <w:t>α</w:t>
      </w:r>
      <w:r w:rsidRPr="002D6445">
        <w:rPr>
          <w:i/>
          <w:vertAlign w:val="subscript"/>
        </w:rPr>
        <w:t>ii</w:t>
      </w:r>
      <w:r w:rsidRPr="002D6445">
        <w:t>=</w:t>
      </w:r>
      <w:r w:rsidRPr="002D6445">
        <w:rPr>
          <w:i/>
        </w:rPr>
        <w:t>1/K</w:t>
      </w:r>
      <w:r w:rsidRPr="002D6445">
        <w:rPr>
          <w:i/>
          <w:vertAlign w:val="subscript"/>
        </w:rPr>
        <w:t>i</w:t>
      </w:r>
      <w:r w:rsidRPr="002D6445">
        <w:t>. We then used the parameter values from the monocultures,</w:t>
      </w:r>
      <w:r>
        <w:t xml:space="preserve"> along with simulations 3 and 4, </w:t>
      </w:r>
      <w:r w:rsidRPr="002D6445">
        <w:t xml:space="preserve">to solve Equation 2 when each species is at low density and the other is near equilibrium. We used all four interaction coefficients to calculate ND and RFD using Equations 3 and 4. We implemented the sensitivity method following Equations 5 through 7, using output from all four simulations. The raw RFD values from the sensitivity method were converted to the same ordering as used in the other methods (species </w:t>
      </w:r>
      <w:proofErr w:type="spellStart"/>
      <w:r w:rsidRPr="002D6445">
        <w:rPr>
          <w:i/>
        </w:rPr>
        <w:t>i</w:t>
      </w:r>
      <w:proofErr w:type="spellEnd"/>
      <w:r w:rsidRPr="002D6445">
        <w:t xml:space="preserve"> in the denominator rather than the species with the greater sensitivity).</w:t>
      </w:r>
    </w:p>
    <w:p w14:paraId="50F93A18" w14:textId="77777777" w:rsidR="00D15F49" w:rsidRPr="002D6445" w:rsidRDefault="00D15F49" w:rsidP="00D15F49">
      <w:pPr>
        <w:spacing w:line="480" w:lineRule="auto"/>
      </w:pPr>
      <w:r w:rsidRPr="002D6445">
        <w:t xml:space="preserve">As described in </w:t>
      </w:r>
      <w:r>
        <w:t>Appendix C</w:t>
      </w:r>
      <w:r w:rsidRPr="002D6445">
        <w:t xml:space="preserve">, the NFD method cannot be used to get ND and RFD estimates that are consistent with the other methods, but nonetheless this method can be used to predict coexistence based on the same criterion. However, as shown in </w:t>
      </w:r>
      <w:r>
        <w:t xml:space="preserve">Supplementary material Appendix A </w:t>
      </w:r>
      <w:r w:rsidRPr="002D6445">
        <w:t xml:space="preserve">Figure </w:t>
      </w:r>
      <w:r>
        <w:t>A1</w:t>
      </w:r>
      <w:r w:rsidRPr="002D6445">
        <w:t xml:space="preserve"> (using the Lotka-Volterra model), accuracy of the NFD method depends on the range of frequencies used to get the slope and elevation. To illustrate how the non-constant NFD slope is problematic in predicting species coexistence, we used the simulations of mutual invasion (simulations 3 and 4), described above, to construct pairs of </w:t>
      </w:r>
      <w:r>
        <w:t xml:space="preserve">each </w:t>
      </w:r>
      <w:r w:rsidRPr="002D6445">
        <w:t>species</w:t>
      </w:r>
      <w:r>
        <w:t>’</w:t>
      </w:r>
      <w:r w:rsidRPr="002D6445">
        <w:t xml:space="preserve"> frequency and their growth rate in a saturated community. For all of these simulations, we used only supply concentrations of the resources that are known to allow for coexistence. For each value of a species frequency between 0 and 1, we calculated the slope of growth rate versus frequency. </w:t>
      </w:r>
      <w:r>
        <w:t xml:space="preserve">Supplementary material Appendix A </w:t>
      </w:r>
      <w:r w:rsidRPr="002D6445">
        <w:t xml:space="preserve">Figure </w:t>
      </w:r>
      <w:r>
        <w:t>A</w:t>
      </w:r>
      <w:r w:rsidRPr="002D6445">
        <w:t xml:space="preserve">1 shows that this slope is not constant and actually changes sign depending on the species’ frequencies used. Thus, using only the slope of the NFD relationship is inadequate to predict coexistence. </w:t>
      </w:r>
    </w:p>
    <w:p w14:paraId="04368E01" w14:textId="77777777" w:rsidR="00D15F49" w:rsidRPr="002D6445" w:rsidRDefault="00D15F49" w:rsidP="00D15F49">
      <w:pPr>
        <w:spacing w:line="480" w:lineRule="auto"/>
      </w:pPr>
      <w:r w:rsidRPr="002D6445">
        <w:t xml:space="preserve">Next, we used both the slope and elevation from the NFD method to extrapolate to frequency of 0 and predict whether the species is capable of invasion from rare (Figure </w:t>
      </w:r>
      <w:r>
        <w:t>A1</w:t>
      </w:r>
      <w:r w:rsidRPr="002D6445">
        <w:t xml:space="preserve"> panels </w:t>
      </w:r>
      <w:r>
        <w:t>A</w:t>
      </w:r>
      <w:r w:rsidRPr="002D6445">
        <w:t xml:space="preserve"> and </w:t>
      </w:r>
      <w:r>
        <w:t>B</w:t>
      </w:r>
      <w:r w:rsidRPr="002D6445">
        <w:t xml:space="preserve">). </w:t>
      </w:r>
      <w:r>
        <w:t xml:space="preserve">Supplementary material Appendix A </w:t>
      </w:r>
      <w:r w:rsidRPr="002D6445">
        <w:t xml:space="preserve">Figure </w:t>
      </w:r>
      <w:r>
        <w:t>A1</w:t>
      </w:r>
      <w:r w:rsidRPr="002D6445">
        <w:t xml:space="preserve"> shows that for supply </w:t>
      </w:r>
      <w:r w:rsidRPr="002D6445">
        <w:lastRenderedPageBreak/>
        <w:t xml:space="preserve">conditions known to allow coexistence, the accuracy of the predictions from the NFD method depends on the range of frequencies over which the slope of NFD was measured. We discuss two points (A and B in </w:t>
      </w:r>
      <w:r>
        <w:t xml:space="preserve">Supplementary material Appendix A </w:t>
      </w:r>
      <w:r w:rsidRPr="002D6445">
        <w:t xml:space="preserve">Figure </w:t>
      </w:r>
      <w:r>
        <w:t>A1</w:t>
      </w:r>
      <w:r w:rsidRPr="002D6445">
        <w:t xml:space="preserve">) to explain this effect. At the point </w:t>
      </w:r>
      <w:r>
        <w:t>l</w:t>
      </w:r>
      <w:r w:rsidRPr="002D6445">
        <w:t xml:space="preserve">abeled “A”, the slope of NFD for species 1 predicts a positive growth rate as frequency approaches 0, but at the complementary frequency of species 2, the slope of species 2’s NFD predicts a negative growth rate when rare. However, based on the other 3 methods, numerical simulation, and Tilman’s resource ratio theory, the species are predicted to coexist. Thus, measuring NFD under the red regions in </w:t>
      </w:r>
      <w:r>
        <w:t xml:space="preserve">Supplementary material Appendix A </w:t>
      </w:r>
      <w:r w:rsidRPr="002D6445">
        <w:t xml:space="preserve">Figure </w:t>
      </w:r>
      <w:r>
        <w:t>A1</w:t>
      </w:r>
      <w:r w:rsidRPr="002D6445">
        <w:t xml:space="preserve"> will incorrectly predict exclusion even though the species will coexist. At the point labeled “B” in </w:t>
      </w:r>
      <w:r>
        <w:t xml:space="preserve">Supplementary material Appendix A </w:t>
      </w:r>
      <w:r w:rsidRPr="002D6445">
        <w:t xml:space="preserve">Figure </w:t>
      </w:r>
      <w:r>
        <w:t>A1</w:t>
      </w:r>
      <w:r w:rsidRPr="002D6445">
        <w:t xml:space="preserve">, the slope and elevation of NFD for both species predicts a positive growth rate when rare. This region, depicted in blue, includes the equilibrium frequency for the two species. </w:t>
      </w:r>
      <w:r w:rsidRPr="002D6445">
        <w:rPr>
          <w:lang w:val="en-US"/>
        </w:rPr>
        <w:t>If an empiricist made their measurements between frequency of ~0.05 to ~0.85</w:t>
      </w:r>
      <w:r>
        <w:rPr>
          <w:lang w:val="en-US"/>
        </w:rPr>
        <w:t xml:space="preserve"> for species 1</w:t>
      </w:r>
      <w:r w:rsidRPr="002D6445">
        <w:rPr>
          <w:lang w:val="en-US"/>
        </w:rPr>
        <w:t>, and used the slope of NFD, they would incorrectly predict that the species will not coexist.</w:t>
      </w:r>
      <w:r w:rsidRPr="002D6445">
        <w:t xml:space="preserve"> Since the frequency at which the species reach equilibrium depends on the resource supply ratio, there is no single frequency of the species that consistently leads to the correct predictions (</w:t>
      </w:r>
      <w:r>
        <w:t xml:space="preserve">Supplementary material Appendix A </w:t>
      </w:r>
      <w:r w:rsidRPr="002D6445">
        <w:t xml:space="preserve">Figure </w:t>
      </w:r>
      <w:r>
        <w:t>A1</w:t>
      </w:r>
      <w:r w:rsidRPr="002D6445">
        <w:t xml:space="preserve">). While certain intermediate frequencies of the two species can be used to make accurate predictions, an empiricist would not know these frequencies without performing the competition experiments or examining frequency dependence across the entire range of frequencies. As a result, the only reliable way of implementing the NFD is to measure the slope and elevation for each species where its frequency approaches zero. </w:t>
      </w:r>
    </w:p>
    <w:bookmarkEnd w:id="4"/>
    <w:p w14:paraId="3BF26354" w14:textId="77777777" w:rsidR="00D15F49" w:rsidRDefault="00D15F49" w:rsidP="00D15F49">
      <w:pPr>
        <w:spacing w:line="480" w:lineRule="auto"/>
      </w:pPr>
      <w:r w:rsidRPr="002D6445">
        <w:t xml:space="preserve">Next, we compared the four methods including the </w:t>
      </w:r>
      <w:r>
        <w:t>s</w:t>
      </w:r>
      <w:r w:rsidRPr="002D6445">
        <w:t xml:space="preserve">ensitivity method, </w:t>
      </w:r>
      <w:r>
        <w:t>the method based on Tilman’s CRM</w:t>
      </w:r>
      <w:r w:rsidRPr="002D6445">
        <w:t xml:space="preserve">, </w:t>
      </w:r>
      <w:r>
        <w:t xml:space="preserve">the </w:t>
      </w:r>
      <w:r w:rsidRPr="002D6445">
        <w:t>Lotka-Volterra method</w:t>
      </w:r>
      <w:r>
        <w:t>,</w:t>
      </w:r>
      <w:r w:rsidRPr="002D6445">
        <w:t xml:space="preserve"> and the NFD method using the numerical </w:t>
      </w:r>
      <w:r w:rsidRPr="002D6445">
        <w:lastRenderedPageBreak/>
        <w:t>simulations described above. Under specific assumptions, the methods gave the same prediction regarding coexistence (</w:t>
      </w:r>
      <w:r>
        <w:t xml:space="preserve">Supplementary material Appendix A </w:t>
      </w:r>
      <w:r w:rsidRPr="002D6445">
        <w:t xml:space="preserve">Figure </w:t>
      </w:r>
      <w:r>
        <w:t>A2</w:t>
      </w:r>
      <w:r w:rsidRPr="002D6445">
        <w:t xml:space="preserve">), though the methods did not produce consistent estimates of ND and RFD (Figure 6). </w:t>
      </w:r>
    </w:p>
    <w:p w14:paraId="5CD95260" w14:textId="77777777" w:rsidR="00D15F49" w:rsidRPr="002D6445" w:rsidRDefault="00D15F49" w:rsidP="00D15F49">
      <w:pPr>
        <w:spacing w:line="480" w:lineRule="auto"/>
      </w:pPr>
      <w:r w:rsidRPr="002D6445">
        <w:t xml:space="preserve">For the NFD method, accurate predictions required that the slope of NFD was evaluated approaching frequency of zero for each species (i.e. invasion conditions). In </w:t>
      </w:r>
      <w:r>
        <w:t xml:space="preserve">Supplementary material Appendix A </w:t>
      </w:r>
      <w:r w:rsidRPr="002D6445">
        <w:t xml:space="preserve">Figure </w:t>
      </w:r>
      <w:r>
        <w:t>A2</w:t>
      </w:r>
      <w:r w:rsidRPr="002D6445">
        <w:t xml:space="preserve"> d-f, we show that evaluating the NFD slope at other frequencies leads to the wrong predictions. We used the NFD plot to evaluate coexistence at three frequencies, including near 0% (panel </w:t>
      </w:r>
      <w:r>
        <w:t>c</w:t>
      </w:r>
      <w:r w:rsidRPr="002D6445">
        <w:t xml:space="preserve"> of Figure </w:t>
      </w:r>
      <w:r>
        <w:t>A</w:t>
      </w:r>
      <w:r w:rsidRPr="002D6445">
        <w:t>2)</w:t>
      </w:r>
      <w:r>
        <w:t xml:space="preserve"> and</w:t>
      </w:r>
      <w:r w:rsidRPr="002D6445">
        <w:t xml:space="preserve"> 50% (</w:t>
      </w:r>
      <w:r>
        <w:t>panel e</w:t>
      </w:r>
      <w:r w:rsidRPr="002D6445">
        <w:t>), and either with or without considering the elevation in addition to the slope (panel</w:t>
      </w:r>
      <w:r>
        <w:t>s</w:t>
      </w:r>
      <w:r w:rsidRPr="002D6445">
        <w:t xml:space="preserve"> </w:t>
      </w:r>
      <w:r>
        <w:t>d, f</w:t>
      </w:r>
      <w:r w:rsidRPr="002D6445">
        <w:t xml:space="preserve">). We see that using the NFD slope evaluated at near 0% frequency will consistently yield accurate predictions of species coexistence that match the those of the other methods. </w:t>
      </w:r>
    </w:p>
    <w:p w14:paraId="183A03F2" w14:textId="77777777" w:rsidR="00D15F49" w:rsidRPr="002D6445" w:rsidRDefault="00D15F49" w:rsidP="00D15F49">
      <w:pPr>
        <w:spacing w:line="480" w:lineRule="auto"/>
        <w:rPr>
          <w:noProof/>
        </w:rPr>
      </w:pPr>
      <w:r w:rsidRPr="002D6445">
        <w:br w:type="page"/>
      </w:r>
    </w:p>
    <w:p w14:paraId="04B610F1" w14:textId="77777777" w:rsidR="00D15F49" w:rsidRPr="002D6445" w:rsidRDefault="00D15F49" w:rsidP="00D15F49">
      <w:pPr>
        <w:spacing w:line="480" w:lineRule="auto"/>
      </w:pPr>
      <w:r w:rsidRPr="009B3AEE">
        <w:rPr>
          <w:noProof/>
          <w:lang w:val="en-US"/>
        </w:rPr>
        <w:lastRenderedPageBreak/>
        <w:drawing>
          <wp:inline distT="0" distB="0" distL="0" distR="0" wp14:anchorId="69753443" wp14:editId="50610D5E">
            <wp:extent cx="5213350" cy="4411296"/>
            <wp:effectExtent l="0" t="0" r="0" b="0"/>
            <wp:docPr id="7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close up of a map&#10;&#10;Description generated with very high confidence"/>
                    <pic:cNvPicPr>
                      <a:picLocks/>
                    </pic:cNvPicPr>
                  </pic:nvPicPr>
                  <pic:blipFill>
                    <a:blip r:embed="rId8">
                      <a:extLst>
                        <a:ext uri="{28A0092B-C50C-407E-A947-70E740481C1C}">
                          <a14:useLocalDpi xmlns:a14="http://schemas.microsoft.com/office/drawing/2010/main" val="0"/>
                        </a:ext>
                      </a:extLst>
                    </a:blip>
                    <a:stretch>
                      <a:fillRect/>
                    </a:stretch>
                  </pic:blipFill>
                  <pic:spPr bwMode="auto">
                    <a:xfrm>
                      <a:off x="0" y="0"/>
                      <a:ext cx="5213350" cy="4411296"/>
                    </a:xfrm>
                    <a:prstGeom prst="rect">
                      <a:avLst/>
                    </a:prstGeom>
                    <a:noFill/>
                    <a:ln>
                      <a:noFill/>
                    </a:ln>
                  </pic:spPr>
                </pic:pic>
              </a:graphicData>
            </a:graphic>
          </wp:inline>
        </w:drawing>
      </w:r>
    </w:p>
    <w:p w14:paraId="57B49F9A" w14:textId="77777777" w:rsidR="00D15F49" w:rsidRPr="002D6445" w:rsidRDefault="00D15F49" w:rsidP="00D15F49">
      <w:pPr>
        <w:spacing w:line="480" w:lineRule="auto"/>
        <w:ind w:firstLine="0"/>
        <w:rPr>
          <w:lang w:val="en-US"/>
        </w:rPr>
      </w:pPr>
      <w:r w:rsidRPr="00B367E0">
        <w:rPr>
          <w:bCs/>
        </w:rPr>
        <w:t>Supplementary Material Appendix</w:t>
      </w:r>
      <w:r>
        <w:t xml:space="preserve"> A </w:t>
      </w:r>
      <w:r w:rsidRPr="002D6445">
        <w:t xml:space="preserve">Figure </w:t>
      </w:r>
      <w:r>
        <w:t>A</w:t>
      </w:r>
      <w:r w:rsidRPr="002D6445">
        <w:t>1. Results of simulation experiments using the NFD method. Panels a and b show per capita growth rate versus</w:t>
      </w:r>
      <w:r>
        <w:t xml:space="preserve"> the</w:t>
      </w:r>
      <w:r w:rsidRPr="002D6445">
        <w:t xml:space="preserve"> frequency of species 1 and 2. At any frequency of the two species, the NFD method requires that we use the slope to extrapolate and estimate the growth rate when frequency approach</w:t>
      </w:r>
      <w:r>
        <w:t>es</w:t>
      </w:r>
      <w:r w:rsidRPr="002D6445">
        <w:t xml:space="preserve"> zero (the extrapolated vertical intercept). For frequencies where this method predicts mutual invasibility for both species, i.e. species can coexist, the lines are blue. For frequencies of the two species where the method leads to the incorrect prediction, the lines are red. Both</w:t>
      </w:r>
      <w:r w:rsidRPr="002D6445">
        <w:rPr>
          <w:lang w:val="en-US"/>
        </w:rPr>
        <w:t xml:space="preserve"> species have positive growth rates when their frequency approaches zero, indicating that they are mutually invasible. </w:t>
      </w:r>
      <w:r w:rsidRPr="002D6445">
        <w:t>Panel c</w:t>
      </w:r>
      <w:r w:rsidRPr="002D6445">
        <w:rPr>
          <w:lang w:val="en-US"/>
        </w:rPr>
        <w:t xml:space="preserve"> shows the accuracy of the NFD method as a function of the supply </w:t>
      </w:r>
      <w:proofErr w:type="spellStart"/>
      <w:r w:rsidRPr="002D6445">
        <w:rPr>
          <w:lang w:val="en-US"/>
        </w:rPr>
        <w:t>Si:P</w:t>
      </w:r>
      <w:proofErr w:type="spellEnd"/>
      <w:r w:rsidRPr="002D6445">
        <w:rPr>
          <w:lang w:val="en-US"/>
        </w:rPr>
        <w:t xml:space="preserve"> ratio and the frequency of the two species at which the method was applied. The vertical dashed line represents the slice </w:t>
      </w:r>
      <w:r w:rsidRPr="002D6445">
        <w:rPr>
          <w:lang w:val="en-US"/>
        </w:rPr>
        <w:lastRenderedPageBreak/>
        <w:t xml:space="preserve">depicted in panels a and b. For all of the </w:t>
      </w:r>
      <w:proofErr w:type="spellStart"/>
      <w:r w:rsidRPr="002D6445">
        <w:rPr>
          <w:lang w:val="en-US"/>
        </w:rPr>
        <w:t>Si:P</w:t>
      </w:r>
      <w:proofErr w:type="spellEnd"/>
      <w:r w:rsidRPr="002D6445">
        <w:rPr>
          <w:lang w:val="en-US"/>
        </w:rPr>
        <w:t xml:space="preserve"> ratios shown in panel c, the species are mutually invasible and will coexist.</w:t>
      </w:r>
      <w:r w:rsidRPr="002D6445">
        <w:t xml:space="preserve"> </w:t>
      </w:r>
      <w:r w:rsidRPr="002D6445">
        <w:rPr>
          <w:lang w:val="en-US"/>
        </w:rPr>
        <w:t xml:space="preserve">This plot indicates that using NFD will often predict that the species will not coexist, when in fact they do coexist. This is important because without examining the full range of species frequencies in an experiment, one would not know whether and where the relationship between frequency and growth rate is non-linear. </w:t>
      </w:r>
    </w:p>
    <w:p w14:paraId="475BBDAC" w14:textId="77777777" w:rsidR="00D15F49" w:rsidRPr="002D6445" w:rsidRDefault="00D15F49" w:rsidP="00D15F49">
      <w:pPr>
        <w:spacing w:line="480" w:lineRule="auto"/>
        <w:rPr>
          <w:lang w:val="en-US"/>
        </w:rPr>
      </w:pPr>
      <w:r w:rsidRPr="002D6445">
        <w:rPr>
          <w:lang w:val="en-US"/>
        </w:rPr>
        <w:br w:type="page"/>
      </w:r>
    </w:p>
    <w:p w14:paraId="25884A73" w14:textId="77777777" w:rsidR="00D15F49" w:rsidRPr="002D6445" w:rsidRDefault="00D15F49" w:rsidP="00D15F49">
      <w:pPr>
        <w:spacing w:line="480" w:lineRule="auto"/>
        <w:sectPr w:rsidR="00D15F49" w:rsidRPr="002D6445" w:rsidSect="00F55587">
          <w:pgSz w:w="12240" w:h="15840" w:code="1"/>
          <w:pgMar w:top="1440" w:right="1440" w:bottom="1440" w:left="1440" w:header="0" w:footer="720" w:gutter="0"/>
          <w:lnNumType w:countBy="1" w:restart="continuous"/>
          <w:cols w:space="720"/>
          <w:docGrid w:linePitch="299"/>
        </w:sectPr>
      </w:pPr>
    </w:p>
    <w:p w14:paraId="789CE4E2" w14:textId="77777777" w:rsidR="00D15F49" w:rsidRPr="002D6445" w:rsidRDefault="00D15F49" w:rsidP="00D15F49">
      <w:pPr>
        <w:spacing w:line="480" w:lineRule="auto"/>
      </w:pPr>
      <w:r w:rsidRPr="009B3AEE">
        <w:rPr>
          <w:noProof/>
          <w:lang w:val="en-US"/>
        </w:rPr>
        <w:lastRenderedPageBreak/>
        <w:drawing>
          <wp:inline distT="0" distB="0" distL="0" distR="0" wp14:anchorId="7C2FD5A4" wp14:editId="225DB2AE">
            <wp:extent cx="2614843" cy="7475649"/>
            <wp:effectExtent l="0" t="0" r="1905" b="5080"/>
            <wp:docPr id="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tretch>
                      <a:fillRect/>
                    </a:stretch>
                  </pic:blipFill>
                  <pic:spPr bwMode="auto">
                    <a:xfrm>
                      <a:off x="0" y="0"/>
                      <a:ext cx="2614843" cy="7475649"/>
                    </a:xfrm>
                    <a:prstGeom prst="rect">
                      <a:avLst/>
                    </a:prstGeom>
                    <a:noFill/>
                    <a:ln>
                      <a:noFill/>
                    </a:ln>
                  </pic:spPr>
                </pic:pic>
              </a:graphicData>
            </a:graphic>
          </wp:inline>
        </w:drawing>
      </w:r>
    </w:p>
    <w:p w14:paraId="36059A67" w14:textId="77777777" w:rsidR="00D15F49" w:rsidRDefault="00D15F49" w:rsidP="00D15F49">
      <w:pPr>
        <w:spacing w:line="480" w:lineRule="auto"/>
        <w:ind w:firstLine="0"/>
      </w:pPr>
      <w:r w:rsidRPr="00B367E0">
        <w:rPr>
          <w:bCs/>
        </w:rPr>
        <w:t>Supplementary Material Appendix</w:t>
      </w:r>
      <w:r>
        <w:t xml:space="preserve"> A </w:t>
      </w:r>
      <w:r w:rsidRPr="002D6445">
        <w:t xml:space="preserve">Figure </w:t>
      </w:r>
      <w:r>
        <w:t>A</w:t>
      </w:r>
      <w:r w:rsidRPr="002D6445">
        <w:t xml:space="preserve">2. Results of simulation experiments comparing predictions from the Lotka-Volterra and NFD methods. </w:t>
      </w:r>
    </w:p>
    <w:p w14:paraId="10013544" w14:textId="77777777" w:rsidR="00D15F49" w:rsidRPr="002D6445" w:rsidRDefault="00D15F49" w:rsidP="00D15F49">
      <w:pPr>
        <w:spacing w:line="480" w:lineRule="auto"/>
        <w:ind w:firstLine="0"/>
        <w:rPr>
          <w:b/>
        </w:rPr>
      </w:pPr>
      <w:r>
        <w:rPr>
          <w:b/>
        </w:rPr>
        <w:lastRenderedPageBreak/>
        <w:t>Supplementary Material Appendix</w:t>
      </w:r>
      <w:r w:rsidRPr="002D6445">
        <w:rPr>
          <w:b/>
        </w:rPr>
        <w:t xml:space="preserve"> </w:t>
      </w:r>
      <w:r>
        <w:rPr>
          <w:b/>
        </w:rPr>
        <w:t>B</w:t>
      </w:r>
      <w:r w:rsidRPr="002D6445">
        <w:rPr>
          <w:b/>
        </w:rPr>
        <w:t>: Relating the Sensitivity Method to Chesson’s Definition of ND and RFD Using the Lotka</w:t>
      </w:r>
      <w:r>
        <w:rPr>
          <w:b/>
        </w:rPr>
        <w:t>-</w:t>
      </w:r>
      <w:r w:rsidRPr="002D6445">
        <w:rPr>
          <w:b/>
        </w:rPr>
        <w:t>Volterra Model</w:t>
      </w:r>
    </w:p>
    <w:p w14:paraId="19652EFF" w14:textId="77DCFC1B" w:rsidR="00D15F49" w:rsidRPr="002D6445" w:rsidRDefault="00D15F49" w:rsidP="00D15F49">
      <w:pPr>
        <w:spacing w:line="480" w:lineRule="auto"/>
      </w:pPr>
      <w:r w:rsidRPr="002D6445">
        <w:t>Here we show that sensitivity method is identical to the Lotka</w:t>
      </w:r>
      <w:r>
        <w:t>-</w:t>
      </w:r>
      <w:r w:rsidRPr="002D6445">
        <w:t xml:space="preserve">Volterra method given the specific limiting assumptions of the sensitivity method. </w:t>
      </w:r>
      <w:r>
        <w:t>To do this, w</w:t>
      </w:r>
      <w:r w:rsidRPr="002D6445">
        <w:t>e derive the sensitivity metric (</w:t>
      </w:r>
      <w:r w:rsidRPr="002D6445">
        <w:rPr>
          <w:i/>
        </w:rPr>
        <w:t>S</w:t>
      </w:r>
      <w:r w:rsidRPr="002D6445">
        <w:rPr>
          <w:i/>
          <w:vertAlign w:val="subscript"/>
        </w:rPr>
        <w:t>i</w:t>
      </w:r>
      <w:r w:rsidRPr="002D6445">
        <w:t xml:space="preserve">) from the Lotka-Volterra competition model (Equation 2). The </w:t>
      </w:r>
      <w:proofErr w:type="spellStart"/>
      <w:r w:rsidRPr="002D6445">
        <w:rPr>
          <w:i/>
        </w:rPr>
        <w:t>μ</w:t>
      </w:r>
      <w:r w:rsidRPr="002D6445">
        <w:rPr>
          <w:i/>
          <w:vertAlign w:val="subscript"/>
        </w:rPr>
        <w:t>i</w:t>
      </w:r>
      <w:proofErr w:type="spellEnd"/>
      <w:r w:rsidRPr="002D6445">
        <w:t xml:space="preserve"> in </w:t>
      </w:r>
      <w:r w:rsidR="00FE1EB8">
        <w:t xml:space="preserve">main text </w:t>
      </w:r>
      <w:r w:rsidRPr="002D6445">
        <w:t xml:space="preserve">Equation </w:t>
      </w:r>
      <w:r w:rsidR="00FE1EB8">
        <w:t>7</w:t>
      </w:r>
      <w:r w:rsidRPr="002D6445">
        <w:t xml:space="preserve"> is the maximum per capita growth rate in monoculture, equal to </w:t>
      </w:r>
      <w:proofErr w:type="spellStart"/>
      <w:r w:rsidRPr="002D6445">
        <w:rPr>
          <w:i/>
        </w:rPr>
        <w:t>r</w:t>
      </w:r>
      <w:r w:rsidRPr="002D6445">
        <w:rPr>
          <w:i/>
          <w:vertAlign w:val="subscript"/>
        </w:rPr>
        <w:t>i</w:t>
      </w:r>
      <w:proofErr w:type="spellEnd"/>
      <w:r w:rsidRPr="002D6445">
        <w:t xml:space="preserve"> in </w:t>
      </w:r>
      <w:r w:rsidR="00FE1EB8">
        <w:t xml:space="preserve">main text </w:t>
      </w:r>
      <w:r w:rsidRPr="002D6445">
        <w:t xml:space="preserve">Equation 2. The </w:t>
      </w:r>
      <w:proofErr w:type="spellStart"/>
      <w:r w:rsidRPr="002D6445">
        <w:rPr>
          <w:i/>
        </w:rPr>
        <w:t>μ</w:t>
      </w:r>
      <w:r w:rsidRPr="002D6445">
        <w:rPr>
          <w:i/>
          <w:vertAlign w:val="subscript"/>
        </w:rPr>
        <w:t>ij</w:t>
      </w:r>
      <w:proofErr w:type="spellEnd"/>
      <w:r w:rsidRPr="002D6445">
        <w:t xml:space="preserve"> is the invasion growth rate, so that we can replace </w:t>
      </w:r>
      <w:r w:rsidRPr="002D6445">
        <w:rPr>
          <w:i/>
        </w:rPr>
        <w:t>N</w:t>
      </w:r>
      <w:r w:rsidRPr="002D6445">
        <w:rPr>
          <w:i/>
          <w:vertAlign w:val="subscript"/>
        </w:rPr>
        <w:t>j</w:t>
      </w:r>
      <w:r w:rsidRPr="002D6445">
        <w:t xml:space="preserve"> with species j’s carrying capacity, </w:t>
      </w:r>
      <w:proofErr w:type="spellStart"/>
      <w:r w:rsidRPr="002D6445">
        <w:rPr>
          <w:i/>
        </w:rPr>
        <w:t>K</w:t>
      </w:r>
      <w:r w:rsidRPr="002D6445">
        <w:rPr>
          <w:i/>
          <w:vertAlign w:val="subscript"/>
        </w:rPr>
        <w:t>j</w:t>
      </w:r>
      <w:proofErr w:type="spellEnd"/>
      <w:r w:rsidRPr="002D6445">
        <w:t xml:space="preserve">, and replace </w:t>
      </w:r>
      <w:r w:rsidRPr="002D6445">
        <w:rPr>
          <w:i/>
        </w:rPr>
        <w:t>N</w:t>
      </w:r>
      <w:r w:rsidRPr="002D6445">
        <w:rPr>
          <w:i/>
          <w:vertAlign w:val="subscript"/>
        </w:rPr>
        <w:t>i</w:t>
      </w:r>
      <w:r w:rsidRPr="002D6445">
        <w:t xml:space="preserve"> with 0, so that </w:t>
      </w:r>
      <w:proofErr w:type="spellStart"/>
      <w:r w:rsidRPr="002D6445">
        <w:rPr>
          <w:i/>
        </w:rPr>
        <w:t>μ</w:t>
      </w:r>
      <w:r w:rsidRPr="002D6445">
        <w:rPr>
          <w:i/>
          <w:vertAlign w:val="subscript"/>
        </w:rPr>
        <w:t>ij</w:t>
      </w:r>
      <w:proofErr w:type="spellEnd"/>
      <w:r w:rsidRPr="002D6445">
        <w:t>=</w:t>
      </w:r>
      <w:proofErr w:type="spellStart"/>
      <w:r w:rsidRPr="002D6445">
        <w:rPr>
          <w:i/>
        </w:rPr>
        <w:t>r</w:t>
      </w:r>
      <w:r w:rsidRPr="002D6445">
        <w:rPr>
          <w:i/>
          <w:vertAlign w:val="subscript"/>
        </w:rPr>
        <w:t>i</w:t>
      </w:r>
      <w:proofErr w:type="spellEnd"/>
      <w:r w:rsidRPr="002D6445">
        <w:t xml:space="preserve"> (1-</w:t>
      </w:r>
      <w:r w:rsidRPr="002D6445">
        <w:rPr>
          <w:i/>
        </w:rPr>
        <w:t>α</w:t>
      </w:r>
      <w:proofErr w:type="spellStart"/>
      <w:r w:rsidRPr="002D6445">
        <w:rPr>
          <w:i/>
          <w:vertAlign w:val="subscript"/>
        </w:rPr>
        <w:t>ij</w:t>
      </w:r>
      <w:proofErr w:type="spellEnd"/>
      <w:r w:rsidRPr="002D6445">
        <w:t xml:space="preserve"> </w:t>
      </w:r>
      <w:proofErr w:type="spellStart"/>
      <w:r w:rsidRPr="002D6445">
        <w:rPr>
          <w:i/>
        </w:rPr>
        <w:t>K</w:t>
      </w:r>
      <w:r w:rsidRPr="002D6445">
        <w:rPr>
          <w:i/>
          <w:vertAlign w:val="subscript"/>
        </w:rPr>
        <w:t>j</w:t>
      </w:r>
      <w:proofErr w:type="spellEnd"/>
      <w:r w:rsidRPr="002D6445">
        <w:t xml:space="preserve">). Using this substitution, we show in Equation </w:t>
      </w:r>
      <w:r>
        <w:t>B</w:t>
      </w:r>
      <w:r w:rsidRPr="002D6445">
        <w:t>1 that the sensitivity metric (</w:t>
      </w:r>
      <w:r w:rsidRPr="002D6445">
        <w:rPr>
          <w:i/>
        </w:rPr>
        <w:t>S</w:t>
      </w:r>
      <w:r w:rsidRPr="002D6445">
        <w:rPr>
          <w:i/>
          <w:vertAlign w:val="subscript"/>
        </w:rPr>
        <w:t>i</w:t>
      </w:r>
      <w:r w:rsidRPr="002D6445">
        <w:t xml:space="preserve">) is the equilibrium density of species </w:t>
      </w:r>
      <w:r w:rsidRPr="002D6445">
        <w:rPr>
          <w:i/>
        </w:rPr>
        <w:t>j</w:t>
      </w:r>
      <w:r w:rsidRPr="002D6445">
        <w:t xml:space="preserve"> (</w:t>
      </w:r>
      <w:proofErr w:type="spellStart"/>
      <w:r w:rsidRPr="002D6445">
        <w:rPr>
          <w:i/>
        </w:rPr>
        <w:t>K</w:t>
      </w:r>
      <w:r w:rsidRPr="002D6445">
        <w:rPr>
          <w:i/>
          <w:vertAlign w:val="subscript"/>
        </w:rPr>
        <w:t>j</w:t>
      </w:r>
      <w:proofErr w:type="spellEnd"/>
      <w:r w:rsidRPr="002D6445">
        <w:t xml:space="preserve">) multiplied by the </w:t>
      </w:r>
      <w:r w:rsidRPr="002D6445">
        <w:rPr>
          <w:i/>
        </w:rPr>
        <w:t>per capita</w:t>
      </w:r>
      <w:r w:rsidRPr="002D6445">
        <w:t xml:space="preserve"> competition coefficient (</w:t>
      </w:r>
      <w:r w:rsidRPr="002D6445">
        <w:rPr>
          <w:i/>
        </w:rPr>
        <w:t>α</w:t>
      </w:r>
      <w:proofErr w:type="spellStart"/>
      <w:r w:rsidRPr="002D6445">
        <w:rPr>
          <w:i/>
          <w:vertAlign w:val="subscript"/>
        </w:rPr>
        <w:t>ij</w:t>
      </w:r>
      <w:proofErr w:type="spellEnd"/>
      <w:r w:rsidRPr="002D6445">
        <w:t xml:space="preserve">). </w:t>
      </w:r>
    </w:p>
    <w:p w14:paraId="59C8B671" w14:textId="77777777" w:rsidR="00D15F49" w:rsidRPr="002D6445" w:rsidRDefault="00FE1EB8" w:rsidP="00D15F49">
      <w:pPr>
        <w:spacing w:line="480" w:lineRule="auto"/>
        <w:ind w:firstLine="0"/>
      </w:p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num>
          <m:den>
            <m:sSub>
              <m:sSubPr>
                <m:ctrlPr>
                  <w:rPr>
                    <w:rFonts w:ascii="Cambria Math" w:hAnsi="Cambria Math"/>
                  </w:rPr>
                </m:ctrlPr>
              </m:sSubPr>
              <m:e>
                <m:r>
                  <w:rPr>
                    <w:rFonts w:ascii="Cambria Math" w:hAnsi="Cambria Math"/>
                  </w:rPr>
                  <m:t>μ</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ij</m:t>
                    </m:r>
                  </m:sub>
                </m:sSub>
                <m:sSubSup>
                  <m:sSubSupPr>
                    <m:ctrlPr>
                      <w:rPr>
                        <w:rFonts w:ascii="Cambria Math" w:hAnsi="Cambria Math"/>
                      </w:rPr>
                    </m:ctrlPr>
                  </m:sSubSupPr>
                  <m:e>
                    <m:r>
                      <w:rPr>
                        <w:rFonts w:ascii="Cambria Math" w:hAnsi="Cambria Math"/>
                      </w:rPr>
                      <m:t>N</m:t>
                    </m:r>
                  </m:e>
                  <m:sub>
                    <m:r>
                      <w:rPr>
                        <w:rFonts w:ascii="Cambria Math" w:hAnsi="Cambria Math"/>
                      </w:rPr>
                      <m:t>j</m:t>
                    </m:r>
                  </m:sub>
                  <m:sup>
                    <m:r>
                      <m:rPr>
                        <m:sty m:val="p"/>
                      </m:rPr>
                      <w:rPr>
                        <w:rFonts w:ascii="Cambria Math" w:hAnsi="Cambria Math"/>
                      </w:rPr>
                      <m:t>*</m:t>
                    </m:r>
                  </m:sup>
                </m:sSubSup>
              </m:e>
            </m:d>
          </m:num>
          <m:den>
            <m:sSub>
              <m:sSubPr>
                <m:ctrlPr>
                  <w:rPr>
                    <w:rFonts w:ascii="Cambria Math" w:hAnsi="Cambria Math"/>
                  </w:rPr>
                </m:ctrlPr>
              </m:sSubPr>
              <m:e>
                <m:r>
                  <w:rPr>
                    <w:rFonts w:ascii="Cambria Math" w:hAnsi="Cambria Math"/>
                  </w:rPr>
                  <m:t>r</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rPr>
            </m:ctrlPr>
          </m:sSubPr>
          <m:e>
            <m:r>
              <m:rPr>
                <m:sty m:val="p"/>
              </m:rPr>
              <w:rPr>
                <w:rFonts w:ascii="Cambria Math" w:hAnsi="Cambria Math"/>
              </w:rPr>
              <m:t>K</m:t>
            </m:r>
          </m:e>
          <m:sub>
            <m:r>
              <w:rPr>
                <w:rFonts w:ascii="Cambria Math" w:hAnsi="Cambria Math"/>
              </w:rPr>
              <m:t>j</m:t>
            </m:r>
          </m:sub>
        </m:sSub>
      </m:oMath>
      <w:r w:rsidR="00D15F49" w:rsidRPr="002D6445">
        <w:tab/>
        <w:t>(</w:t>
      </w:r>
      <w:r w:rsidR="00D15F49">
        <w:t>B</w:t>
      </w:r>
      <w:r w:rsidR="00D15F49" w:rsidRPr="002D6445">
        <w:t>1)</w:t>
      </w:r>
    </w:p>
    <w:p w14:paraId="040BE3AC" w14:textId="77777777" w:rsidR="00D15F49" w:rsidRPr="002D6445" w:rsidRDefault="00D15F49" w:rsidP="00D15F49">
      <w:pPr>
        <w:spacing w:line="480" w:lineRule="auto"/>
      </w:pPr>
      <w:r w:rsidRPr="002D6445">
        <w:t>Since the intraspecific competition coefficients in the Lotka</w:t>
      </w:r>
      <w:r>
        <w:t>-</w:t>
      </w:r>
      <w:r w:rsidRPr="002D6445">
        <w:t>Volterra model are equal to the inverse of the equilibrium population density for the monoculture (</w:t>
      </w:r>
      <m:oMath>
        <m:sSub>
          <m:sSubPr>
            <m:ctrlPr>
              <w:rPr>
                <w:rFonts w:ascii="Cambria Math" w:hAnsi="Cambria Math"/>
                <w:i/>
              </w:rPr>
            </m:ctrlPr>
          </m:sSubPr>
          <m:e>
            <m:r>
              <w:rPr>
                <w:rFonts w:ascii="Cambria Math" w:hAnsi="Cambria Math"/>
              </w:rPr>
              <m:t>α</m:t>
            </m:r>
          </m:e>
          <m:sub>
            <m:r>
              <w:rPr>
                <w:rFonts w:ascii="Cambria Math" w:hAnsi="Cambria Math"/>
              </w:rPr>
              <m:t>ii</m:t>
            </m:r>
          </m:sub>
        </m:sSub>
      </m:oMath>
      <w:r w:rsidRPr="002D6445" w:rsidDel="00A07023">
        <w:t xml:space="preserve"> </w:t>
      </w:r>
      <w:r w:rsidRPr="002D6445">
        <w:t>=</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oMath>
      <w:r w:rsidRPr="002D6445">
        <w:t xml:space="preserve">), the sensitivity metric can be shown to be equivalent to the ratio of interspecific to intraspecific interaction coefficients (Equation </w:t>
      </w:r>
      <w:r>
        <w:t>B</w:t>
      </w:r>
      <w:r w:rsidRPr="002D6445">
        <w:t xml:space="preserve">2).  </w:t>
      </w:r>
    </w:p>
    <w:p w14:paraId="5729F00F" w14:textId="77777777" w:rsidR="00D15F49" w:rsidRPr="002D6445" w:rsidRDefault="00FE1EB8" w:rsidP="00D15F49">
      <w:pPr>
        <w:spacing w:line="480" w:lineRule="auto"/>
        <w:ind w:firstLine="0"/>
      </w:p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ij</m:t>
            </m:r>
          </m:sub>
        </m:sSub>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jj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num>
          <m:den>
            <m:sSub>
              <m:sSubPr>
                <m:ctrlPr>
                  <w:rPr>
                    <w:rFonts w:ascii="Cambria Math" w:hAnsi="Cambria Math"/>
                    <w:i/>
                  </w:rPr>
                </m:ctrlPr>
              </m:sSubPr>
              <m:e>
                <m:r>
                  <w:rPr>
                    <w:rFonts w:ascii="Cambria Math" w:hAnsi="Cambria Math"/>
                  </w:rPr>
                  <m:t>α</m:t>
                </m:r>
              </m:e>
              <m:sub>
                <m:r>
                  <w:rPr>
                    <w:rFonts w:ascii="Cambria Math" w:hAnsi="Cambria Math"/>
                  </w:rPr>
                  <m:t>jj</m:t>
                </m:r>
              </m:sub>
            </m:sSub>
          </m:den>
        </m:f>
      </m:oMath>
      <w:r w:rsidR="00D15F49" w:rsidRPr="002D6445">
        <w:t xml:space="preserve"> </w:t>
      </w:r>
      <w:r w:rsidR="00D15F49" w:rsidRPr="002D6445">
        <w:tab/>
        <w:t>(</w:t>
      </w:r>
      <w:r w:rsidR="00D15F49">
        <w:t>B</w:t>
      </w:r>
      <w:r w:rsidR="00D15F49" w:rsidRPr="002D6445">
        <w:t>2)</w:t>
      </w:r>
    </w:p>
    <w:p w14:paraId="7EEB6096" w14:textId="77777777" w:rsidR="00D15F49" w:rsidRPr="002D6445" w:rsidRDefault="00D15F49" w:rsidP="00D15F49">
      <w:pPr>
        <w:spacing w:line="480" w:lineRule="auto"/>
        <w:ind w:firstLine="0"/>
      </w:pPr>
      <w:r w:rsidRPr="002D6445">
        <w:t xml:space="preserve">From this substitution, we can relate the sensitivity metric to Chesson’s ND (Equation </w:t>
      </w:r>
      <w:r>
        <w:t>B</w:t>
      </w:r>
      <w:r w:rsidRPr="002D6445">
        <w:t xml:space="preserve">3), RFD (Equation </w:t>
      </w:r>
      <w:r>
        <w:t>B</w:t>
      </w:r>
      <w:r w:rsidRPr="002D6445">
        <w:t xml:space="preserve">4), and use these estimates to assess the conditions for coexistence (Equation 1) </w:t>
      </w:r>
    </w:p>
    <w:p w14:paraId="26E56556" w14:textId="77777777" w:rsidR="00D15F49" w:rsidRPr="002D6445" w:rsidRDefault="00D15F49" w:rsidP="00D15F49">
      <w:pPr>
        <w:spacing w:line="480" w:lineRule="auto"/>
        <w:ind w:firstLine="0"/>
      </w:pPr>
      <m:oMath>
        <m:r>
          <m:rPr>
            <m:sty m:val="p"/>
          </m:rPr>
          <w:rPr>
            <w:rFonts w:ascii="Cambria Math" w:hAnsi="Cambria Math"/>
          </w:rPr>
          <m:t>ND</m:t>
        </m:r>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ji</m:t>
                    </m:r>
                  </m:sub>
                </m:sSub>
              </m:num>
              <m:den>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α</m:t>
                    </m:r>
                  </m:e>
                  <m:sub>
                    <m:r>
                      <w:rPr>
                        <w:rFonts w:ascii="Cambria Math" w:hAnsi="Cambria Math"/>
                      </w:rPr>
                      <m:t>jj</m:t>
                    </m:r>
                  </m:sub>
                </m:sSub>
              </m:den>
            </m:f>
          </m:e>
        </m:rad>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Sj</m:t>
            </m:r>
          </m:e>
        </m:rad>
      </m:oMath>
      <w:r w:rsidRPr="002D6445">
        <w:rPr>
          <w:i/>
        </w:rPr>
        <w:t xml:space="preserve"> </w:t>
      </w:r>
      <w:r w:rsidRPr="002D6445">
        <w:t xml:space="preserve"> </w:t>
      </w:r>
      <w:r w:rsidRPr="002D6445">
        <w:tab/>
        <w:t>(</w:t>
      </w:r>
      <w:r>
        <w:t>B</w:t>
      </w:r>
      <w:r w:rsidRPr="002D6445">
        <w:t>3)</w:t>
      </w:r>
    </w:p>
    <w:p w14:paraId="496D5E0C" w14:textId="77777777" w:rsidR="00D15F49" w:rsidRDefault="00D15F49" w:rsidP="00D15F49">
      <w:pPr>
        <w:spacing w:line="480" w:lineRule="auto"/>
        <w:ind w:firstLine="0"/>
        <w:rPr>
          <w:b/>
        </w:rPr>
      </w:pPr>
      <w:r w:rsidRPr="002D6445">
        <w:t xml:space="preserve">RFD = </w:t>
      </w:r>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ii</m:t>
                    </m:r>
                  </m:sub>
                </m:sSub>
              </m:num>
              <m:den>
                <m:sSub>
                  <m:sSubPr>
                    <m:ctrlPr>
                      <w:rPr>
                        <w:rFonts w:ascii="Cambria Math" w:hAnsi="Cambria Math"/>
                        <w:i/>
                      </w:rPr>
                    </m:ctrlPr>
                  </m:sSubPr>
                  <m:e>
                    <m:r>
                      <w:rPr>
                        <w:rFonts w:ascii="Cambria Math" w:hAnsi="Cambria Math"/>
                      </w:rPr>
                      <m:t>α</m:t>
                    </m:r>
                  </m:e>
                  <m:sub>
                    <m:r>
                      <w:rPr>
                        <w:rFonts w:ascii="Cambria Math" w:hAnsi="Cambria Math"/>
                      </w:rPr>
                      <m:t>jj</m:t>
                    </m:r>
                  </m:sub>
                </m:sSub>
                <m:sSub>
                  <m:sSubPr>
                    <m:ctrlPr>
                      <w:rPr>
                        <w:rFonts w:ascii="Cambria Math" w:hAnsi="Cambria Math"/>
                        <w:i/>
                      </w:rPr>
                    </m:ctrlPr>
                  </m:sSubPr>
                  <m:e>
                    <m:r>
                      <w:rPr>
                        <w:rFonts w:ascii="Cambria Math" w:hAnsi="Cambria Math"/>
                      </w:rPr>
                      <m:t>α</m:t>
                    </m:r>
                  </m:e>
                  <m:sub>
                    <m:r>
                      <w:rPr>
                        <w:rFonts w:ascii="Cambria Math" w:hAnsi="Cambria Math"/>
                      </w:rPr>
                      <m:t>ji</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j</m:t>
                    </m:r>
                  </m:sub>
                </m:sSub>
              </m:den>
            </m:f>
          </m:e>
        </m:rad>
      </m:oMath>
      <w:r w:rsidRPr="002D6445">
        <w:t xml:space="preserve">. </w:t>
      </w:r>
      <w:r w:rsidRPr="002D6445">
        <w:tab/>
        <w:t>(</w:t>
      </w:r>
      <w:r>
        <w:t>B</w:t>
      </w:r>
      <w:r w:rsidRPr="002D6445">
        <w:t>4</w:t>
      </w:r>
      <w:r>
        <w:t>)</w:t>
      </w:r>
    </w:p>
    <w:p w14:paraId="03BDC8FB" w14:textId="77777777" w:rsidR="00D15F49" w:rsidRPr="00A55A09" w:rsidRDefault="00D15F49" w:rsidP="00D15F49">
      <w:pPr>
        <w:spacing w:line="480" w:lineRule="auto"/>
        <w:ind w:firstLine="0"/>
      </w:pPr>
      <w:r>
        <w:rPr>
          <w:b/>
        </w:rPr>
        <w:lastRenderedPageBreak/>
        <w:t>Supplementary Material Appendix C</w:t>
      </w:r>
      <w:r w:rsidRPr="002D6445">
        <w:rPr>
          <w:b/>
        </w:rPr>
        <w:t>: Relating the Negative Frequency Dependence Method to Chesson’s ND and RFD</w:t>
      </w:r>
    </w:p>
    <w:p w14:paraId="22D3F7C3" w14:textId="77777777" w:rsidR="00D15F49" w:rsidRPr="002D6445" w:rsidRDefault="00D15F49" w:rsidP="00D15F49">
      <w:pPr>
        <w:spacing w:line="480" w:lineRule="auto"/>
      </w:pPr>
      <w:r>
        <w:t xml:space="preserve">Conceptually, when </w:t>
      </w:r>
      <w:r w:rsidRPr="00B0403D">
        <w:t xml:space="preserve">the per capita growth rate is being plotted against the frequency of the focal species, </w:t>
      </w:r>
      <w:r>
        <w:t>the NFD slope</w:t>
      </w:r>
      <w:r w:rsidRPr="00B0403D">
        <w:t xml:space="preserve"> is actually the </w:t>
      </w:r>
      <w:r>
        <w:t>“</w:t>
      </w:r>
      <w:r w:rsidRPr="00B0403D">
        <w:t>per</w:t>
      </w:r>
      <w:r>
        <w:t>-frequency</w:t>
      </w:r>
      <w:r w:rsidRPr="00B0403D">
        <w:t>” impact on the per capita growth rate</w:t>
      </w:r>
      <w:r>
        <w:t xml:space="preserve"> of each species. Because this slope is fundamentally different than the interaction coefficients in the Lotka Volterra model, </w:t>
      </w:r>
      <w:r w:rsidRPr="002D6445">
        <w:t xml:space="preserve">we attempt to derive the NFD slope and intercept from the two species Lotka-Volterra competition model (Equation 1). Since there is no variable representing each species’ frequency in the Lotka-Volterra model, we have to assume a fixed community density, </w:t>
      </w:r>
      <w:r w:rsidRPr="002D6445">
        <w:rPr>
          <w:i/>
        </w:rPr>
        <w:t>B</w:t>
      </w:r>
      <w:r w:rsidRPr="002D6445">
        <w:t xml:space="preserve">. </w:t>
      </w:r>
      <w:r>
        <w:t xml:space="preserve">Also note that the interaction coefficients used here </w:t>
      </w:r>
      <w:r w:rsidRPr="002D6445">
        <w:t xml:space="preserve">This assumption also satisfies the assumption of the NFD method that the community density is always saturated. Fixing the community density makes the </w:t>
      </w:r>
      <w:r>
        <w:t xml:space="preserve">interspecific </w:t>
      </w:r>
      <w:r w:rsidRPr="002D6445">
        <w:t xml:space="preserve">density dependence, </w:t>
      </w:r>
      <w:r w:rsidRPr="002D6445">
        <w:rPr>
          <w:i/>
        </w:rPr>
        <w:t>α</w:t>
      </w:r>
      <w:proofErr w:type="spellStart"/>
      <w:r w:rsidRPr="002D6445">
        <w:rPr>
          <w:i/>
          <w:vertAlign w:val="subscript"/>
        </w:rPr>
        <w:t>ij</w:t>
      </w:r>
      <w:proofErr w:type="spellEnd"/>
      <w:r w:rsidRPr="002D6445">
        <w:t>, equivalent to frequency dependence</w:t>
      </w:r>
      <w:r>
        <w:t xml:space="preserve"> </w:t>
      </w:r>
      <w:r>
        <w:rPr>
          <w:noProof/>
        </w:rPr>
        <w:t>(Adler et al. 2007)</w:t>
      </w:r>
      <w:r w:rsidRPr="002D6445">
        <w:t xml:space="preserve">, and allows species’ frequency to be represented by </w:t>
      </w:r>
      <w:r w:rsidRPr="002D6445">
        <w:rPr>
          <w:i/>
        </w:rPr>
        <w:t>N</w:t>
      </w:r>
      <w:r w:rsidRPr="002D6445">
        <w:rPr>
          <w:i/>
          <w:vertAlign w:val="subscript"/>
        </w:rPr>
        <w:t>i</w:t>
      </w:r>
      <w:r w:rsidRPr="002D6445">
        <w:t>/</w:t>
      </w:r>
      <w:r w:rsidRPr="002D6445">
        <w:rPr>
          <w:i/>
        </w:rPr>
        <w:t>B</w:t>
      </w:r>
      <w:r w:rsidRPr="002D6445">
        <w:t>. The two-species Lotka-Volterra competition model can then be rewritten as follows</w:t>
      </w:r>
    </w:p>
    <w:p w14:paraId="38D4BE9E" w14:textId="77777777" w:rsidR="00D15F49" w:rsidRPr="002D6445" w:rsidRDefault="00FE1EB8" w:rsidP="00D15F49">
      <w:pPr>
        <w:spacing w:line="480" w:lineRule="auto"/>
        <w:ind w:firstLine="0"/>
      </w:pPr>
      <m:oMath>
        <m:f>
          <m:fPr>
            <m:ctrlPr>
              <w:rPr>
                <w:rFonts w:ascii="Cambria Math" w:eastAsia="Arial" w:hAnsi="Cambria Math"/>
              </w:rPr>
            </m:ctrlPr>
          </m:fPr>
          <m:num>
            <m:r>
              <w:rPr>
                <w:rFonts w:ascii="Cambria Math" w:eastAsia="Arial" w:hAnsi="Cambria Math"/>
              </w:rPr>
              <m:t>1</m:t>
            </m:r>
            <m:ctrlPr>
              <w:rPr>
                <w:rFonts w:ascii="Cambria Math" w:eastAsia="Arial" w:hAnsi="Cambria Math"/>
                <w:i/>
              </w:rPr>
            </m:ctrlPr>
          </m:num>
          <m:den>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den>
        </m:f>
        <m:f>
          <m:fPr>
            <m:ctrlPr>
              <w:rPr>
                <w:rFonts w:ascii="Cambria Math" w:eastAsia="Arial" w:hAnsi="Cambria Math"/>
              </w:rPr>
            </m:ctrlPr>
          </m:fPr>
          <m:num>
            <m:r>
              <w:rPr>
                <w:rFonts w:ascii="Cambria Math" w:eastAsia="Arial" w:hAnsi="Cambria Math"/>
              </w:rPr>
              <m:t>d</m:t>
            </m:r>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num>
          <m:den>
            <m:r>
              <w:rPr>
                <w:rFonts w:ascii="Cambria Math" w:eastAsia="Arial" w:hAnsi="Cambria Math"/>
              </w:rPr>
              <m:t>dt</m:t>
            </m:r>
            <m:ctrlPr>
              <w:rPr>
                <w:rFonts w:ascii="Cambria Math" w:eastAsia="Arial" w:hAnsi="Cambria Math"/>
                <w:i/>
              </w:rPr>
            </m:ctrlPr>
          </m:den>
        </m:f>
        <m:r>
          <w:rPr>
            <w:rFonts w:ascii="Cambria Math" w:eastAsia="Arial" w:hAnsi="Cambria Math"/>
          </w:rPr>
          <m:t>=</m:t>
        </m:r>
        <m:sSub>
          <m:sSubPr>
            <m:ctrlPr>
              <w:rPr>
                <w:rFonts w:ascii="Cambria Math" w:eastAsia="Arial" w:hAnsi="Cambria Math"/>
                <w:i/>
              </w:rPr>
            </m:ctrlPr>
          </m:sSubPr>
          <m:e>
            <m:r>
              <w:rPr>
                <w:rFonts w:ascii="Cambria Math" w:eastAsia="Arial" w:hAnsi="Cambria Math"/>
              </w:rPr>
              <m:t>r</m:t>
            </m:r>
          </m:e>
          <m:sub>
            <m:r>
              <w:rPr>
                <w:rFonts w:ascii="Cambria Math" w:eastAsia="Arial" w:hAnsi="Cambria Math"/>
              </w:rPr>
              <m:t>i</m:t>
            </m:r>
          </m:sub>
        </m:sSub>
        <m:d>
          <m:dPr>
            <m:ctrlPr>
              <w:rPr>
                <w:rFonts w:ascii="Cambria Math" w:eastAsia="Arial" w:hAnsi="Cambria Math"/>
                <w:i/>
              </w:rPr>
            </m:ctrlPr>
          </m:dPr>
          <m:e>
            <m:r>
              <w:rPr>
                <w:rFonts w:ascii="Cambria Math" w:eastAsia="Arial" w:hAnsi="Cambria Math"/>
              </w:rPr>
              <m:t>1-</m:t>
            </m:r>
            <m:f>
              <m:fPr>
                <m:ctrlPr>
                  <w:rPr>
                    <w:rFonts w:ascii="Cambria Math" w:eastAsia="Arial" w:hAnsi="Cambria Math"/>
                    <w:i/>
                  </w:rPr>
                </m:ctrlPr>
              </m:fPr>
              <m:num>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ii</m:t>
                    </m:r>
                  </m:sub>
                </m:sSub>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r>
                  <w:rPr>
                    <w:rFonts w:ascii="Cambria Math" w:eastAsia="Arial" w:hAnsi="Cambria Math"/>
                  </w:rPr>
                  <m:t>+</m:t>
                </m:r>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ij</m:t>
                    </m:r>
                  </m:sub>
                </m:sSub>
                <m:d>
                  <m:dPr>
                    <m:ctrlPr>
                      <w:rPr>
                        <w:rFonts w:ascii="Cambria Math" w:eastAsia="Arial" w:hAnsi="Cambria Math"/>
                        <w:i/>
                      </w:rPr>
                    </m:ctrlPr>
                  </m:dPr>
                  <m:e>
                    <m:r>
                      <w:rPr>
                        <w:rFonts w:ascii="Cambria Math" w:eastAsia="Arial" w:hAnsi="Cambria Math"/>
                      </w:rPr>
                      <m:t>B-</m:t>
                    </m:r>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e>
                </m:d>
              </m:num>
              <m:den>
                <m:r>
                  <w:rPr>
                    <w:rFonts w:ascii="Cambria Math" w:eastAsia="Arial" w:hAnsi="Cambria Math"/>
                  </w:rPr>
                  <m:t>B</m:t>
                </m:r>
              </m:den>
            </m:f>
          </m:e>
        </m:d>
      </m:oMath>
      <w:r w:rsidR="00D15F49" w:rsidRPr="002D6445">
        <w:tab/>
        <w:t>(</w:t>
      </w:r>
      <w:r w:rsidR="00D15F49">
        <w:t>C</w:t>
      </w:r>
      <w:r w:rsidR="00D15F49" w:rsidRPr="002D6445">
        <w:t>1)</w:t>
      </w:r>
    </w:p>
    <w:p w14:paraId="54A197E0" w14:textId="77777777" w:rsidR="00D15F49" w:rsidRPr="002D6445" w:rsidRDefault="00D15F49" w:rsidP="00D15F49">
      <w:pPr>
        <w:spacing w:line="480" w:lineRule="auto"/>
        <w:ind w:firstLine="0"/>
      </w:pPr>
      <w:r w:rsidRPr="002D6445">
        <w:t xml:space="preserve">, where </w:t>
      </w:r>
      <w:r w:rsidRPr="002D6445">
        <w:rPr>
          <w:i/>
        </w:rPr>
        <w:t>B</w:t>
      </w:r>
      <w:r w:rsidRPr="002D6445">
        <w:t xml:space="preserve"> is the fixed community density and one unit decrease of </w:t>
      </w:r>
      <w:r w:rsidRPr="002D6445">
        <w:rPr>
          <w:i/>
        </w:rPr>
        <w:t>N</w:t>
      </w:r>
      <w:r w:rsidRPr="002D6445">
        <w:rPr>
          <w:i/>
          <w:vertAlign w:val="subscript"/>
        </w:rPr>
        <w:t>i</w:t>
      </w:r>
      <w:r w:rsidRPr="002D6445">
        <w:t xml:space="preserve"> will lead to one unit increase of </w:t>
      </w:r>
      <w:r w:rsidRPr="002D6445">
        <w:rPr>
          <w:i/>
        </w:rPr>
        <w:t>N</w:t>
      </w:r>
      <w:r w:rsidRPr="002D6445">
        <w:rPr>
          <w:i/>
          <w:vertAlign w:val="subscript"/>
        </w:rPr>
        <w:t>j</w:t>
      </w:r>
      <w:r w:rsidRPr="002D6445">
        <w:t xml:space="preserve">. From Equation </w:t>
      </w:r>
      <w:r>
        <w:t>C</w:t>
      </w:r>
      <w:r w:rsidRPr="002D6445">
        <w:t xml:space="preserve">1, we derive the NFD slope and intercept in the following equations. </w:t>
      </w:r>
    </w:p>
    <w:p w14:paraId="564C5C77" w14:textId="77777777" w:rsidR="00D15F49" w:rsidRPr="002D6445" w:rsidRDefault="00D15F49" w:rsidP="00D15F49">
      <w:pPr>
        <w:spacing w:line="480" w:lineRule="auto"/>
        <w:ind w:firstLine="0"/>
      </w:pPr>
      <m:oMath>
        <m:r>
          <w:rPr>
            <w:rFonts w:ascii="Cambria Math" w:hAnsi="Cambria Math"/>
          </w:rPr>
          <m:t>NFD slope</m:t>
        </m:r>
        <m:r>
          <m:rPr>
            <m:sty m:val="p"/>
          </m:rPr>
          <w:rPr>
            <w:rFonts w:ascii="Cambria Math" w:hAnsi="Cambria Math"/>
          </w:rPr>
          <m:t>≡</m:t>
        </m:r>
        <m:f>
          <m:fPr>
            <m:ctrlPr>
              <w:rPr>
                <w:rFonts w:ascii="Cambria Math" w:hAnsi="Cambria Math"/>
              </w:rPr>
            </m:ctrlPr>
          </m:fPr>
          <m:num>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r>
                  <w:rPr>
                    <w:rFonts w:ascii="Cambria Math" w:hAnsi="Cambria Math"/>
                  </w:rPr>
                  <m:t>dt</m:t>
                </m:r>
                <m:ctrlPr>
                  <w:rPr>
                    <w:rFonts w:ascii="Cambria Math" w:hAnsi="Cambria Math"/>
                    <w:i/>
                  </w:rPr>
                </m:ctrlPr>
              </m:den>
            </m:f>
            <m:ctrlPr>
              <w:rPr>
                <w:rFonts w:ascii="Cambria Math" w:hAnsi="Cambria Math"/>
                <w:i/>
              </w:rPr>
            </m:ctrlPr>
          </m:num>
          <m:den>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r>
                  <w:rPr>
                    <w:rFonts w:ascii="Cambria Math" w:hAnsi="Cambria Math"/>
                  </w:rPr>
                  <m:t>B</m:t>
                </m:r>
                <m:ctrlPr>
                  <w:rPr>
                    <w:rFonts w:ascii="Cambria Math" w:hAnsi="Cambria Math"/>
                    <w:i/>
                  </w:rPr>
                </m:ctrlPr>
              </m:den>
            </m:f>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r>
                  <w:rPr>
                    <w:rFonts w:ascii="Cambria Math" w:hAnsi="Cambria Math"/>
                  </w:rPr>
                  <m:t>dt</m:t>
                </m:r>
                <m:ctrlPr>
                  <w:rPr>
                    <w:rFonts w:ascii="Cambria Math" w:hAnsi="Cambria Math"/>
                    <w:i/>
                  </w:rPr>
                </m:ctrlPr>
              </m:den>
            </m:f>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r>
          <w:rPr>
            <w:rFonts w:ascii="Cambria Math" w:hAnsi="Cambria Math"/>
          </w:rPr>
          <m:t>=B</m:t>
        </m:r>
        <m:f>
          <m:fPr>
            <m:ctrlPr>
              <w:rPr>
                <w:rFonts w:ascii="Cambria Math" w:hAnsi="Cambria Math"/>
              </w:rPr>
            </m:ctrlPr>
          </m:fPr>
          <m:num>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r>
                  <w:rPr>
                    <w:rFonts w:ascii="Cambria Math" w:hAnsi="Cambria Math"/>
                  </w:rPr>
                  <m:t>dt</m:t>
                </m:r>
                <m:ctrlPr>
                  <w:rPr>
                    <w:rFonts w:ascii="Cambria Math" w:hAnsi="Cambria Math"/>
                    <w:i/>
                  </w:rPr>
                </m:ctrlPr>
              </m:den>
            </m:f>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ii</m:t>
                </m:r>
              </m:sub>
            </m:sSub>
          </m:e>
        </m:d>
      </m:oMath>
      <w:r w:rsidRPr="002D6445">
        <w:tab/>
        <w:t>(</w:t>
      </w:r>
      <w:r>
        <w:t>C</w:t>
      </w:r>
      <w:r w:rsidRPr="002D6445">
        <w:t>2)</w:t>
      </w:r>
    </w:p>
    <w:p w14:paraId="4A84373E" w14:textId="77777777" w:rsidR="00D15F49" w:rsidRPr="002D6445" w:rsidRDefault="00D15F49" w:rsidP="00D15F49">
      <w:pPr>
        <w:spacing w:line="480" w:lineRule="auto"/>
        <w:ind w:firstLine="0"/>
      </w:pPr>
      <m:oMath>
        <m:r>
          <w:rPr>
            <w:rFonts w:ascii="Cambria Math" w:hAnsi="Cambria Math"/>
          </w:rPr>
          <m:t>NFD intercept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ij</m:t>
                </m:r>
              </m:sub>
            </m:sSub>
          </m:e>
        </m:d>
      </m:oMath>
      <w:r w:rsidRPr="002D6445">
        <w:tab/>
        <w:t>(</w:t>
      </w:r>
      <w:r>
        <w:rPr>
          <w:lang w:eastAsia="zh-TW"/>
        </w:rPr>
        <w:t>C</w:t>
      </w:r>
      <w:r w:rsidRPr="002D6445">
        <w:rPr>
          <w:lang w:eastAsia="zh-TW"/>
        </w:rPr>
        <w:t>3</w:t>
      </w:r>
      <w:r w:rsidRPr="002D6445">
        <w:t>)</w:t>
      </w:r>
    </w:p>
    <w:p w14:paraId="4D482295" w14:textId="77777777" w:rsidR="00D15F49" w:rsidRPr="002D6445" w:rsidRDefault="00D15F49" w:rsidP="00D15F49">
      <w:pPr>
        <w:spacing w:line="480" w:lineRule="auto"/>
        <w:ind w:firstLine="0"/>
      </w:pPr>
      <w:r w:rsidRPr="002D6445">
        <w:t xml:space="preserve">In Equation </w:t>
      </w:r>
      <w:r>
        <w:t>C</w:t>
      </w:r>
      <w:r w:rsidRPr="002D6445">
        <w:t xml:space="preserve">2 the NFD slope becomes constant, which means that species’ per capita growth rate linearly depends on its frequency. </w:t>
      </w:r>
    </w:p>
    <w:p w14:paraId="63639EE5" w14:textId="77777777" w:rsidR="00D15F49" w:rsidRPr="002D6445" w:rsidRDefault="00D15F49" w:rsidP="00D15F49">
      <w:pPr>
        <w:spacing w:line="480" w:lineRule="auto"/>
      </w:pPr>
      <w:r w:rsidRPr="002D6445">
        <w:lastRenderedPageBreak/>
        <w:t xml:space="preserve">In addition, from Equations </w:t>
      </w:r>
      <w:r>
        <w:t>C</w:t>
      </w:r>
      <w:r w:rsidRPr="002D6445">
        <w:t xml:space="preserve">2 and </w:t>
      </w:r>
      <w:r>
        <w:t>C</w:t>
      </w:r>
      <w:r w:rsidRPr="002D6445">
        <w:t>3, we argue that both NFD intercept and slope should be used with caution in evaluating Chesson’s inequality. First, the NFD intercept represents whether species can successfully invade a steady-state population of its competitor at its carrying capacity, so it can be used to accurately assess mutual invasibility. However, n</w:t>
      </w:r>
      <w:r w:rsidRPr="002D6445">
        <w:rPr>
          <w:lang w:eastAsia="zh-TW"/>
        </w:rPr>
        <w:t xml:space="preserve">either the difference nor the ratio of two species’ NFD intercepts (Equations </w:t>
      </w:r>
      <w:r>
        <w:rPr>
          <w:lang w:eastAsia="zh-TW"/>
        </w:rPr>
        <w:t>C</w:t>
      </w:r>
      <w:r w:rsidRPr="002D6445">
        <w:rPr>
          <w:lang w:eastAsia="zh-TW"/>
        </w:rPr>
        <w:t xml:space="preserve">2 and </w:t>
      </w:r>
      <w:r>
        <w:rPr>
          <w:lang w:eastAsia="zh-TW"/>
        </w:rPr>
        <w:t>C</w:t>
      </w:r>
      <w:r w:rsidRPr="002D6445">
        <w:rPr>
          <w:lang w:eastAsia="zh-TW"/>
        </w:rPr>
        <w:t xml:space="preserve">3) take an analogous form to Chesson’s definition of ND and RFD. </w:t>
      </w:r>
      <w:r w:rsidRPr="002D6445">
        <w:t>Thus, while the NFD method can correctly predict mutual invasibility, the NFD intercept and slope should not be interpreted as RFD and ND in order to evaluate Chesson’s inequality.</w:t>
      </w:r>
    </w:p>
    <w:p w14:paraId="7FD39F30" w14:textId="77777777" w:rsidR="00D15F49" w:rsidRPr="002D6445" w:rsidRDefault="00D15F49" w:rsidP="00D15F49">
      <w:pPr>
        <w:spacing w:line="480" w:lineRule="auto"/>
      </w:pPr>
      <w:r>
        <w:t xml:space="preserve">The utility of the NFD method depends on its ability to correctly predict whether species have positive growth rates when their frequencies approach zero. If the relationship between a species frequency and its growth rate is non-linear, however, then the accuracy of the NFD method is critically dependent on the range of species frequencies used by an empiricist. In Supplementary material Appendix C Figure C1 we show that the NFD relationship can be non-linear even when the underlying population dynamics are governed by the Lotka-Volterra model. The result of this non-linearity is that, depending on the range of species’ frequencies used to estimate the NFD slope and intercept, this method can give inaccurate predictions. </w:t>
      </w:r>
    </w:p>
    <w:p w14:paraId="748EF922" w14:textId="77777777" w:rsidR="00D15F49" w:rsidRPr="002D6445" w:rsidRDefault="00D15F49" w:rsidP="00D15F49">
      <w:pPr>
        <w:spacing w:line="480" w:lineRule="auto"/>
        <w:ind w:firstLine="0"/>
      </w:pPr>
      <w:r w:rsidRPr="009B3AEE">
        <w:rPr>
          <w:noProof/>
          <w:lang w:val="en-US"/>
        </w:rPr>
        <w:lastRenderedPageBreak/>
        <w:drawing>
          <wp:inline distT="0" distB="0" distL="0" distR="0" wp14:anchorId="494FC45F" wp14:editId="55E93737">
            <wp:extent cx="5937885" cy="4973613"/>
            <wp:effectExtent l="0" t="0" r="5715" b="5080"/>
            <wp:docPr id="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7885" cy="4973613"/>
                    </a:xfrm>
                    <a:prstGeom prst="rect">
                      <a:avLst/>
                    </a:prstGeom>
                    <a:noFill/>
                    <a:ln>
                      <a:noFill/>
                    </a:ln>
                  </pic:spPr>
                </pic:pic>
              </a:graphicData>
            </a:graphic>
          </wp:inline>
        </w:drawing>
      </w:r>
    </w:p>
    <w:p w14:paraId="2BF88191" w14:textId="65AFE6C5" w:rsidR="00D15F49" w:rsidRPr="006634D1" w:rsidRDefault="00D15F49" w:rsidP="00D15F49">
      <w:pPr>
        <w:spacing w:line="480" w:lineRule="auto"/>
        <w:ind w:firstLine="0"/>
        <w:rPr>
          <w:b/>
        </w:rPr>
      </w:pPr>
      <w:r w:rsidRPr="00B367E0">
        <w:rPr>
          <w:bCs/>
        </w:rPr>
        <w:t>Supplementary Material Appendix C Figure</w:t>
      </w:r>
      <w:r>
        <w:t xml:space="preserve"> C1: </w:t>
      </w:r>
      <w:r w:rsidRPr="002D6445">
        <w:t xml:space="preserve">Panel </w:t>
      </w:r>
      <w:r w:rsidR="00483F52">
        <w:t>a</w:t>
      </w:r>
      <w:r w:rsidRPr="002D6445">
        <w:t xml:space="preserve"> </w:t>
      </w:r>
      <w:proofErr w:type="gramStart"/>
      <w:r w:rsidRPr="002D6445">
        <w:t>shows</w:t>
      </w:r>
      <w:proofErr w:type="gramEnd"/>
      <w:r w:rsidRPr="002D6445">
        <w:t xml:space="preserve"> a hypothetical situation where species frequencies are linearly related to their growth rate and </w:t>
      </w:r>
      <w:r>
        <w:t>an empiricist can extrapolate</w:t>
      </w:r>
      <w:r w:rsidRPr="002D6445">
        <w:t xml:space="preserve"> to predict growth rates at frequency of zero </w:t>
      </w:r>
      <w:r>
        <w:t>and</w:t>
      </w:r>
      <w:r w:rsidRPr="002D6445">
        <w:t xml:space="preserve"> diagnose mutual invasibility. Panel </w:t>
      </w:r>
      <w:r w:rsidR="00483F52">
        <w:t>b</w:t>
      </w:r>
      <w:r w:rsidRPr="002D6445">
        <w:t xml:space="preserve"> shows the more likely scenario in which growth rates are non-linearly dependent upon species frequencies. These plots were made using numerical simulation of the two-species Lotka Volterra Model, using parameter values that should allow for coexistence (at frequency of 0.72 for species 1). The points in Panel </w:t>
      </w:r>
      <w:r w:rsidR="00483F52">
        <w:t>b</w:t>
      </w:r>
      <w:r w:rsidRPr="002D6445">
        <w:t xml:space="preserve"> represent measurements collected at intermediate frequency of both species. Using those measurements and extrapolating to zero frequency yields the incorrect prediction that the species will not coexist.</w:t>
      </w:r>
      <w:r w:rsidRPr="006634D1">
        <w:rPr>
          <w:b/>
        </w:rPr>
        <w:t xml:space="preserve"> </w:t>
      </w:r>
    </w:p>
    <w:p w14:paraId="778F6706" w14:textId="77777777" w:rsidR="00D15F49" w:rsidRDefault="00D15F49" w:rsidP="00D15F49">
      <w:pPr>
        <w:spacing w:line="480" w:lineRule="auto"/>
        <w:ind w:firstLine="0"/>
      </w:pPr>
    </w:p>
    <w:p w14:paraId="537038BB" w14:textId="77777777" w:rsidR="00D15F49" w:rsidRPr="001C3A64" w:rsidRDefault="00D15F49" w:rsidP="00D15F49">
      <w:pPr>
        <w:spacing w:line="480" w:lineRule="auto"/>
        <w:ind w:firstLine="0"/>
        <w:rPr>
          <w:b/>
          <w:bCs/>
        </w:rPr>
      </w:pPr>
      <w:r>
        <w:rPr>
          <w:b/>
        </w:rPr>
        <w:t>Supplementary Material Appendix</w:t>
      </w:r>
      <w:r w:rsidRPr="001C3A64">
        <w:rPr>
          <w:b/>
          <w:bCs/>
        </w:rPr>
        <w:t xml:space="preserve"> D: Simplification of ND and RFD terms from Tilman’s Consumer Resource Model</w:t>
      </w:r>
    </w:p>
    <w:p w14:paraId="133D38F9" w14:textId="77777777" w:rsidR="00D15F49" w:rsidRDefault="00D15F49" w:rsidP="00D15F49">
      <w:pPr>
        <w:spacing w:line="480" w:lineRule="auto"/>
        <w:ind w:firstLine="0"/>
      </w:pPr>
    </w:p>
    <w:p w14:paraId="2EBF7689" w14:textId="77777777" w:rsidR="00D15F49" w:rsidRDefault="00D15F49" w:rsidP="00D15F49">
      <w:pPr>
        <w:spacing w:line="480" w:lineRule="auto"/>
        <w:ind w:firstLine="0"/>
      </w:pPr>
      <w:r>
        <w:t>Letten and others (2017) showed how the parameters in Tilman’s consumer resource model can be re-arranged to give estimates of inter- and intraspecific interaction coefficients and thus estimates of ND and RFD. As described in the main text of this paper, the equations specified depend upon which resource limits the growth of each species and their supplement gives all of the permutations for two species and two essential resources. Here we show how equations from Letten et al. (2017) can be simplified to get Equations 17 and 18 for the condition where species 1 is limited by resource 2 and species 2 is limited by resource 1. Their equations for inter- and intra-specific interaction coefficients for this condition are (their Equations S16.1, S16.2, S16.3, and S16.4):</w:t>
      </w:r>
    </w:p>
    <w:p w14:paraId="02332397" w14:textId="77777777" w:rsidR="00D15F49" w:rsidRDefault="00FE1EB8" w:rsidP="00D15F49">
      <w:pPr>
        <w:spacing w:line="480" w:lineRule="auto"/>
        <w:ind w:firstLine="0"/>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12</m:t>
                </m:r>
              </m:sub>
            </m:sSub>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r>
              <w:rPr>
                <w:rFonts w:ascii="Cambria Math" w:hAnsi="Cambria Math"/>
              </w:rPr>
              <m:t>)</m:t>
            </m:r>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22</m:t>
                </m:r>
              </m:sub>
            </m:sSub>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11</m:t>
                </m:r>
              </m:sub>
            </m:sSub>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21</m:t>
                </m:r>
              </m:sub>
            </m:sSub>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r>
              <w:rPr>
                <w:rFonts w:ascii="Cambria Math" w:hAnsi="Cambria Math"/>
              </w:rPr>
              <m:t>)</m:t>
            </m:r>
          </m:den>
        </m:f>
      </m:oMath>
      <w:r w:rsidR="00D15F49">
        <w:t xml:space="preserve">   (D1)</w:t>
      </w:r>
    </w:p>
    <w:p w14:paraId="7EE905B5" w14:textId="77777777" w:rsidR="00D15F49" w:rsidRDefault="00D15F49" w:rsidP="00D15F49">
      <w:pPr>
        <w:spacing w:line="480" w:lineRule="auto"/>
        <w:ind w:firstLine="0"/>
      </w:pPr>
      <w:r>
        <w:t>And their equations for the R* values that limit each species are (Equations S13.1 and S13.2):</w:t>
      </w:r>
    </w:p>
    <w:p w14:paraId="4C8CF741" w14:textId="77777777" w:rsidR="00D15F49" w:rsidRDefault="00FE1EB8" w:rsidP="00D15F49">
      <w:pPr>
        <w:spacing w:line="480" w:lineRule="auto"/>
        <w:ind w:firstLine="0"/>
      </w:pPr>
      <m:oMath>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oMath>
      <w:r w:rsidR="00D15F49">
        <w:t xml:space="preserve">  (D2)</w:t>
      </w:r>
    </w:p>
    <w:p w14:paraId="56F644D0" w14:textId="77777777" w:rsidR="00D15F49" w:rsidRDefault="00D15F49" w:rsidP="00D15F49">
      <w:pPr>
        <w:spacing w:line="480" w:lineRule="auto"/>
        <w:ind w:firstLine="0"/>
      </w:pPr>
      <w:r>
        <w:t>The consumption terms (e.g. c</w:t>
      </w:r>
      <w:r>
        <w:rPr>
          <w:vertAlign w:val="subscript"/>
        </w:rPr>
        <w:t>ii</w:t>
      </w:r>
      <w:r>
        <w:t>) used by Letten et al. are represented in Equations 15 and 16 of this paper, where the resources associated with the y and R* and k terms are selected based on the resource that limits each species and its competitor:</w:t>
      </w:r>
    </w:p>
    <w:p w14:paraId="40BAD55A" w14:textId="77777777" w:rsidR="00D15F49" w:rsidRDefault="00FE1EB8" w:rsidP="00D15F49">
      <w:pPr>
        <w:spacing w:line="480" w:lineRule="auto"/>
        <w:ind w:firstLine="0"/>
      </w:pP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11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num>
          <m:den>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12</m:t>
                </m:r>
              </m:sub>
            </m:sSub>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12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num>
          <m:den>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12</m:t>
                </m:r>
              </m:sub>
            </m:sSub>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22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num>
          <m:den>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21</m:t>
                </m:r>
              </m:sub>
            </m:sSub>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21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num>
          <m:den>
            <m:sSubSup>
              <m:sSubSupPr>
                <m:ctrlPr>
                  <w:rPr>
                    <w:rFonts w:ascii="Cambria Math" w:hAnsi="Cambria Math"/>
                    <w:i/>
                  </w:rPr>
                </m:ctrlPr>
              </m:sSubSupPr>
              <m:e>
                <m:r>
                  <w:rPr>
                    <w:rFonts w:ascii="Cambria Math" w:hAnsi="Cambria Math"/>
                  </w:rPr>
                  <m:t>R</m:t>
                </m:r>
              </m:e>
              <m:sub>
                <m:r>
                  <w:rPr>
                    <w:rFonts w:ascii="Cambria Math" w:hAnsi="Cambria Math"/>
                  </w:rPr>
                  <m:t>21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21</m:t>
                </m:r>
              </m:sub>
            </m:sSub>
          </m:den>
        </m:f>
      </m:oMath>
      <w:r w:rsidR="00D15F49">
        <w:t xml:space="preserve">  (D3)</w:t>
      </w:r>
    </w:p>
    <w:p w14:paraId="5A97A5DA" w14:textId="77777777" w:rsidR="00D15F49" w:rsidRDefault="00D15F49" w:rsidP="00D15F49">
      <w:pPr>
        <w:spacing w:line="480" w:lineRule="auto"/>
        <w:ind w:firstLine="0"/>
      </w:pPr>
      <w:r>
        <w:t>Substituting the definitions of the consumption terms (D3) and R* values (D2) into the equations for interaction coefficients (D1), we get:</w:t>
      </w:r>
    </w:p>
    <w:p w14:paraId="06C272F7" w14:textId="77777777" w:rsidR="00D15F49" w:rsidRDefault="00D15F49" w:rsidP="00D15F49">
      <w:pPr>
        <w:spacing w:line="480" w:lineRule="auto"/>
        <w:ind w:firstLine="0"/>
      </w:pPr>
    </w:p>
    <w:p w14:paraId="6CC12E3E" w14:textId="77777777" w:rsidR="00D15F49" w:rsidRPr="001C3A64" w:rsidRDefault="00FE1EB8" w:rsidP="00D15F49">
      <w:pPr>
        <w:spacing w:line="480" w:lineRule="auto"/>
        <w:ind w:firstLine="0"/>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11</m:t>
                </m:r>
              </m:sub>
            </m:sSub>
          </m:den>
        </m:f>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12</m:t>
                </m:r>
              </m:sub>
            </m:sSub>
          </m:den>
        </m:f>
        <m:f>
          <m:fPr>
            <m:ctrlPr>
              <w:rPr>
                <w:rFonts w:ascii="Cambria Math" w:hAnsi="Cambria Math"/>
                <w:i/>
              </w:rPr>
            </m:ctrlPr>
          </m:fPr>
          <m:num>
            <m:r>
              <w:rPr>
                <w:rFonts w:ascii="Cambria Math" w:hAnsi="Cambria Math"/>
              </w:rPr>
              <m:t>1</m:t>
            </m:r>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r>
              <w:rPr>
                <w:rFonts w:ascii="Cambria Math" w:hAnsi="Cambria Math"/>
              </w:rPr>
              <m:t>)</m:t>
            </m:r>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22</m:t>
                </m:r>
              </m:sub>
            </m:sSub>
          </m:den>
        </m:f>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21</m:t>
                </m:r>
              </m:sub>
            </m:sSub>
          </m:den>
        </m:f>
        <m:f>
          <m:fPr>
            <m:ctrlPr>
              <w:rPr>
                <w:rFonts w:ascii="Cambria Math" w:hAnsi="Cambria Math"/>
                <w:i/>
              </w:rPr>
            </m:ctrlPr>
          </m:fPr>
          <m:num>
            <m:r>
              <w:rPr>
                <w:rFonts w:ascii="Cambria Math" w:hAnsi="Cambria Math"/>
              </w:rPr>
              <m:t>1</m:t>
            </m:r>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r>
              <w:rPr>
                <w:rFonts w:ascii="Cambria Math" w:hAnsi="Cambria Math"/>
              </w:rPr>
              <m:t>)</m:t>
            </m:r>
          </m:den>
        </m:f>
      </m:oMath>
      <w:r w:rsidR="00D15F49">
        <w:t xml:space="preserve"> </w:t>
      </w:r>
    </w:p>
    <w:p w14:paraId="4A17E96C" w14:textId="77777777" w:rsidR="00D15F49" w:rsidRDefault="00FE1EB8" w:rsidP="00D15F49">
      <w:pPr>
        <w:spacing w:line="480" w:lineRule="auto"/>
        <w:ind w:firstLine="0"/>
      </w:pPr>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11</m:t>
                </m:r>
              </m:sub>
            </m:sSub>
          </m:den>
        </m:f>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12</m:t>
                </m:r>
              </m:sub>
            </m:sSub>
          </m:den>
        </m:f>
        <m:f>
          <m:fPr>
            <m:ctrlPr>
              <w:rPr>
                <w:rFonts w:ascii="Cambria Math" w:hAnsi="Cambria Math"/>
                <w:i/>
              </w:rPr>
            </m:ctrlPr>
          </m:fPr>
          <m:num>
            <m:r>
              <w:rPr>
                <w:rFonts w:ascii="Cambria Math" w:hAnsi="Cambria Math"/>
              </w:rPr>
              <m:t>1</m:t>
            </m:r>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r>
              <w:rPr>
                <w:rFonts w:ascii="Cambria Math" w:hAnsi="Cambria Math"/>
              </w:rPr>
              <m:t>)</m:t>
            </m:r>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21</m:t>
                </m:r>
              </m:sub>
            </m:sSub>
          </m:den>
        </m:f>
        <m:f>
          <m:fPr>
            <m:ctrlPr>
              <w:rPr>
                <w:rFonts w:ascii="Cambria Math" w:hAnsi="Cambria Math"/>
                <w:i/>
              </w:rPr>
            </m:ctrlPr>
          </m:fPr>
          <m:num>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num>
          <m:den>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21</m:t>
                </m:r>
              </m:sub>
            </m:sSub>
          </m:den>
        </m:f>
        <m:f>
          <m:fPr>
            <m:ctrlPr>
              <w:rPr>
                <w:rFonts w:ascii="Cambria Math" w:hAnsi="Cambria Math"/>
                <w:i/>
              </w:rPr>
            </m:ctrlPr>
          </m:fPr>
          <m:num>
            <m:r>
              <w:rPr>
                <w:rFonts w:ascii="Cambria Math" w:hAnsi="Cambria Math"/>
              </w:rPr>
              <m:t>1</m:t>
            </m:r>
          </m:num>
          <m:den>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 xml:space="preserve"> k</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m:t>
                </m:r>
              </m:den>
            </m:f>
            <m:r>
              <w:rPr>
                <w:rFonts w:ascii="Cambria Math" w:hAnsi="Cambria Math"/>
              </w:rPr>
              <m:t>)</m:t>
            </m:r>
          </m:den>
        </m:f>
      </m:oMath>
      <w:r w:rsidR="00D15F49">
        <w:t xml:space="preserve">  (D4)</w:t>
      </w:r>
    </w:p>
    <w:p w14:paraId="1262B977" w14:textId="77777777" w:rsidR="00D15F49" w:rsidRDefault="00D15F49" w:rsidP="00D15F49">
      <w:pPr>
        <w:spacing w:line="480" w:lineRule="auto"/>
        <w:ind w:firstLine="0"/>
      </w:pPr>
      <w:r>
        <w:t>The terms listed in D4 are arguably messy, which explains why Letten and others simplified terms of R* and c</w:t>
      </w:r>
      <w:r w:rsidRPr="001C3A64">
        <w:rPr>
          <w:vertAlign w:val="subscript"/>
        </w:rPr>
        <w:t>ii</w:t>
      </w:r>
      <w:r w:rsidRPr="00605C1B">
        <w:t xml:space="preserve">. </w:t>
      </w:r>
      <w:r>
        <w:t xml:space="preserve">Fortunately, when these interaction terms are used in Equations 3 and </w:t>
      </w:r>
      <w:proofErr w:type="gramStart"/>
      <w:r>
        <w:t>4</w:t>
      </w:r>
      <w:proofErr w:type="gramEnd"/>
      <w:r>
        <w:t xml:space="preserve"> they simplify to the form in the main text:</w:t>
      </w:r>
    </w:p>
    <w:p w14:paraId="7071CCEA" w14:textId="77777777" w:rsidR="00D15F49" w:rsidRPr="001C3A64" w:rsidRDefault="00D15F49" w:rsidP="00D15F49">
      <w:pPr>
        <w:spacing w:line="480" w:lineRule="auto"/>
        <w:ind w:firstLine="0"/>
      </w:pPr>
      <m:oMath>
        <m:r>
          <w:rPr>
            <w:rFonts w:ascii="Cambria Math" w:hAnsi="Cambria Math"/>
            <w:color w:val="000000" w:themeColor="text1"/>
          </w:rPr>
          <m:t xml:space="preserve"> ND=1- </m:t>
        </m:r>
        <m:rad>
          <m:radPr>
            <m:degHide m:val="1"/>
            <m:ctrlPr>
              <w:rPr>
                <w:rFonts w:ascii="Cambria Math" w:hAnsi="Cambria Math"/>
                <w:i/>
                <w:color w:val="000000" w:themeColor="text1"/>
              </w:rPr>
            </m:ctrlPr>
          </m:radPr>
          <m:deg/>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r>
          <w:rPr>
            <w:rFonts w:ascii="Cambria Math" w:hAnsi="Cambria Math"/>
            <w:color w:val="000000" w:themeColor="text1"/>
          </w:rPr>
          <m:t xml:space="preserve"> </m:t>
        </m:r>
      </m:oMath>
      <w:r w:rsidRPr="002D6445">
        <w:rPr>
          <w:color w:val="000000" w:themeColor="text1"/>
        </w:rPr>
        <w:tab/>
      </w:r>
    </w:p>
    <w:p w14:paraId="58CF202C" w14:textId="77777777" w:rsidR="00D15F49" w:rsidRPr="00605C1B" w:rsidRDefault="00D15F49" w:rsidP="00D15F49">
      <w:pPr>
        <w:spacing w:line="480" w:lineRule="auto"/>
        <w:ind w:firstLine="0"/>
      </w:pPr>
      <m:oMathPara>
        <m:oMathParaPr>
          <m:jc m:val="left"/>
        </m:oMathParaPr>
        <m:oMath>
          <m:r>
            <w:rPr>
              <w:rFonts w:ascii="Cambria Math" w:hAnsi="Cambria Math"/>
              <w:color w:val="000000" w:themeColor="text1"/>
            </w:rPr>
            <m:t xml:space="preserve"> RFD=</m:t>
          </m:r>
          <m:r>
            <m:rPr>
              <m:sty m:val="p"/>
            </m:rPr>
            <w:rPr>
              <w:rFonts w:ascii="Cambria Math" w:hAnsi="Cambria Math"/>
              <w:color w:val="000000" w:themeColor="text1"/>
            </w:rPr>
            <m:t xml:space="preserve"> </m:t>
          </m:r>
          <m:rad>
            <m:radPr>
              <m:degHide m:val="1"/>
              <m:ctrlPr>
                <w:rPr>
                  <w:rFonts w:ascii="Cambria Math" w:hAnsi="Cambria Math"/>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21</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12</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oMath>
      </m:oMathPara>
    </w:p>
    <w:p w14:paraId="1D1218DE" w14:textId="77777777" w:rsidR="00D15F49" w:rsidRPr="00605C1B" w:rsidRDefault="00D15F49" w:rsidP="00D15F49">
      <w:pPr>
        <w:spacing w:line="480" w:lineRule="auto"/>
        <w:ind w:firstLine="0"/>
      </w:pPr>
      <w:r>
        <w:t xml:space="preserve"> </w:t>
      </w:r>
    </w:p>
    <w:p w14:paraId="5A50D12B" w14:textId="77777777" w:rsidR="00D15F49" w:rsidRDefault="00D15F49" w:rsidP="00D15F49">
      <w:pPr>
        <w:spacing w:line="480" w:lineRule="auto"/>
        <w:ind w:firstLine="0"/>
      </w:pPr>
    </w:p>
    <w:p w14:paraId="3164B7BE" w14:textId="77777777" w:rsidR="000D7FAE" w:rsidRDefault="000D7FAE"/>
    <w:sectPr w:rsidR="000D7FAE" w:rsidSect="008472A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odwin, Casey" w:date="2020-04-06T15:09:00Z" w:initials="GC">
    <w:p w14:paraId="3701B6E9" w14:textId="34783803" w:rsidR="00FE1EB8" w:rsidRDefault="00FE1EB8">
      <w:pPr>
        <w:pStyle w:val="CommentText"/>
      </w:pPr>
      <w:r>
        <w:rPr>
          <w:rStyle w:val="CommentReference"/>
        </w:rPr>
        <w:annotationRef/>
      </w:r>
      <w:r>
        <w:t>Replace all figs with JPEG @ 400 DPI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01B6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01B6E9" w16cid:durableId="2235C4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Lucida Grande">
    <w:panose1 w:val="020B0600040502020204"/>
    <w:charset w:val="00"/>
    <w:family w:val="swiss"/>
    <w:pitch w:val="variable"/>
    <w:sig w:usb0="00000000" w:usb1="5000A1FF" w:usb2="00000000" w:usb3="00000000" w:csb0="000001BF" w:csb1="00000000"/>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C6B"/>
    <w:multiLevelType w:val="hybridMultilevel"/>
    <w:tmpl w:val="EA764752"/>
    <w:lvl w:ilvl="0" w:tplc="003098FE">
      <w:start w:val="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0FAD"/>
    <w:multiLevelType w:val="multilevel"/>
    <w:tmpl w:val="1FFAFE8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473842"/>
    <w:multiLevelType w:val="multilevel"/>
    <w:tmpl w:val="0D0280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6654D8"/>
    <w:multiLevelType w:val="multilevel"/>
    <w:tmpl w:val="4BC2CA5A"/>
    <w:lvl w:ilvl="0">
      <w:start w:val="1"/>
      <w:numFmt w:val="decimal"/>
      <w:lvlText w:val="%1"/>
      <w:lvlJc w:val="left"/>
      <w:pPr>
        <w:ind w:left="480" w:hanging="480"/>
      </w:pPr>
      <w:rPr>
        <w:rFonts w:hint="default"/>
        <w:i w:val="0"/>
      </w:rPr>
    </w:lvl>
    <w:lvl w:ilvl="1">
      <w:start w:val="6"/>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15:restartNumberingAfterBreak="0">
    <w:nsid w:val="09193C5F"/>
    <w:multiLevelType w:val="hybridMultilevel"/>
    <w:tmpl w:val="3C98F73A"/>
    <w:lvl w:ilvl="0" w:tplc="14462260">
      <w:start w:val="1"/>
      <w:numFmt w:val="decimal"/>
      <w:lvlText w:val="%1."/>
      <w:lvlJc w:val="left"/>
      <w:pPr>
        <w:ind w:left="1440" w:hanging="864"/>
      </w:pPr>
      <w:rPr>
        <w:rFonts w:hint="default"/>
        <w: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0AD2482E"/>
    <w:multiLevelType w:val="hybridMultilevel"/>
    <w:tmpl w:val="4A98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73AEB"/>
    <w:multiLevelType w:val="multilevel"/>
    <w:tmpl w:val="B2DC1D44"/>
    <w:lvl w:ilvl="0">
      <w:start w:val="1"/>
      <w:numFmt w:val="decimal"/>
      <w:lvlText w:val="%1"/>
      <w:lvlJc w:val="left"/>
      <w:pPr>
        <w:ind w:left="480" w:hanging="480"/>
      </w:pPr>
      <w:rPr>
        <w:rFonts w:hint="default"/>
      </w:rPr>
    </w:lvl>
    <w:lvl w:ilvl="1">
      <w:start w:val="3"/>
      <w:numFmt w:val="decimal"/>
      <w:lvlText w:val="%1.%2"/>
      <w:lvlJc w:val="left"/>
      <w:pPr>
        <w:ind w:left="57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0CF67D2C"/>
    <w:multiLevelType w:val="hybridMultilevel"/>
    <w:tmpl w:val="99CEFBD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16A20"/>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056D3B"/>
    <w:multiLevelType w:val="multilevel"/>
    <w:tmpl w:val="5CE2B1F6"/>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0" w15:restartNumberingAfterBreak="0">
    <w:nsid w:val="11AC3131"/>
    <w:multiLevelType w:val="hybridMultilevel"/>
    <w:tmpl w:val="BEAC5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D27C4E"/>
    <w:multiLevelType w:val="multilevel"/>
    <w:tmpl w:val="52CCC9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F81E28"/>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FF1CCF"/>
    <w:multiLevelType w:val="hybridMultilevel"/>
    <w:tmpl w:val="FDF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4696F"/>
    <w:multiLevelType w:val="hybridMultilevel"/>
    <w:tmpl w:val="474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7B0896"/>
    <w:multiLevelType w:val="hybridMultilevel"/>
    <w:tmpl w:val="E198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F175A"/>
    <w:multiLevelType w:val="hybridMultilevel"/>
    <w:tmpl w:val="9F74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45F65"/>
    <w:multiLevelType w:val="hybridMultilevel"/>
    <w:tmpl w:val="485A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17C2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67F7D5B"/>
    <w:multiLevelType w:val="hybridMultilevel"/>
    <w:tmpl w:val="F5EC1A52"/>
    <w:lvl w:ilvl="0" w:tplc="B76AD9E6">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318B7"/>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77E4CFF"/>
    <w:multiLevelType w:val="hybridMultilevel"/>
    <w:tmpl w:val="EB14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D4823"/>
    <w:multiLevelType w:val="multilevel"/>
    <w:tmpl w:val="8FAAF1E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E786F6C"/>
    <w:multiLevelType w:val="hybridMultilevel"/>
    <w:tmpl w:val="DA14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38364D"/>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7261FD"/>
    <w:multiLevelType w:val="hybridMultilevel"/>
    <w:tmpl w:val="B066BE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E586C"/>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59B087D"/>
    <w:multiLevelType w:val="hybridMultilevel"/>
    <w:tmpl w:val="AA02B058"/>
    <w:lvl w:ilvl="0" w:tplc="C1CC4F2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B74E29"/>
    <w:multiLevelType w:val="multilevel"/>
    <w:tmpl w:val="7C3EF56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1A419E"/>
    <w:multiLevelType w:val="multilevel"/>
    <w:tmpl w:val="2AD4565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34747E"/>
    <w:multiLevelType w:val="hybridMultilevel"/>
    <w:tmpl w:val="41C4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B878D1"/>
    <w:multiLevelType w:val="multilevel"/>
    <w:tmpl w:val="BEAC5C0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4F1B794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3" w15:restartNumberingAfterBreak="0">
    <w:nsid w:val="4F58275D"/>
    <w:multiLevelType w:val="multilevel"/>
    <w:tmpl w:val="2B7EDA5C"/>
    <w:lvl w:ilvl="0">
      <w:start w:val="1"/>
      <w:numFmt w:val="decimal"/>
      <w:lvlText w:val="%1."/>
      <w:lvlJc w:val="left"/>
      <w:pPr>
        <w:ind w:left="360" w:hanging="360"/>
      </w:pPr>
      <w:rPr>
        <w: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4F4D15"/>
    <w:multiLevelType w:val="multilevel"/>
    <w:tmpl w:val="5126B942"/>
    <w:lvl w:ilvl="0">
      <w:start w:val="1"/>
      <w:numFmt w:val="decimal"/>
      <w:lvlText w:val="%1"/>
      <w:lvlJc w:val="left"/>
      <w:pPr>
        <w:ind w:left="480" w:hanging="480"/>
      </w:pPr>
      <w:rPr>
        <w:rFonts w:hint="default"/>
      </w:rPr>
    </w:lvl>
    <w:lvl w:ilvl="1">
      <w:start w:val="5"/>
      <w:numFmt w:val="decimal"/>
      <w:lvlText w:val="%1.%2"/>
      <w:lvlJc w:val="left"/>
      <w:pPr>
        <w:ind w:left="0" w:firstLine="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8D53D2"/>
    <w:multiLevelType w:val="multilevel"/>
    <w:tmpl w:val="D1F42F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1E2FEB"/>
    <w:multiLevelType w:val="hybridMultilevel"/>
    <w:tmpl w:val="FBC67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270895"/>
    <w:multiLevelType w:val="hybridMultilevel"/>
    <w:tmpl w:val="9FA2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D554A"/>
    <w:multiLevelType w:val="hybridMultilevel"/>
    <w:tmpl w:val="BDB09B60"/>
    <w:lvl w:ilvl="0" w:tplc="3A52D966">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66C42CD4"/>
    <w:multiLevelType w:val="multilevel"/>
    <w:tmpl w:val="E9F2885A"/>
    <w:lvl w:ilvl="0">
      <w:start w:val="3"/>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0" w15:restartNumberingAfterBreak="0">
    <w:nsid w:val="68997079"/>
    <w:multiLevelType w:val="hybridMultilevel"/>
    <w:tmpl w:val="6AA25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5B55B7"/>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120FB7"/>
    <w:multiLevelType w:val="multilevel"/>
    <w:tmpl w:val="14B84F4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D97394"/>
    <w:multiLevelType w:val="multilevel"/>
    <w:tmpl w:val="AC20F1EC"/>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4" w15:restartNumberingAfterBreak="0">
    <w:nsid w:val="7363708C"/>
    <w:multiLevelType w:val="multilevel"/>
    <w:tmpl w:val="A50A015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AA6FD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780A606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7" w15:restartNumberingAfterBreak="0">
    <w:nsid w:val="7A916109"/>
    <w:multiLevelType w:val="multilevel"/>
    <w:tmpl w:val="42A29FC0"/>
    <w:lvl w:ilvl="0">
      <w:start w:val="1"/>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8" w15:restartNumberingAfterBreak="0">
    <w:nsid w:val="7EC23D90"/>
    <w:multiLevelType w:val="hybridMultilevel"/>
    <w:tmpl w:val="D81C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6"/>
  </w:num>
  <w:num w:numId="3">
    <w:abstractNumId w:val="10"/>
  </w:num>
  <w:num w:numId="4">
    <w:abstractNumId w:val="31"/>
  </w:num>
  <w:num w:numId="5">
    <w:abstractNumId w:val="19"/>
  </w:num>
  <w:num w:numId="6">
    <w:abstractNumId w:val="16"/>
  </w:num>
  <w:num w:numId="7">
    <w:abstractNumId w:val="0"/>
  </w:num>
  <w:num w:numId="8">
    <w:abstractNumId w:val="23"/>
  </w:num>
  <w:num w:numId="9">
    <w:abstractNumId w:val="11"/>
  </w:num>
  <w:num w:numId="10">
    <w:abstractNumId w:val="48"/>
  </w:num>
  <w:num w:numId="11">
    <w:abstractNumId w:val="30"/>
  </w:num>
  <w:num w:numId="12">
    <w:abstractNumId w:val="22"/>
  </w:num>
  <w:num w:numId="13">
    <w:abstractNumId w:val="14"/>
  </w:num>
  <w:num w:numId="14">
    <w:abstractNumId w:val="2"/>
  </w:num>
  <w:num w:numId="15">
    <w:abstractNumId w:val="45"/>
  </w:num>
  <w:num w:numId="16">
    <w:abstractNumId w:val="18"/>
  </w:num>
  <w:num w:numId="17">
    <w:abstractNumId w:val="26"/>
  </w:num>
  <w:num w:numId="18">
    <w:abstractNumId w:val="20"/>
  </w:num>
  <w:num w:numId="19">
    <w:abstractNumId w:val="6"/>
  </w:num>
  <w:num w:numId="20">
    <w:abstractNumId w:val="47"/>
  </w:num>
  <w:num w:numId="21">
    <w:abstractNumId w:val="34"/>
  </w:num>
  <w:num w:numId="22">
    <w:abstractNumId w:val="8"/>
  </w:num>
  <w:num w:numId="23">
    <w:abstractNumId w:val="38"/>
  </w:num>
  <w:num w:numId="24">
    <w:abstractNumId w:val="33"/>
  </w:num>
  <w:num w:numId="25">
    <w:abstractNumId w:val="4"/>
  </w:num>
  <w:num w:numId="26">
    <w:abstractNumId w:val="5"/>
  </w:num>
  <w:num w:numId="27">
    <w:abstractNumId w:val="15"/>
  </w:num>
  <w:num w:numId="28">
    <w:abstractNumId w:val="25"/>
  </w:num>
  <w:num w:numId="29">
    <w:abstractNumId w:val="7"/>
  </w:num>
  <w:num w:numId="30">
    <w:abstractNumId w:val="21"/>
  </w:num>
  <w:num w:numId="31">
    <w:abstractNumId w:val="12"/>
  </w:num>
  <w:num w:numId="32">
    <w:abstractNumId w:val="44"/>
  </w:num>
  <w:num w:numId="33">
    <w:abstractNumId w:val="43"/>
  </w:num>
  <w:num w:numId="34">
    <w:abstractNumId w:val="46"/>
  </w:num>
  <w:num w:numId="35">
    <w:abstractNumId w:val="32"/>
  </w:num>
  <w:num w:numId="36">
    <w:abstractNumId w:val="37"/>
  </w:num>
  <w:num w:numId="37">
    <w:abstractNumId w:val="17"/>
  </w:num>
  <w:num w:numId="38">
    <w:abstractNumId w:val="41"/>
  </w:num>
  <w:num w:numId="39">
    <w:abstractNumId w:val="24"/>
  </w:num>
  <w:num w:numId="40">
    <w:abstractNumId w:val="3"/>
  </w:num>
  <w:num w:numId="41">
    <w:abstractNumId w:val="39"/>
  </w:num>
  <w:num w:numId="42">
    <w:abstractNumId w:val="28"/>
  </w:num>
  <w:num w:numId="43">
    <w:abstractNumId w:val="35"/>
  </w:num>
  <w:num w:numId="44">
    <w:abstractNumId w:val="27"/>
  </w:num>
  <w:num w:numId="45">
    <w:abstractNumId w:val="9"/>
  </w:num>
  <w:num w:numId="46">
    <w:abstractNumId w:val="29"/>
  </w:num>
  <w:num w:numId="47">
    <w:abstractNumId w:val="40"/>
  </w:num>
  <w:num w:numId="48">
    <w:abstractNumId w:val="42"/>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dwin, Casey">
    <w15:presenceInfo w15:providerId="AD" w15:userId="S::cgodwin@umich.edu::f4598c88-1037-4f04-a103-89f4c9d8bc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F49"/>
    <w:rsid w:val="000053B8"/>
    <w:rsid w:val="000222AC"/>
    <w:rsid w:val="00053830"/>
    <w:rsid w:val="00095FFE"/>
    <w:rsid w:val="000A0434"/>
    <w:rsid w:val="000C0506"/>
    <w:rsid w:val="000D7FAE"/>
    <w:rsid w:val="0011361A"/>
    <w:rsid w:val="0014532B"/>
    <w:rsid w:val="001521CD"/>
    <w:rsid w:val="00165F34"/>
    <w:rsid w:val="00181F11"/>
    <w:rsid w:val="001F3BC0"/>
    <w:rsid w:val="00211413"/>
    <w:rsid w:val="0021475E"/>
    <w:rsid w:val="00272A9C"/>
    <w:rsid w:val="002822A5"/>
    <w:rsid w:val="003207C1"/>
    <w:rsid w:val="00322B74"/>
    <w:rsid w:val="00373736"/>
    <w:rsid w:val="003B314F"/>
    <w:rsid w:val="003D55C1"/>
    <w:rsid w:val="003E7042"/>
    <w:rsid w:val="004067CF"/>
    <w:rsid w:val="00483F52"/>
    <w:rsid w:val="005616F8"/>
    <w:rsid w:val="005B6701"/>
    <w:rsid w:val="005F387F"/>
    <w:rsid w:val="005F6068"/>
    <w:rsid w:val="006A54F3"/>
    <w:rsid w:val="006B67E0"/>
    <w:rsid w:val="006E0F76"/>
    <w:rsid w:val="006E648B"/>
    <w:rsid w:val="0073517E"/>
    <w:rsid w:val="00794058"/>
    <w:rsid w:val="00795248"/>
    <w:rsid w:val="007B0C8C"/>
    <w:rsid w:val="007B35B2"/>
    <w:rsid w:val="007D75B9"/>
    <w:rsid w:val="00820351"/>
    <w:rsid w:val="008472A6"/>
    <w:rsid w:val="008A20F5"/>
    <w:rsid w:val="008D44ED"/>
    <w:rsid w:val="008D6B07"/>
    <w:rsid w:val="009223CE"/>
    <w:rsid w:val="009F62DF"/>
    <w:rsid w:val="00A02268"/>
    <w:rsid w:val="00A1530E"/>
    <w:rsid w:val="00A667BD"/>
    <w:rsid w:val="00A83C5E"/>
    <w:rsid w:val="00A843D1"/>
    <w:rsid w:val="00AA3010"/>
    <w:rsid w:val="00AB412E"/>
    <w:rsid w:val="00AC04E4"/>
    <w:rsid w:val="00B03FFC"/>
    <w:rsid w:val="00B74631"/>
    <w:rsid w:val="00C3259F"/>
    <w:rsid w:val="00CB6102"/>
    <w:rsid w:val="00CF29F3"/>
    <w:rsid w:val="00D15F49"/>
    <w:rsid w:val="00D2683F"/>
    <w:rsid w:val="00D3796B"/>
    <w:rsid w:val="00D41630"/>
    <w:rsid w:val="00D76B9D"/>
    <w:rsid w:val="00D8408E"/>
    <w:rsid w:val="00DE4BD6"/>
    <w:rsid w:val="00E13230"/>
    <w:rsid w:val="00E830AA"/>
    <w:rsid w:val="00EA36A6"/>
    <w:rsid w:val="00EE6E69"/>
    <w:rsid w:val="00F0363F"/>
    <w:rsid w:val="00F33D7C"/>
    <w:rsid w:val="00F771A2"/>
    <w:rsid w:val="00FD1B24"/>
    <w:rsid w:val="00FE1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48B19"/>
  <w15:chartTrackingRefBased/>
  <w15:docId w15:val="{DCAE16DA-3F5B-A643-8861-748B64CAF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F49"/>
    <w:pPr>
      <w:spacing w:line="360" w:lineRule="auto"/>
      <w:ind w:firstLine="720"/>
      <w:contextualSpacing/>
    </w:pPr>
    <w:rPr>
      <w:rFonts w:ascii="Times New Roman" w:eastAsia="PMingLiU" w:hAnsi="Times New Roman" w:cs="Times New Roman"/>
      <w:lang w:val="en"/>
    </w:rPr>
  </w:style>
  <w:style w:type="paragraph" w:styleId="Heading1">
    <w:name w:val="heading 1"/>
    <w:basedOn w:val="Normal1"/>
    <w:next w:val="Normal1"/>
    <w:link w:val="Heading1Char"/>
    <w:rsid w:val="00D15F49"/>
    <w:pPr>
      <w:keepNext/>
      <w:keepLines/>
      <w:spacing w:before="400" w:after="120"/>
      <w:outlineLvl w:val="0"/>
    </w:pPr>
    <w:rPr>
      <w:sz w:val="40"/>
      <w:szCs w:val="40"/>
    </w:rPr>
  </w:style>
  <w:style w:type="paragraph" w:styleId="Heading2">
    <w:name w:val="heading 2"/>
    <w:basedOn w:val="Normal1"/>
    <w:next w:val="Normal1"/>
    <w:link w:val="Heading2Char"/>
    <w:rsid w:val="00D15F49"/>
    <w:pPr>
      <w:keepNext/>
      <w:keepLines/>
      <w:spacing w:before="360" w:after="120"/>
      <w:outlineLvl w:val="1"/>
    </w:pPr>
    <w:rPr>
      <w:sz w:val="32"/>
      <w:szCs w:val="32"/>
    </w:rPr>
  </w:style>
  <w:style w:type="paragraph" w:styleId="Heading3">
    <w:name w:val="heading 3"/>
    <w:basedOn w:val="Normal1"/>
    <w:next w:val="Normal1"/>
    <w:link w:val="Heading3Char"/>
    <w:rsid w:val="00D15F49"/>
    <w:pPr>
      <w:keepNext/>
      <w:keepLines/>
      <w:spacing w:before="320" w:after="80"/>
      <w:outlineLvl w:val="2"/>
    </w:pPr>
    <w:rPr>
      <w:color w:val="434343"/>
      <w:sz w:val="28"/>
      <w:szCs w:val="28"/>
    </w:rPr>
  </w:style>
  <w:style w:type="paragraph" w:styleId="Heading4">
    <w:name w:val="heading 4"/>
    <w:basedOn w:val="Normal1"/>
    <w:next w:val="Normal1"/>
    <w:link w:val="Heading4Char"/>
    <w:rsid w:val="00D15F49"/>
    <w:pPr>
      <w:keepNext/>
      <w:keepLines/>
      <w:spacing w:before="280" w:after="80"/>
      <w:outlineLvl w:val="3"/>
    </w:pPr>
    <w:rPr>
      <w:color w:val="666666"/>
      <w:sz w:val="24"/>
      <w:szCs w:val="24"/>
    </w:rPr>
  </w:style>
  <w:style w:type="paragraph" w:styleId="Heading5">
    <w:name w:val="heading 5"/>
    <w:basedOn w:val="Normal1"/>
    <w:next w:val="Normal1"/>
    <w:link w:val="Heading5Char"/>
    <w:rsid w:val="00D15F49"/>
    <w:pPr>
      <w:keepNext/>
      <w:keepLines/>
      <w:spacing w:before="240" w:after="80"/>
      <w:outlineLvl w:val="4"/>
    </w:pPr>
    <w:rPr>
      <w:color w:val="666666"/>
    </w:rPr>
  </w:style>
  <w:style w:type="paragraph" w:styleId="Heading6">
    <w:name w:val="heading 6"/>
    <w:basedOn w:val="Normal1"/>
    <w:next w:val="Normal1"/>
    <w:link w:val="Heading6Char"/>
    <w:rsid w:val="00D15F4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5F49"/>
    <w:rPr>
      <w:rFonts w:ascii="Arial" w:eastAsia="PMingLiU" w:hAnsi="Arial" w:cs="Arial"/>
      <w:sz w:val="40"/>
      <w:szCs w:val="40"/>
      <w:lang w:val="en"/>
    </w:rPr>
  </w:style>
  <w:style w:type="character" w:customStyle="1" w:styleId="Heading2Char">
    <w:name w:val="Heading 2 Char"/>
    <w:basedOn w:val="DefaultParagraphFont"/>
    <w:link w:val="Heading2"/>
    <w:rsid w:val="00D15F49"/>
    <w:rPr>
      <w:rFonts w:ascii="Arial" w:eastAsia="PMingLiU" w:hAnsi="Arial" w:cs="Arial"/>
      <w:sz w:val="32"/>
      <w:szCs w:val="32"/>
      <w:lang w:val="en"/>
    </w:rPr>
  </w:style>
  <w:style w:type="character" w:customStyle="1" w:styleId="Heading3Char">
    <w:name w:val="Heading 3 Char"/>
    <w:basedOn w:val="DefaultParagraphFont"/>
    <w:link w:val="Heading3"/>
    <w:rsid w:val="00D15F49"/>
    <w:rPr>
      <w:rFonts w:ascii="Arial" w:eastAsia="PMingLiU" w:hAnsi="Arial" w:cs="Arial"/>
      <w:color w:val="434343"/>
      <w:sz w:val="28"/>
      <w:szCs w:val="28"/>
      <w:lang w:val="en"/>
    </w:rPr>
  </w:style>
  <w:style w:type="character" w:customStyle="1" w:styleId="Heading4Char">
    <w:name w:val="Heading 4 Char"/>
    <w:basedOn w:val="DefaultParagraphFont"/>
    <w:link w:val="Heading4"/>
    <w:rsid w:val="00D15F49"/>
    <w:rPr>
      <w:rFonts w:ascii="Arial" w:eastAsia="PMingLiU" w:hAnsi="Arial" w:cs="Arial"/>
      <w:color w:val="666666"/>
      <w:lang w:val="en"/>
    </w:rPr>
  </w:style>
  <w:style w:type="character" w:customStyle="1" w:styleId="Heading5Char">
    <w:name w:val="Heading 5 Char"/>
    <w:basedOn w:val="DefaultParagraphFont"/>
    <w:link w:val="Heading5"/>
    <w:rsid w:val="00D15F49"/>
    <w:rPr>
      <w:rFonts w:ascii="Arial" w:eastAsia="PMingLiU" w:hAnsi="Arial" w:cs="Arial"/>
      <w:color w:val="666666"/>
      <w:sz w:val="22"/>
      <w:szCs w:val="22"/>
      <w:lang w:val="en"/>
    </w:rPr>
  </w:style>
  <w:style w:type="character" w:customStyle="1" w:styleId="Heading6Char">
    <w:name w:val="Heading 6 Char"/>
    <w:basedOn w:val="DefaultParagraphFont"/>
    <w:link w:val="Heading6"/>
    <w:rsid w:val="00D15F49"/>
    <w:rPr>
      <w:rFonts w:ascii="Arial" w:eastAsia="PMingLiU" w:hAnsi="Arial" w:cs="Arial"/>
      <w:i/>
      <w:color w:val="666666"/>
      <w:sz w:val="22"/>
      <w:szCs w:val="22"/>
      <w:lang w:val="en"/>
    </w:rPr>
  </w:style>
  <w:style w:type="paragraph" w:customStyle="1" w:styleId="Normal1">
    <w:name w:val="Normal1"/>
    <w:link w:val="Normal1Char"/>
    <w:rsid w:val="00D15F49"/>
    <w:pPr>
      <w:spacing w:line="276" w:lineRule="auto"/>
      <w:contextualSpacing/>
    </w:pPr>
    <w:rPr>
      <w:rFonts w:ascii="Arial" w:eastAsia="PMingLiU" w:hAnsi="Arial" w:cs="Arial"/>
      <w:sz w:val="22"/>
      <w:szCs w:val="22"/>
      <w:lang w:val="en"/>
    </w:rPr>
  </w:style>
  <w:style w:type="paragraph" w:styleId="Title">
    <w:name w:val="Title"/>
    <w:basedOn w:val="Normal1"/>
    <w:next w:val="Normal1"/>
    <w:link w:val="TitleChar"/>
    <w:rsid w:val="00D15F49"/>
    <w:pPr>
      <w:keepNext/>
      <w:keepLines/>
      <w:spacing w:after="60"/>
    </w:pPr>
    <w:rPr>
      <w:sz w:val="52"/>
      <w:szCs w:val="52"/>
    </w:rPr>
  </w:style>
  <w:style w:type="character" w:customStyle="1" w:styleId="TitleChar">
    <w:name w:val="Title Char"/>
    <w:basedOn w:val="DefaultParagraphFont"/>
    <w:link w:val="Title"/>
    <w:rsid w:val="00D15F49"/>
    <w:rPr>
      <w:rFonts w:ascii="Arial" w:eastAsia="PMingLiU" w:hAnsi="Arial" w:cs="Arial"/>
      <w:sz w:val="52"/>
      <w:szCs w:val="52"/>
      <w:lang w:val="en"/>
    </w:rPr>
  </w:style>
  <w:style w:type="paragraph" w:styleId="Subtitle">
    <w:name w:val="Subtitle"/>
    <w:basedOn w:val="Normal1"/>
    <w:next w:val="Normal1"/>
    <w:link w:val="SubtitleChar"/>
    <w:rsid w:val="00D15F49"/>
    <w:pPr>
      <w:keepNext/>
      <w:keepLines/>
      <w:spacing w:after="320"/>
    </w:pPr>
    <w:rPr>
      <w:color w:val="666666"/>
      <w:sz w:val="30"/>
      <w:szCs w:val="30"/>
    </w:rPr>
  </w:style>
  <w:style w:type="character" w:customStyle="1" w:styleId="SubtitleChar">
    <w:name w:val="Subtitle Char"/>
    <w:basedOn w:val="DefaultParagraphFont"/>
    <w:link w:val="Subtitle"/>
    <w:rsid w:val="00D15F49"/>
    <w:rPr>
      <w:rFonts w:ascii="Arial" w:eastAsia="PMingLiU" w:hAnsi="Arial" w:cs="Arial"/>
      <w:color w:val="666666"/>
      <w:sz w:val="30"/>
      <w:szCs w:val="30"/>
      <w:lang w:val="en"/>
    </w:rPr>
  </w:style>
  <w:style w:type="paragraph" w:styleId="CommentText">
    <w:name w:val="annotation text"/>
    <w:basedOn w:val="Normal"/>
    <w:link w:val="CommentTextChar"/>
    <w:uiPriority w:val="99"/>
    <w:unhideWhenUsed/>
    <w:rsid w:val="00D15F49"/>
    <w:pPr>
      <w:spacing w:line="240" w:lineRule="auto"/>
    </w:pPr>
  </w:style>
  <w:style w:type="character" w:customStyle="1" w:styleId="CommentTextChar">
    <w:name w:val="Comment Text Char"/>
    <w:basedOn w:val="DefaultParagraphFont"/>
    <w:link w:val="CommentText"/>
    <w:uiPriority w:val="99"/>
    <w:rsid w:val="00D15F49"/>
    <w:rPr>
      <w:rFonts w:ascii="Times New Roman" w:eastAsia="PMingLiU" w:hAnsi="Times New Roman" w:cs="Times New Roman"/>
      <w:lang w:val="en"/>
    </w:rPr>
  </w:style>
  <w:style w:type="character" w:styleId="CommentReference">
    <w:name w:val="annotation reference"/>
    <w:uiPriority w:val="99"/>
    <w:semiHidden/>
    <w:unhideWhenUsed/>
    <w:rsid w:val="00D15F49"/>
    <w:rPr>
      <w:sz w:val="18"/>
      <w:szCs w:val="18"/>
    </w:rPr>
  </w:style>
  <w:style w:type="paragraph" w:styleId="BalloonText">
    <w:name w:val="Balloon Text"/>
    <w:basedOn w:val="Normal"/>
    <w:link w:val="BalloonTextChar"/>
    <w:uiPriority w:val="99"/>
    <w:semiHidden/>
    <w:unhideWhenUsed/>
    <w:rsid w:val="00D15F4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5F49"/>
    <w:rPr>
      <w:rFonts w:ascii="Lucida Grande" w:eastAsia="PMingLiU" w:hAnsi="Lucida Grande" w:cs="Lucida Grande"/>
      <w:sz w:val="18"/>
      <w:szCs w:val="18"/>
      <w:lang w:val="en"/>
    </w:rPr>
  </w:style>
  <w:style w:type="paragraph" w:styleId="CommentSubject">
    <w:name w:val="annotation subject"/>
    <w:basedOn w:val="CommentText"/>
    <w:next w:val="CommentText"/>
    <w:link w:val="CommentSubjectChar"/>
    <w:uiPriority w:val="99"/>
    <w:semiHidden/>
    <w:unhideWhenUsed/>
    <w:rsid w:val="00D15F49"/>
    <w:rPr>
      <w:b/>
      <w:bCs/>
      <w:sz w:val="20"/>
      <w:szCs w:val="20"/>
    </w:rPr>
  </w:style>
  <w:style w:type="character" w:customStyle="1" w:styleId="CommentSubjectChar">
    <w:name w:val="Comment Subject Char"/>
    <w:basedOn w:val="CommentTextChar"/>
    <w:link w:val="CommentSubject"/>
    <w:uiPriority w:val="99"/>
    <w:semiHidden/>
    <w:rsid w:val="00D15F49"/>
    <w:rPr>
      <w:rFonts w:ascii="Times New Roman" w:eastAsia="PMingLiU" w:hAnsi="Times New Roman" w:cs="Times New Roman"/>
      <w:b/>
      <w:bCs/>
      <w:sz w:val="20"/>
      <w:szCs w:val="20"/>
      <w:lang w:val="en"/>
    </w:rPr>
  </w:style>
  <w:style w:type="character" w:styleId="PlaceholderText">
    <w:name w:val="Placeholder Text"/>
    <w:uiPriority w:val="99"/>
    <w:semiHidden/>
    <w:rsid w:val="00D15F49"/>
    <w:rPr>
      <w:color w:val="808080"/>
    </w:rPr>
  </w:style>
  <w:style w:type="paragraph" w:styleId="Header">
    <w:name w:val="header"/>
    <w:basedOn w:val="Normal"/>
    <w:link w:val="HeaderChar"/>
    <w:uiPriority w:val="99"/>
    <w:unhideWhenUsed/>
    <w:rsid w:val="00D15F49"/>
    <w:pPr>
      <w:tabs>
        <w:tab w:val="center" w:pos="4320"/>
        <w:tab w:val="right" w:pos="8640"/>
      </w:tabs>
      <w:spacing w:line="240" w:lineRule="auto"/>
    </w:pPr>
  </w:style>
  <w:style w:type="character" w:customStyle="1" w:styleId="HeaderChar">
    <w:name w:val="Header Char"/>
    <w:basedOn w:val="DefaultParagraphFont"/>
    <w:link w:val="Header"/>
    <w:uiPriority w:val="99"/>
    <w:rsid w:val="00D15F49"/>
    <w:rPr>
      <w:rFonts w:ascii="Times New Roman" w:eastAsia="PMingLiU" w:hAnsi="Times New Roman" w:cs="Times New Roman"/>
      <w:lang w:val="en"/>
    </w:rPr>
  </w:style>
  <w:style w:type="paragraph" w:styleId="Footer">
    <w:name w:val="footer"/>
    <w:basedOn w:val="Normal"/>
    <w:link w:val="FooterChar"/>
    <w:uiPriority w:val="99"/>
    <w:unhideWhenUsed/>
    <w:rsid w:val="00D15F49"/>
    <w:pPr>
      <w:tabs>
        <w:tab w:val="center" w:pos="4320"/>
        <w:tab w:val="right" w:pos="8640"/>
      </w:tabs>
      <w:spacing w:line="240" w:lineRule="auto"/>
    </w:pPr>
  </w:style>
  <w:style w:type="character" w:customStyle="1" w:styleId="FooterChar">
    <w:name w:val="Footer Char"/>
    <w:basedOn w:val="DefaultParagraphFont"/>
    <w:link w:val="Footer"/>
    <w:uiPriority w:val="99"/>
    <w:rsid w:val="00D15F49"/>
    <w:rPr>
      <w:rFonts w:ascii="Times New Roman" w:eastAsia="PMingLiU" w:hAnsi="Times New Roman" w:cs="Times New Roman"/>
      <w:lang w:val="en"/>
    </w:rPr>
  </w:style>
  <w:style w:type="table" w:styleId="TableGrid">
    <w:name w:val="Table Grid"/>
    <w:basedOn w:val="TableNormal"/>
    <w:uiPriority w:val="59"/>
    <w:rsid w:val="00D15F49"/>
    <w:pPr>
      <w:contextualSpacing/>
    </w:pPr>
    <w:rPr>
      <w:rFonts w:ascii="Arial" w:eastAsia="PMingLiU"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15F49"/>
  </w:style>
  <w:style w:type="paragraph" w:styleId="NormalWeb">
    <w:name w:val="Normal (Web)"/>
    <w:basedOn w:val="Normal"/>
    <w:uiPriority w:val="99"/>
    <w:semiHidden/>
    <w:unhideWhenUsed/>
    <w:rsid w:val="00D15F49"/>
    <w:pPr>
      <w:spacing w:before="100" w:beforeAutospacing="1" w:after="100" w:afterAutospacing="1" w:line="240" w:lineRule="auto"/>
      <w:contextualSpacing w:val="0"/>
    </w:pPr>
    <w:rPr>
      <w:rFonts w:eastAsia="Times New Roman"/>
      <w:lang w:val="en-US"/>
    </w:rPr>
  </w:style>
  <w:style w:type="paragraph" w:customStyle="1" w:styleId="EndNoteBibliographyTitle">
    <w:name w:val="EndNote Bibliography Title"/>
    <w:basedOn w:val="Normal"/>
    <w:link w:val="EndNoteBibliographyTitleChar"/>
    <w:rsid w:val="00D15F49"/>
    <w:pPr>
      <w:jc w:val="center"/>
    </w:pPr>
    <w:rPr>
      <w:noProof/>
      <w:sz w:val="22"/>
      <w:szCs w:val="22"/>
    </w:rPr>
  </w:style>
  <w:style w:type="character" w:customStyle="1" w:styleId="Normal1Char">
    <w:name w:val="Normal1 Char"/>
    <w:link w:val="Normal1"/>
    <w:rsid w:val="00D15F49"/>
    <w:rPr>
      <w:rFonts w:ascii="Arial" w:eastAsia="PMingLiU" w:hAnsi="Arial" w:cs="Arial"/>
      <w:sz w:val="22"/>
      <w:szCs w:val="22"/>
      <w:lang w:val="en"/>
    </w:rPr>
  </w:style>
  <w:style w:type="character" w:customStyle="1" w:styleId="EndNoteBibliographyTitleChar">
    <w:name w:val="EndNote Bibliography Title Char"/>
    <w:link w:val="EndNoteBibliographyTitle"/>
    <w:rsid w:val="00D15F49"/>
    <w:rPr>
      <w:rFonts w:ascii="Times New Roman" w:eastAsia="PMingLiU" w:hAnsi="Times New Roman" w:cs="Times New Roman"/>
      <w:noProof/>
      <w:sz w:val="22"/>
      <w:szCs w:val="22"/>
      <w:lang w:val="en"/>
    </w:rPr>
  </w:style>
  <w:style w:type="paragraph" w:customStyle="1" w:styleId="EndNoteBibliography">
    <w:name w:val="EndNote Bibliography"/>
    <w:basedOn w:val="Normal"/>
    <w:link w:val="EndNoteBibliographyChar"/>
    <w:rsid w:val="00D15F49"/>
    <w:pPr>
      <w:spacing w:line="480" w:lineRule="auto"/>
    </w:pPr>
    <w:rPr>
      <w:noProof/>
      <w:sz w:val="22"/>
      <w:szCs w:val="22"/>
    </w:rPr>
  </w:style>
  <w:style w:type="character" w:customStyle="1" w:styleId="EndNoteBibliographyChar">
    <w:name w:val="EndNote Bibliography Char"/>
    <w:link w:val="EndNoteBibliography"/>
    <w:rsid w:val="00D15F49"/>
    <w:rPr>
      <w:rFonts w:ascii="Times New Roman" w:eastAsia="PMingLiU" w:hAnsi="Times New Roman" w:cs="Times New Roman"/>
      <w:noProof/>
      <w:sz w:val="22"/>
      <w:szCs w:val="22"/>
      <w:lang w:val="en"/>
    </w:rPr>
  </w:style>
  <w:style w:type="character" w:customStyle="1" w:styleId="fontstyle01">
    <w:name w:val="fontstyle01"/>
    <w:rsid w:val="00D15F49"/>
    <w:rPr>
      <w:rFonts w:ascii="CMMI12" w:hAnsi="CMMI12" w:hint="default"/>
      <w:b w:val="0"/>
      <w:bCs w:val="0"/>
      <w:i/>
      <w:iCs/>
      <w:color w:val="000000"/>
      <w:sz w:val="24"/>
      <w:szCs w:val="24"/>
    </w:rPr>
  </w:style>
  <w:style w:type="character" w:customStyle="1" w:styleId="fontstyle21">
    <w:name w:val="fontstyle21"/>
    <w:rsid w:val="00D15F49"/>
    <w:rPr>
      <w:rFonts w:ascii="CMR12" w:hAnsi="CMR12"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D1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eastAsia="zh-TW"/>
    </w:rPr>
  </w:style>
  <w:style w:type="character" w:customStyle="1" w:styleId="HTMLPreformattedChar">
    <w:name w:val="HTML Preformatted Char"/>
    <w:basedOn w:val="DefaultParagraphFont"/>
    <w:link w:val="HTMLPreformatted"/>
    <w:uiPriority w:val="99"/>
    <w:semiHidden/>
    <w:rsid w:val="00D15F49"/>
    <w:rPr>
      <w:rFonts w:ascii="Courier New" w:eastAsia="Times New Roman" w:hAnsi="Courier New" w:cs="Courier New"/>
      <w:sz w:val="20"/>
      <w:szCs w:val="20"/>
      <w:lang w:eastAsia="zh-TW"/>
    </w:rPr>
  </w:style>
  <w:style w:type="paragraph" w:styleId="ListParagraph">
    <w:name w:val="List Paragraph"/>
    <w:basedOn w:val="Normal"/>
    <w:uiPriority w:val="34"/>
    <w:qFormat/>
    <w:rsid w:val="00D15F49"/>
    <w:pPr>
      <w:ind w:left="720"/>
    </w:pPr>
  </w:style>
  <w:style w:type="paragraph" w:styleId="Date">
    <w:name w:val="Date"/>
    <w:basedOn w:val="Normal"/>
    <w:next w:val="Normal"/>
    <w:link w:val="DateChar"/>
    <w:uiPriority w:val="99"/>
    <w:semiHidden/>
    <w:unhideWhenUsed/>
    <w:rsid w:val="00D15F49"/>
  </w:style>
  <w:style w:type="character" w:customStyle="1" w:styleId="DateChar">
    <w:name w:val="Date Char"/>
    <w:basedOn w:val="DefaultParagraphFont"/>
    <w:link w:val="Date"/>
    <w:uiPriority w:val="99"/>
    <w:semiHidden/>
    <w:rsid w:val="00D15F49"/>
    <w:rPr>
      <w:rFonts w:ascii="Times New Roman" w:eastAsia="PMingLiU" w:hAnsi="Times New Roman" w:cs="Times New Roman"/>
      <w:lang w:val="en"/>
    </w:rPr>
  </w:style>
  <w:style w:type="paragraph" w:styleId="Revision">
    <w:name w:val="Revision"/>
    <w:hidden/>
    <w:uiPriority w:val="99"/>
    <w:semiHidden/>
    <w:rsid w:val="00D15F49"/>
    <w:rPr>
      <w:rFonts w:ascii="Arial" w:eastAsia="PMingLiU" w:hAnsi="Arial" w:cs="Arial"/>
      <w:sz w:val="22"/>
      <w:szCs w:val="22"/>
      <w:lang w:val="en"/>
    </w:rPr>
  </w:style>
  <w:style w:type="character" w:styleId="PageNumber">
    <w:name w:val="page number"/>
    <w:basedOn w:val="DefaultParagraphFont"/>
    <w:uiPriority w:val="99"/>
    <w:semiHidden/>
    <w:unhideWhenUsed/>
    <w:rsid w:val="00D1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2524</Words>
  <Characters>14390</Characters>
  <Application>Microsoft Office Word</Application>
  <DocSecurity>0</DocSecurity>
  <Lines>119</Lines>
  <Paragraphs>33</Paragraphs>
  <ScaleCrop>false</ScaleCrop>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Casey</dc:creator>
  <cp:keywords/>
  <dc:description/>
  <cp:lastModifiedBy>Godwin, Casey</cp:lastModifiedBy>
  <cp:revision>3</cp:revision>
  <dcterms:created xsi:type="dcterms:W3CDTF">2020-04-06T19:01:00Z</dcterms:created>
  <dcterms:modified xsi:type="dcterms:W3CDTF">2020-04-06T19:14:00Z</dcterms:modified>
</cp:coreProperties>
</file>