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both"/>
      </w:pPr>
      <w:r>
        <w:rPr/>
        <w:pict>
          <v:shape w:id="textboxId12" style="width:360pt;height:106pt;">
            <v:textbox>
              <w:txbxContent>
                <w:p>
                  <w:pPr>
                    <w:jc w:val="center"/>
                  </w:pPr>
                  <w:r>
                    <w:rPr>
                      <w:rFonts w:ascii="Arial" w:cs="Arial" w:hAnsi="Arial"/>
                      <w:b/>
                      <w:sz w:val="28"/>
                    </w:rPr>
                    <w:t xml:space="preserve">ITESO</w:t>
                  </w:r>
                </w:p>
                <w:p>
                  <w:pPr>
                    <w:jc w:val="center"/>
                  </w:pPr>
                  <w:r>
                    <w:rPr>
                      <w:rFonts w:ascii="Arial" w:cs="Arial" w:hAnsi="Arial"/>
                      <w:b/>
                      <w:sz w:val="28"/>
                    </w:rPr>
                    <w:t xml:space="preserve">DEPARTAMENTO DE MATEMÁTICAS Y FÍSICA</w:t>
                  </w:r>
                </w:p>
                <w:p>
                  <w:pPr>
                    <w:jc w:val="center"/>
                  </w:pPr>
                  <w:r>
                    <w:rPr>
                      <w:rFonts w:ascii="Arial" w:cs="Arial" w:hAnsi="Arial"/>
                    </w:rPr>
                    <w:t xml:space="preserve">Asignatura: Ciencia de Datos e Inteligencia de Negocios</w:t>
                  </w:r>
                </w:p>
                <w:p>
                  <w:pPr>
                    <w:jc w:val="center"/>
                  </w:pPr>
                  <w:r>
                    <w:rPr>
                      <w:rFonts w:ascii="Arial" w:cs="Arial" w:hAnsi="Arial"/>
                    </w:rPr>
                    <w:t xml:space="preserve">EXAMEN (Medición Estadística de Datos y Medidas de Similitud)</w:t>
                  </w:r>
                </w:p>
              </w:txbxContent>
            </v:textbox>
          </v:shape>
        </w:pict>
      </w:r>
    </w:p>
    <w:p>
      <w:pPr>
        <w:jc w:val="both"/>
      </w:pPr>
    </w:p>
    <w:p>
      <w:pPr>
        <w:jc w:val="both"/>
      </w:pPr>
    </w:p>
    <w:p>
      <w:pPr>
        <w:jc w:val="both"/>
      </w:pPr>
    </w:p>
    <w:p>
      <w:pPr>
        <w:jc w:val="both"/>
        <w:spacing w:line="240" w:lineRule="auto"/>
      </w:pPr>
    </w:p>
    <w:p>
      <w:pPr>
        <w:jc w:val="both"/>
        <w:spacing w:line="240" w:lineRule="auto"/>
      </w:pPr>
      <w:r>
        <w:rPr/>
        <w:t xml:space="preserve">Nombre: 	Oscar Eduardo Flores Hernández</w:t>
      </w:r>
    </w:p>
    <w:p>
      <w:pPr>
        <w:jc w:val="both"/>
        <w:spacing w:line="240" w:lineRule="auto"/>
      </w:pPr>
    </w:p>
    <w:p>
      <w:pPr>
        <w:jc w:val="both"/>
        <w:spacing w:line="240" w:lineRule="auto"/>
      </w:pPr>
      <w:r>
        <w:rPr/>
        <w:t xml:space="preserve">Lea detenidamente los reactivos y responda con claridad. Si se requiere hacer uso de hojas impresas para la realización de cálculos, es necesario que se adjunten en forma digital cuando se haga entrega del examen.</w:t>
      </w:r>
    </w:p>
    <w:p>
      <w:pPr>
        <w:jc w:val="both"/>
        <w:spacing w:line="240" w:lineRule="auto"/>
      </w:pPr>
    </w:p>
    <w:p>
      <w:pPr>
        <w:pStyle w:val="List Paragraph"/>
        <w:jc w:val="both"/>
        <w:ind w:hanging="360"/>
        <w:ind w:left="360"/>
        <w:spacing w:line="240" w:lineRule="auto"/>
        <w:numPr>
          <w:ilvl w:val="0"/>
          <w:numId w:val="1117000"/>
        </w:numPr>
      </w:pPr>
      <w:r>
        <w:rPr/>
        <w:t xml:space="preserve">(2 puntos) Explique cuáles son y cuáles son sus características de los diferentes tipos de datos que podemos encontrar. </w:t>
      </w:r>
    </w:p>
    <w:p>
      <w:pPr>
        <w:pStyle w:val="List Paragraph"/>
        <w:jc w:val="both"/>
        <w:ind w:left="360"/>
        <w:spacing w:line="240" w:lineRule="auto"/>
      </w:pPr>
      <w:r>
        <w:rPr/>
        <w:t xml:space="preserve">Existen 5 tipos de datos: </w:t>
      </w:r>
    </w:p>
    <w:p>
      <w:pPr>
        <w:pStyle w:val="List Paragraph"/>
        <w:jc w:val="both"/>
        <w:ind w:hanging="432"/>
        <w:ind w:left="1080"/>
        <w:spacing w:line="240" w:lineRule="auto"/>
        <w:numPr>
          <w:ilvl w:val="1"/>
          <w:numId w:val="11100011"/>
        </w:numPr>
      </w:pPr>
      <w:r>
        <w:rPr/>
        <w:t xml:space="preserve"/>
      </w:r>
      <w:r>
        <w:rPr>
          <w:lang w:val="ar-SA"/>
          <w:rFonts w:ascii="Times New Roman" w:cs="Times New Roman" w:hAnsi="Times New Roman"/>
          <w:sz w:val="22"/>
          <w:color w:val="000000"/>
          <w:shd w:fill="ffffff"/>
        </w:rPr>
        <w:t xml:space="preserve">Binarios; Están compuestos por datos con únicamente dos opciones (verdadero/falso), (si/no), (1/0), ... Representan  una dualidad y se utilizan métricas como Jaccard y emparejamiento simple para encontrar similaridades entre ellos. </w:t>
      </w:r>
    </w:p>
    <w:p>
      <w:pPr>
        <w:pStyle w:val="List Paragraph"/>
        <w:jc w:val="both"/>
        <w:ind w:hanging="432"/>
        <w:ind w:left="1080"/>
        <w:spacing w:line="240" w:lineRule="auto"/>
        <w:numPr>
          <w:ilvl w:val="1"/>
          <w:numId w:val="11100011"/>
        </w:numPr>
      </w:pPr>
      <w:r>
        <w:rPr/>
        <w:t xml:space="preserve"/>
      </w:r>
      <w:r>
        <w:rPr>
          <w:lang w:val="ar-SA"/>
          <w:rFonts w:ascii="Times New Roman" w:cs="Times New Roman" w:hAnsi="Times New Roman"/>
          <w:sz w:val="22"/>
          <w:color w:val="000000"/>
          <w:shd w:fill="ffffff"/>
        </w:rPr>
        <w:t xml:space="preserve">Nominales; Los nominales son aquellos que pueden tener varios estados y no necesariamente afecta el orden de los factores. El caso más representativo sería decir que los colores pueden ser representados como (azul = 1, rojo = 2, negro = 3, ...), son muy similares a los binarios en cuanto a los calculos a ejecutar, sin embargo, para llegar a ser calculados se les tiene que convertir en variables ‘dummy’, que prácticamente cambian sus clasificaciones a binarias. </w:t>
      </w:r>
    </w:p>
    <w:p>
      <w:pPr>
        <w:pStyle w:val="List Paragraph"/>
        <w:jc w:val="both"/>
        <w:ind w:hanging="432"/>
        <w:ind w:left="1080"/>
        <w:spacing w:line="240" w:lineRule="auto"/>
        <w:numPr>
          <w:ilvl w:val="1"/>
          <w:numId w:val="11100011"/>
        </w:numPr>
      </w:pPr>
      <w:r>
        <w:rPr/>
        <w:t xml:space="preserve"/>
      </w:r>
      <w:r>
        <w:rPr>
          <w:lang w:val="ar-SA"/>
          <w:rFonts w:ascii="Times New Roman" w:cs="Times New Roman" w:hAnsi="Times New Roman"/>
          <w:sz w:val="22"/>
          <w:color w:val="000000"/>
          <w:shd w:fill="ffffff"/>
        </w:rPr>
        <w:t xml:space="preserve">Ordinales; Muy similares a las nominales, pueden tener muchos valores distintos (multiestado), sin embargo, en estos sí importa el orden en el cuál son presentados. Como ejemplo se podría suponer la cantidad de cuartos en una casa (1,2,3, ... 7?) en el que claramente 3 cuartos son más que 2 cuartos. Su principal característica es que no se puede tener 1/2 cuarto.</w:t>
      </w:r>
    </w:p>
    <w:p>
      <w:pPr>
        <w:pStyle w:val="List Paragraph"/>
        <w:jc w:val="both"/>
        <w:ind w:hanging="432"/>
        <w:ind w:left="1080"/>
        <w:spacing w:line="240" w:lineRule="auto"/>
        <w:numPr>
          <w:ilvl w:val="1"/>
          <w:numId w:val="11100011"/>
        </w:numPr>
      </w:pPr>
      <w:r>
        <w:rPr/>
        <w:t xml:space="preserve"/>
      </w:r>
      <w:r>
        <w:rPr>
          <w:lang w:val="ar-SA"/>
          <w:rFonts w:ascii="Times New Roman" w:cs="Times New Roman" w:hAnsi="Times New Roman"/>
          <w:sz w:val="22"/>
          <w:color w:val="000000"/>
          <w:shd w:fill="ffffff"/>
        </w:rPr>
        <w:t xml:space="preserve">Cuantitativos; Son Todos los números Reales. aplican decimales, implica un orden entre los números. Su cálculo se hace fundamentalmente con distancia euclideana y Cos(). </w:t>
      </w:r>
    </w:p>
    <w:p>
      <w:pPr>
        <w:pStyle w:val="List Paragraph"/>
        <w:jc w:val="both"/>
        <w:ind w:hanging="432"/>
        <w:ind w:left="1080"/>
        <w:spacing w:line="240" w:lineRule="auto"/>
        <w:numPr>
          <w:ilvl w:val="1"/>
          <w:numId w:val="11100011"/>
        </w:numPr>
      </w:pPr>
      <w:r>
        <w:rPr/>
        <w:t xml:space="preserve"/>
      </w:r>
      <w:r>
        <w:rPr>
          <w:lang w:val="ar-SA"/>
          <w:rFonts w:ascii="Times New Roman" w:cs="Times New Roman" w:hAnsi="Times New Roman"/>
          <w:sz w:val="22"/>
          <w:color w:val="000000"/>
          <w:shd w:fill="ffffff"/>
        </w:rPr>
        <w:t xml:space="preserve">Genéticos; Sabemos que existen los datos genéticos, no estando seguro de la aplicación de los mismos, ni del surgimiento de ellos. </w:t>
      </w:r>
    </w:p>
    <w:p>
      <w:pPr>
        <w:pStyle w:val="List Paragraph"/>
        <w:jc w:val="both"/>
        <w:ind w:hanging="360"/>
        <w:ind w:left="360"/>
        <w:spacing w:line="240" w:lineRule="auto"/>
        <w:numPr>
          <w:ilvl w:val="0"/>
          <w:numId w:val="1117000"/>
        </w:numPr>
      </w:pPr>
      <w:r>
        <w:rPr/>
        <w:t xml:space="preserve">En la base de datos “cancelacion_2017.csv” contiene la lista de Inmuebles Registrados por Acto Jurídico en el Estado de Jalisco del 2017. Con los datos presentados en este archivo, responda las siguientes preguntas:</w:t>
      </w:r>
    </w:p>
    <w:p>
      <w:pPr>
        <w:pStyle w:val="List Paragraph"/>
      </w:pPr>
    </w:p>
    <w:p>
      <w:pPr>
        <w:pStyle w:val="List Paragraph"/>
        <w:jc w:val="both"/>
        <w:ind w:hanging="360"/>
        <w:ind w:left="1080"/>
        <w:spacing w:line="240" w:lineRule="auto"/>
        <w:numPr>
          <w:ilvl w:val="1"/>
          <w:numId w:val="1117111"/>
        </w:numPr>
      </w:pPr>
      <w:r>
        <w:rPr/>
        <w:t xml:space="preserve">(1 punto) Determine qué tipos de uso de suelo son considerados en esta base de datos y genere un gráfico donde se muestre cuantos inmuebles se reportaron por cada tipo de uso de suelo.</w:t>
      </w:r>
    </w:p>
    <w:p>
      <w:pPr>
        <w:pStyle w:val="List Paragraph"/>
        <w:jc w:val="both"/>
        <w:ind w:firstLine="0"/>
        <w:ind w:left="1080"/>
        <w:spacing w:line="240" w:lineRule="auto"/>
      </w:pPr>
      <w:r>
        <w:rPr/>
        <w:drawing>
          <wp:inline distT="0" distB="0" distL="0" distR="0">
            <wp:extent cx="5605821" cy="2088490"/>
            <wp:docPr id="66" name="rId66.png"/>
            <a:graphic>
              <a:graphicData uri="http://schemas.openxmlformats.org/drawingml/2006/picture">
                <pic:pic>
                  <pic:nvPicPr>
                    <pic:cNvPr id="66" name="rId66.png"/>
                    <pic:cNvPicPr/>
                  </pic:nvPicPr>
                  <pic:blipFill>
                    <a:blip r:embed="rId66"/>
                  </pic:blipFill>
                  <pic:spPr>
                    <a:xfrm>
                      <a:off x="0" y="0"/>
                      <a:ext cx="5605821" cy="2088490"/>
                    </a:xfrm>
                    <a:prstGeom prst="rect">
                      <a:avLst/>
                    </a:prstGeom>
                  </pic:spPr>
                </pic:pic>
              </a:graphicData>
            </a:graphic>
          </wp:inline>
        </w:drawing>
      </w:r>
    </w:p>
    <w:p>
      <w:pPr>
        <w:pStyle w:val="List Paragraph"/>
        <w:jc w:val="both"/>
        <w:ind w:firstLine="0"/>
        <w:ind w:left="1080"/>
        <w:spacing w:line="240" w:lineRule="auto"/>
      </w:pPr>
      <w:r>
        <w:rPr/>
        <w:t xml:space="preserve">Se puede notar que el principal uso de suelo es habitacional, así como también se puede notar la alta incidencia de errores en la escritura de la palabra misma. Se puede notar un caso partícular en el cual se escribe ‘72.16m2', no sabemos el uso de suelo, sin embargo parece que es la superficie construida en ese terreno partícularmente (dato que no es requerido). </w:t>
      </w:r>
    </w:p>
    <w:p>
      <w:pPr>
        <w:pStyle w:val="List Paragraph"/>
        <w:jc w:val="both"/>
        <w:ind w:hanging="360"/>
        <w:ind w:left="1080"/>
        <w:spacing w:line="240" w:lineRule="auto"/>
        <w:numPr>
          <w:ilvl w:val="1"/>
          <w:numId w:val="1117111"/>
        </w:numPr>
      </w:pPr>
      <w:r>
        <w:rPr/>
        <w:t xml:space="preserve">(1 punto) Si consideramos solamente el uso de suelo “HABITACIONAL” determine cual es el municipio con menos inmuebles con este tipo de uso de suelo y que municipio tiene el mayor número de estos inmuebles.</w:t>
      </w:r>
    </w:p>
    <w:p>
      <w:pPr>
        <w:pStyle w:val="List Paragraph"/>
        <w:jc w:val="both"/>
        <w:ind w:left="360"/>
        <w:spacing w:line="240" w:lineRule="auto"/>
      </w:pPr>
      <w:r>
        <w:rPr/>
        <w:drawing>
          <wp:inline distT="0" distB="0" distL="0" distR="0">
            <wp:extent cx="5605821" cy="2230770"/>
            <wp:docPr id="74" name="rId74.png"/>
            <a:graphic>
              <a:graphicData uri="http://schemas.openxmlformats.org/drawingml/2006/picture">
                <pic:pic>
                  <pic:nvPicPr>
                    <pic:cNvPr id="74" name="rId74.png"/>
                    <pic:cNvPicPr/>
                  </pic:nvPicPr>
                  <pic:blipFill>
                    <a:blip r:embed="rId74"/>
                  </pic:blipFill>
                  <pic:spPr>
                    <a:xfrm>
                      <a:off x="0" y="0"/>
                      <a:ext cx="5605821" cy="2230770"/>
                    </a:xfrm>
                    <a:prstGeom prst="rect">
                      <a:avLst/>
                    </a:prstGeom>
                  </pic:spPr>
                </pic:pic>
              </a:graphicData>
            </a:graphic>
          </wp:inline>
        </w:drawing>
      </w:r>
      <w:r>
        <w:rPr/>
        <w:t xml:space="preserve">Los tres municipios con más inmuebles son: Zapopan, Tlajomulco de Zuñiga, Guadalajara. Mientras que los que menos inmuebles tuvieron son Tuxcueca y Chimaltitlan. Parece muy lógico, a excepción del orden en los primeros tres; personalmente esperaba un orden Zapopan-Guadalajara-Tlajomulco, sin embargo, parece ser que Tlajomulco en esta tabla tiene registrados cerca de 3/2 la cantidad de inmuebles que Guadalajara tiene registrados.</w:t>
      </w:r>
    </w:p>
    <w:p>
      <w:pPr>
        <w:jc w:val="both"/>
        <w:spacing w:line="240" w:lineRule="auto"/>
      </w:pPr>
    </w:p>
    <w:p>
      <w:pPr>
        <w:pStyle w:val="List Paragraph"/>
        <w:jc w:val="both"/>
        <w:ind w:hanging="360"/>
        <w:ind w:left="360"/>
        <w:spacing w:line="240" w:lineRule="auto"/>
        <w:numPr>
          <w:ilvl w:val="0"/>
          <w:numId w:val="1117000"/>
        </w:numPr>
      </w:pPr>
      <w:r>
        <w:rPr/>
        <w:t xml:space="preserve">Si se tuvieran dos bases de datos pequeñas como las siguientes:</w:t>
      </w:r>
    </w:p>
    <w:tbl>
      <w:tblGrid>
        <w:gridCol w:w="851"/>
        <w:gridCol w:w="1144"/>
        <w:gridCol w:w="1182"/>
        <w:gridCol w:w="1182"/>
        <w:gridCol w:w="1182"/>
      </w:tblGrid>
      <w:tblPr>
        <w:shd w:fill="f2f2f2"/>
        <w:tblBorders>
          <w:left w:val="single" w:color="7f7f7f" w:sz="4"/>
          <w:right w:val="single" w:color="7f7f7f" w:sz="4"/>
          <w:top w:val="single" w:color="7f7f7f" w:sz="4"/>
          <w:bottom w:val="single" w:color="7f7f7f" w:sz="4"/>
        </w:tblBorders>
      </w:tblPr>
      <w:tr>
        <w:trPr/>
        <w:tc>
          <w:tcPr>
            <w:tcW w:w="851"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Num</w:t>
            </w:r>
          </w:p>
        </w:tc>
        <w:tc>
          <w:tcPr>
            <w:tcW w:w="114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Trabajador</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Estado Civil</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Num Hijos</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Ingreso</w:t>
            </w:r>
          </w:p>
        </w:tc>
      </w:tr>
      <w:tr>
        <w:trPr/>
        <w:tc>
          <w:tcPr>
            <w:tcW w:w="851"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 C1</w:t>
            </w:r>
          </w:p>
        </w:tc>
        <w:tc>
          <w:tcPr>
            <w:tcW w:w="114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Eduardo R.</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Casado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1</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50000.00</w:t>
            </w:r>
          </w:p>
        </w:tc>
      </w:tr>
      <w:tr>
        <w:trPr/>
        <w:tc>
          <w:tcPr>
            <w:tcW w:w="851"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C2</w:t>
            </w:r>
          </w:p>
        </w:tc>
        <w:tc>
          <w:tcPr>
            <w:tcW w:w="114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Carlos Rojas</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Divorciado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1</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5000.50</w:t>
            </w:r>
          </w:p>
        </w:tc>
      </w:tr>
      <w:tr>
        <w:trPr/>
        <w:tc>
          <w:tcPr>
            <w:tcW w:w="851"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C3</w:t>
            </w:r>
          </w:p>
        </w:tc>
        <w:tc>
          <w:tcPr>
            <w:tcW w:w="114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Aurora Flores</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Casado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2</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5000.00</w:t>
            </w:r>
          </w:p>
        </w:tc>
      </w:tr>
      <w:tr>
        <w:trPr/>
        <w:tc>
          <w:tcPr>
            <w:tcW w:w="851"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C4</w:t>
            </w:r>
          </w:p>
        </w:tc>
        <w:tc>
          <w:tcPr>
            <w:tcW w:w="114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Saúl Carmona</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Soltero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3</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1000.00</w:t>
            </w:r>
          </w:p>
        </w:tc>
      </w:tr>
      <w:tr>
        <w:trPr/>
        <w:tc>
          <w:tcPr>
            <w:tcW w:w="851"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C5</w:t>
            </w:r>
          </w:p>
        </w:tc>
        <w:tc>
          <w:tcPr>
            <w:tcW w:w="114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Lucía Morales</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Divorciado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3</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10000.00</w:t>
            </w:r>
          </w:p>
        </w:tc>
      </w:tr>
    </w:tbl>
    <w:tbl>
      <w:tblGrid>
        <w:gridCol w:w="959"/>
        <w:gridCol w:w="1064"/>
        <w:gridCol w:w="1182"/>
        <w:gridCol w:w="1182"/>
      </w:tblGrid>
      <w:tblPr>
        <w:shd w:fill="f2f2f2"/>
        <w:tblBorders>
          <w:left w:val="single" w:color="7f7f7f" w:sz="4"/>
          <w:right w:val="single" w:color="7f7f7f" w:sz="4"/>
          <w:top w:val="single" w:color="7f7f7f" w:sz="4"/>
          <w:bottom w:val="single" w:color="7f7f7f" w:sz="4"/>
        </w:tblBorders>
      </w:tblPr>
      <w:tr>
        <w:trPr/>
        <w:tc>
          <w:tcPr>
            <w:tcW w:w="959"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Num</w:t>
            </w:r>
          </w:p>
        </w:tc>
        <w:tc>
          <w:tcPr>
            <w:tcW w:w="106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Municipio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Sector productivo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Población Actual (hab)</w:t>
            </w:r>
            <w:r>
              <w:rPr>
                <w:vertAlign w:val="superscript"/>
              </w:rPr>
              <w:footnoteReference w:id="1"/>
            </w:r>
          </w:p>
          <w:p>
            <w:pPr>
              <w:shd w:fill="f2f2f2"/>
            </w:pPr>
            <w:r>
              <w:rPr>
                <w:sz w:val="16"/>
                <w:shd w:fill="f2f2f2"/>
              </w:rPr>
              <w:t xml:space="preserve"> Las cantidades no corresponden a los valores reales.</w:t>
            </w:r>
          </w:p>
        </w:tc>
      </w:tr>
      <w:tr>
        <w:trPr/>
        <w:tc>
          <w:tcPr>
            <w:tcW w:w="959"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C1</w:t>
            </w:r>
          </w:p>
        </w:tc>
        <w:tc>
          <w:tcPr>
            <w:tcW w:w="106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Zapopan</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6</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100,000.00</w:t>
            </w:r>
          </w:p>
        </w:tc>
      </w:tr>
      <w:tr>
        <w:trPr/>
        <w:tc>
          <w:tcPr>
            <w:tcW w:w="959"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C2</w:t>
            </w:r>
          </w:p>
        </w:tc>
        <w:tc>
          <w:tcPr>
            <w:tcW w:w="106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Guadalajara</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2</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300,000.00</w:t>
            </w:r>
          </w:p>
        </w:tc>
      </w:tr>
      <w:tr>
        <w:trPr/>
        <w:tc>
          <w:tcPr>
            <w:tcW w:w="959"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C3</w:t>
            </w:r>
          </w:p>
        </w:tc>
        <w:tc>
          <w:tcPr>
            <w:tcW w:w="106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Tlaquepaque</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1</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259,236.05</w:t>
            </w:r>
          </w:p>
        </w:tc>
      </w:tr>
      <w:tr>
        <w:trPr/>
        <w:tc>
          <w:tcPr>
            <w:tcW w:w="959"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C4</w:t>
            </w:r>
          </w:p>
        </w:tc>
        <w:tc>
          <w:tcPr>
            <w:tcW w:w="106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Tequila</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4</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540,689.00</w:t>
            </w:r>
          </w:p>
        </w:tc>
      </w:tr>
      <w:tr>
        <w:trPr/>
        <w:tc>
          <w:tcPr>
            <w:tcW w:w="959"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C5</w:t>
            </w:r>
          </w:p>
        </w:tc>
        <w:tc>
          <w:tcPr>
            <w:tcW w:w="1064"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Zapotlanejo</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3</w:t>
            </w:r>
          </w:p>
        </w:tc>
        <w:tc>
          <w:tcPr>
            <w:tcW w:w="1182" w:type="dxa"/>
            <w:shd w:fill="f2f2f2"/>
            <w:tcBorders>
              <w:left w:val="single" w:color="7f7f7f" w:sz="4"/>
              <w:right w:val="single" w:color="7f7f7f" w:sz="4"/>
              <w:top w:val="single" w:color="7f7f7f" w:sz="4"/>
              <w:bottom w:val="single" w:color="7f7f7f" w:sz="4"/>
            </w:tcBorders>
          </w:tcPr>
          <w:p>
            <w:pPr>
              <w:jc w:val="both"/>
              <w:shd w:fill="f2f2f2"/>
            </w:pPr>
            <w:r>
              <w:rPr>
                <w:sz w:val="16"/>
                <w:shd w:fill="f2f2f2"/>
              </w:rPr>
              <w:t xml:space="preserve">200,000.00</w:t>
            </w:r>
          </w:p>
        </w:tc>
      </w:tr>
    </w:tbl>
    <w:p>
      <w:pPr>
        <w:jc w:val="both"/>
        <w:spacing w:line="240" w:lineRule="auto"/>
      </w:pPr>
      <w:r>
        <w:rPr/>
        <w:t xml:space="preserve"> </w:t>
      </w:r>
    </w:p>
    <w:p>
      <w:pPr>
        <w:jc w:val="both"/>
        <w:spacing w:line="240" w:lineRule="auto"/>
      </w:pPr>
    </w:p>
    <w:p>
      <w:pPr>
        <w:jc w:val="both"/>
        <w:spacing w:line="240" w:lineRule="auto"/>
      </w:pPr>
    </w:p>
    <w:p>
      <w:pPr>
        <w:pStyle w:val="List Paragraph"/>
        <w:jc w:val="both"/>
        <w:ind w:left="1080"/>
        <w:spacing w:line="240" w:lineRule="auto"/>
      </w:pPr>
    </w:p>
    <w:p>
      <w:pPr>
        <w:pStyle w:val="List Paragraph"/>
        <w:jc w:val="both"/>
        <w:ind w:hanging="360"/>
        <w:ind w:left="1080"/>
        <w:spacing w:line="240" w:lineRule="auto"/>
        <w:numPr>
          <w:ilvl w:val="1"/>
          <w:numId w:val="1117111"/>
        </w:numPr>
      </w:pPr>
      <w:r>
        <w:rPr/>
        <w:t xml:space="preserve">(1 punto) Indique cuantos tipos de variables hay en estas dos bases de datos. Haga una lista del nombre de variable y el tipo al que pertenece.</w:t>
      </w:r>
    </w:p>
    <w:p>
      <w:pPr>
        <w:pStyle w:val="List Paragraph"/>
        <w:jc w:val="both"/>
        <w:ind w:left="1080"/>
        <w:spacing w:line="240" w:lineRule="auto"/>
      </w:pPr>
      <w:r>
        <w:rPr/>
        <w:t xml:space="preserve">Se tienen 3 tipos de variables: </w:t>
      </w:r>
    </w:p>
    <w:p>
      <w:pPr>
        <w:pStyle w:val="List Paragraph"/>
        <w:jc w:val="both"/>
        <w:ind w:hanging="432"/>
        <w:ind w:left="1800"/>
        <w:spacing w:line="240" w:lineRule="auto"/>
        <w:numPr>
          <w:ilvl w:val="1"/>
          <w:numId w:val="11100711"/>
        </w:numPr>
      </w:pPr>
      <w:r>
        <w:rPr/>
        <w:t xml:space="preserve"/>
      </w:r>
      <w:r>
        <w:rPr>
          <w:lang w:val="ar-SA"/>
          <w:rFonts w:ascii="Times New Roman" w:cs="Times New Roman" w:hAnsi="Times New Roman"/>
          <w:sz w:val="22"/>
          <w:color w:val="000000"/>
          <w:shd w:fill="ffffff"/>
        </w:rPr>
        <w:t xml:space="preserve">Nominales; (Num, Trabajador y Estado Civil) y (Num, Municipio, Sector productivo)</w:t>
      </w:r>
    </w:p>
    <w:p>
      <w:pPr>
        <w:pStyle w:val="List Paragraph"/>
        <w:jc w:val="both"/>
        <w:ind w:hanging="432"/>
        <w:ind w:left="1800"/>
        <w:spacing w:line="240" w:lineRule="auto"/>
        <w:numPr>
          <w:ilvl w:val="1"/>
          <w:numId w:val="11100711"/>
        </w:numPr>
      </w:pPr>
      <w:r>
        <w:rPr/>
        <w:t xml:space="preserve"/>
      </w:r>
      <w:r>
        <w:rPr>
          <w:lang w:val="ar-SA"/>
          <w:rFonts w:ascii="Times New Roman" w:cs="Times New Roman" w:hAnsi="Times New Roman"/>
          <w:sz w:val="22"/>
          <w:color w:val="000000"/>
          <w:shd w:fill="ffffff"/>
        </w:rPr>
        <w:t xml:space="preserve">Ordinales; (Num Hijos) y (Nan)</w:t>
      </w:r>
    </w:p>
    <w:p>
      <w:pPr>
        <w:pStyle w:val="List Paragraph"/>
        <w:jc w:val="both"/>
        <w:ind w:hanging="432"/>
        <w:ind w:left="1800"/>
        <w:spacing w:line="240" w:lineRule="auto"/>
        <w:numPr>
          <w:ilvl w:val="1"/>
          <w:numId w:val="11100711"/>
        </w:numPr>
      </w:pPr>
      <w:r>
        <w:rPr/>
        <w:t xml:space="preserve"/>
      </w:r>
      <w:r>
        <w:rPr>
          <w:lang w:val="ar-SA"/>
          <w:rFonts w:ascii="Times New Roman" w:cs="Times New Roman" w:hAnsi="Times New Roman"/>
          <w:sz w:val="22"/>
          <w:color w:val="000000"/>
          <w:shd w:fill="ffffff"/>
        </w:rPr>
        <w:t xml:space="preserve">Cuantitativas; (Ingreso) y (Población Actual)</w:t>
      </w:r>
    </w:p>
    <w:p>
      <w:pPr>
        <w:pStyle w:val="List Paragraph"/>
        <w:jc w:val="both"/>
        <w:ind w:firstLine="0"/>
        <w:ind w:left="1080"/>
        <w:spacing w:line="240" w:lineRule="auto"/>
      </w:pPr>
      <w:r>
        <w:rPr>
          <w:lang w:val="ar-SA"/>
          <w:rFonts w:ascii="Times New Roman" w:cs="Times New Roman" w:hAnsi="Times New Roman"/>
          <w:sz w:val="22"/>
          <w:color w:val="000000"/>
          <w:shd w:fill="ffffff"/>
        </w:rPr>
        <w:t xml:space="preserve">Nota: ¿Cómo se puede tener una población actual fraccionada? (Supongo que se debe a que las cuantitativas pueden tener decimales y se quería hacer esta distinción.)</w:t>
      </w:r>
    </w:p>
    <w:p>
      <w:pPr>
        <w:pStyle w:val="List Paragraph"/>
        <w:jc w:val="both"/>
        <w:ind w:firstLine="0"/>
        <w:ind w:left="1080"/>
        <w:spacing w:line="240" w:lineRule="auto"/>
      </w:pPr>
    </w:p>
    <w:p>
      <w:pPr>
        <w:pStyle w:val="List Paragraph"/>
        <w:jc w:val="both"/>
        <w:ind w:hanging="360"/>
        <w:ind w:left="1080"/>
        <w:spacing w:line="240" w:lineRule="auto"/>
        <w:numPr>
          <w:ilvl w:val="1"/>
          <w:numId w:val="1117111"/>
        </w:numPr>
      </w:pPr>
      <w:r>
        <w:rPr/>
        <w:t xml:space="preserve">(1 punto) Si se quisiera hacer un solo DataFrame de datos cuantitativos incluyendo todas variables de las dos tablas </w:t>
      </w:r>
      <w:bookmarkStart w:id="287" w:name="_GoBack"/>
      <w:bookmarkEnd w:id="287"/>
      <w:r>
        <w:rPr/>
        <w:t xml:space="preserve">¿Cuántas variables dummy habría que crear para el último DataFrame? Explique o justifique su respuesta.</w:t>
      </w:r>
    </w:p>
    <w:p>
      <w:pPr>
        <w:pStyle w:val="List Paragraph"/>
        <w:jc w:val="both"/>
        <w:ind w:left="1080"/>
        <w:spacing w:line="240" w:lineRule="auto"/>
      </w:pPr>
      <w:r>
        <w:rPr>
          <w:lang w:val="es-MX"/>
          <w:rFonts w:ascii="Times New Roman" w:cs="Times New Roman" w:hAnsi="Times New Roman"/>
          <w:sz w:val="22"/>
          <w:color w:val="000000"/>
        </w:rPr>
        <w:t xml:space="preserve"> se tendrían 28 variables Dummy: [5-Num,5-Trabajador,3-Estado_Civil]tabla1+[5-Num,5-Municipio,5-Sector_Productivo]tabla2. La variable Num se repite en ambos casos, sin embargo, se tiene que tomar como una Dummy diferente debido a que la clasificación del primero es distinta a la clasificación del segundo. </w:t>
      </w:r>
    </w:p>
    <w:p>
      <w:pPr>
        <w:pStyle w:val="List Paragraph"/>
        <w:jc w:val="both"/>
        <w:ind w:left="1080"/>
        <w:spacing w:line="240" w:lineRule="auto"/>
      </w:pPr>
    </w:p>
    <w:p>
      <w:pPr>
        <w:pStyle w:val="List Paragraph"/>
        <w:jc w:val="both"/>
        <w:ind w:left="1080"/>
        <w:spacing w:line="240" w:lineRule="auto"/>
      </w:pPr>
    </w:p>
    <w:p>
      <w:pPr>
        <w:pStyle w:val="List Paragraph"/>
        <w:jc w:val="both"/>
        <w:ind w:left="1080"/>
        <w:spacing w:line="240" w:lineRule="auto"/>
      </w:pPr>
    </w:p>
    <w:p>
      <w:pPr>
        <w:pStyle w:val="List Paragraph"/>
        <w:jc w:val="both"/>
        <w:ind w:left="1080"/>
        <w:spacing w:line="240" w:lineRule="auto"/>
      </w:pPr>
    </w:p>
    <w:p>
      <w:pPr>
        <w:pStyle w:val="List Paragraph"/>
        <w:jc w:val="both"/>
        <w:ind w:hanging="360"/>
        <w:ind w:left="360"/>
        <w:spacing w:line="240" w:lineRule="auto"/>
        <w:numPr>
          <w:ilvl w:val="0"/>
          <w:numId w:val="1117000"/>
        </w:numPr>
      </w:pPr>
      <w:r>
        <w:rPr/>
        <w:t xml:space="preserve">(2 puntos) Utiliza las mismas funciones para limpiar la base de datos de texto vista en clase para limpiar la base de datos llamada “dirty_Info_Alumnos_v2.csv”. El ejercicio consiste en normalizar toda la tabla teniendo encuentra las siguientes consideraciones:</w:t>
      </w:r>
    </w:p>
    <w:p>
      <w:pPr>
        <w:pStyle w:val="List Paragraph"/>
        <w:jc w:val="both"/>
        <w:ind w:hanging="360"/>
        <w:ind w:left="720"/>
        <w:spacing w:line="240" w:lineRule="auto"/>
        <w:numPr>
          <w:ilvl w:val="0"/>
          <w:numId w:val="1113000"/>
        </w:numPr>
      </w:pPr>
      <w:r>
        <w:rPr/>
        <w:t xml:space="preserve">Dejar los nombres correctos en mayúsculas.</w:t>
      </w:r>
    </w:p>
    <w:p>
      <w:pPr>
        <w:pStyle w:val="List Paragraph"/>
        <w:jc w:val="both"/>
        <w:ind w:hanging="360"/>
        <w:ind w:left="720"/>
        <w:spacing w:line="240" w:lineRule="auto"/>
        <w:numPr>
          <w:ilvl w:val="0"/>
          <w:numId w:val="1113000"/>
        </w:numPr>
      </w:pPr>
      <w:r>
        <w:rPr/>
        <w:t xml:space="preserve">Eliminar todos los caracteres especiales de la columna teléfono.</w:t>
      </w:r>
    </w:p>
    <w:p>
      <w:pPr>
        <w:pStyle w:val="List Paragraph"/>
        <w:jc w:val="both"/>
        <w:ind w:hanging="360"/>
        <w:ind w:left="720"/>
        <w:spacing w:line="240" w:lineRule="auto"/>
        <w:numPr>
          <w:ilvl w:val="0"/>
          <w:numId w:val="1113000"/>
        </w:numPr>
      </w:pPr>
      <w:r>
        <w:rPr/>
        <w:t xml:space="preserve">Cuando no se tenga la longitud de 10 dígitos en el teléfono, se considerará el dato como “missing”.</w:t>
      </w:r>
    </w:p>
    <w:p>
      <w:pPr>
        <w:pStyle w:val="List Paragraph"/>
        <w:jc w:val="both"/>
        <w:ind w:hanging="360"/>
        <w:ind w:left="720"/>
        <w:spacing w:line="240" w:lineRule="auto"/>
        <w:numPr>
          <w:ilvl w:val="0"/>
          <w:numId w:val="1113000"/>
        </w:numPr>
      </w:pPr>
      <w:r>
        <w:rPr/>
        <w:t xml:space="preserve">Dejar solo números en la columna semestre.</w:t>
      </w:r>
    </w:p>
    <w:p>
      <w:pPr>
        <w:pStyle w:val="List Paragraph"/>
        <w:jc w:val="both"/>
        <w:ind w:hanging="360"/>
        <w:ind w:left="720"/>
        <w:spacing w:line="240" w:lineRule="auto"/>
        <w:numPr>
          <w:ilvl w:val="0"/>
          <w:numId w:val="1113000"/>
        </w:numPr>
      </w:pPr>
      <w:r>
        <w:rPr/>
        <w:t xml:space="preserve">Si el número de expediente no tiene 6 dígitos considerarlo como “missing”.</w:t>
      </w:r>
    </w:p>
    <w:p>
      <w:pPr>
        <w:jc w:val="both"/>
        <w:spacing w:line="240" w:lineRule="auto"/>
      </w:pPr>
      <w:r>
        <w:rPr/>
        <w:t xml:space="preserve">Agregue el código usado, la tabla generada y comente sus resultados.</w:t>
      </w:r>
    </w:p>
    <w:p>
      <w:pPr>
        <w:jc w:val="both"/>
        <w:spacing w:line="240" w:lineRule="auto"/>
      </w:pPr>
      <w:r>
        <w:rPr/>
        <w:drawing>
          <wp:inline distT="0" distB="0" distL="0" distR="0">
            <wp:extent cx="4887559" cy="2205350"/>
            <wp:docPr id="317" name="rId317.png"/>
            <a:graphic>
              <a:graphicData uri="http://schemas.openxmlformats.org/drawingml/2006/picture">
                <pic:pic>
                  <pic:nvPicPr>
                    <pic:cNvPr id="317" name="rId317.png"/>
                    <pic:cNvPicPr/>
                  </pic:nvPicPr>
                  <pic:blipFill>
                    <a:blip r:embed="rId317"/>
                  </pic:blipFill>
                  <pic:spPr>
                    <a:xfrm>
                      <a:off x="0" y="0"/>
                      <a:ext cx="4887559" cy="2205350"/>
                    </a:xfrm>
                    <a:prstGeom prst="rect">
                      <a:avLst/>
                    </a:prstGeom>
                  </pic:spPr>
                </pic:pic>
              </a:graphicData>
            </a:graphic>
          </wp:inline>
        </w:drawing>
      </w:r>
    </w:p>
    <w:p>
      <w:pPr>
        <w:jc w:val="both"/>
        <w:spacing w:line="240" w:lineRule="auto"/>
      </w:pPr>
      <w:r>
        <w:rPr/>
        <w:drawing>
          <wp:inline distT="0" distB="0" distL="0" distR="0">
            <wp:extent cx="4720590" cy="2197120"/>
            <wp:docPr id="320" name="rId320.png"/>
            <a:graphic>
              <a:graphicData uri="http://schemas.openxmlformats.org/drawingml/2006/picture">
                <pic:pic>
                  <pic:nvPicPr>
                    <pic:cNvPr id="320" name="rId320.png"/>
                    <pic:cNvPicPr/>
                  </pic:nvPicPr>
                  <pic:blipFill>
                    <a:blip r:embed="rId320"/>
                  </pic:blipFill>
                  <pic:spPr>
                    <a:xfrm>
                      <a:off x="0" y="0"/>
                      <a:ext cx="4720590" cy="2197120"/>
                    </a:xfrm>
                    <a:prstGeom prst="rect">
                      <a:avLst/>
                    </a:prstGeom>
                  </pic:spPr>
                </pic:pic>
              </a:graphicData>
            </a:graphic>
          </wp:inline>
        </w:drawing>
      </w:r>
    </w:p>
    <w:p>
      <w:pPr>
        <w:jc w:val="both"/>
        <w:spacing w:line="240" w:lineRule="auto"/>
      </w:pPr>
      <w:r>
        <w:rPr/>
        <w:t xml:space="preserve">L</w:t>
      </w:r>
      <w:r>
        <w:rPr/>
        <w:t xml:space="preserve">a limpieza de datos</w:t>
      </w:r>
      <w:r>
        <w:rPr/>
        <w:t xml:space="preserve"> es un proceso </w:t>
      </w:r>
      <w:r>
        <w:rPr/>
        <w:t xml:space="preserve">muy tardado debido a que </w:t>
      </w:r>
      <w:r>
        <w:rPr/>
        <w:t xml:space="preserve">se debe i</w:t>
      </w:r>
      <w:r>
        <w:rPr/>
        <w:t xml:space="preserve">dentificar </w:t>
      </w:r>
      <w:r>
        <w:rPr/>
        <w:t xml:space="preserve">“</w:t>
      </w:r>
      <w:r>
        <w:rPr/>
        <w:t xml:space="preserve">m</w:t>
      </w:r>
      <w:r>
        <w:rPr/>
        <w:t xml:space="preserve">anualmente</w:t>
      </w:r>
      <w:r>
        <w:rPr/>
        <w:t xml:space="preserve">”</w:t>
      </w:r>
      <w:r>
        <w:rPr/>
        <w:t xml:space="preserve"> </w:t>
      </w:r>
      <w:r>
        <w:rPr/>
        <w:t xml:space="preserve">los errores en la base de datos. Po</w:t>
      </w:r>
      <w:r>
        <w:rPr/>
        <w:t xml:space="preserve">steri</w:t>
      </w:r>
      <w:r>
        <w:rPr/>
        <w:t xml:space="preserve">or a esto se puede</w:t>
      </w:r>
      <w:r>
        <w:rPr/>
        <w:t xml:space="preserve">n </w:t>
      </w:r>
      <w:r>
        <w:rPr/>
        <w:t xml:space="preserve">reparar algunos de los errores, sin embargo</w:t>
      </w:r>
      <w:r>
        <w:rPr/>
        <w:t xml:space="preserve">, otros re</w:t>
      </w:r>
      <w:r>
        <w:rPr/>
        <w:t xml:space="preserve">quieren un poco más </w:t>
      </w:r>
      <w:r>
        <w:rPr/>
        <w:t xml:space="preserve">de tiempo. La limpieza de números te</w:t>
      </w:r>
      <w:r>
        <w:rPr/>
        <w:t xml:space="preserve">lefónicos, así como de n</w:t>
      </w:r>
      <w:r>
        <w:rPr/>
        <w:t xml:space="preserve">úmeros de expediente es un proceso muy ágil,</w:t>
      </w:r>
      <w:r>
        <w:rPr/>
        <w:t xml:space="preserve"> por contrapa</w:t>
      </w:r>
      <w:r>
        <w:rPr/>
        <w:t xml:space="preserve">rte nos encontramos con los nombres propios</w:t>
      </w:r>
      <w:r>
        <w:rPr/>
        <w:t xml:space="preserve">; en este apartado existen demasi</w:t>
      </w:r>
      <w:r>
        <w:rPr/>
        <w:t xml:space="preserve">ados errores qu</w:t>
      </w:r>
      <w:r>
        <w:rPr/>
        <w:t xml:space="preserve">e no se limpian t</w:t>
      </w:r>
      <w:r>
        <w:rPr/>
        <w:t xml:space="preserve">an fácilmente (</w:t>
      </w:r>
      <w:r>
        <w:rPr/>
        <w:t xml:space="preserve">el principal problema es que hay alg</w:t>
      </w:r>
      <w:r>
        <w:rPr/>
        <w:t xml:space="preserve">unos s</w:t>
      </w:r>
      <w:r>
        <w:rPr/>
        <w:t xml:space="preserve">ímbolos</w:t>
      </w:r>
      <w:r>
        <w:rPr/>
        <w:t xml:space="preserve"> en dónde debería de haber espacios</w:t>
      </w:r>
      <w:r>
        <w:rPr/>
        <w:t xml:space="preserve">, si se el</w:t>
      </w:r>
      <w:r>
        <w:rPr/>
        <w:t xml:space="preserve">iminan directamente los símbolos quedan palabras</w:t>
      </w:r>
      <w:r>
        <w:rPr/>
        <w:t xml:space="preserve">unidas a otras.</w:t>
      </w:r>
      <w:r>
        <w:rPr/>
        <w:t xml:space="preserve">)</w:t>
      </w:r>
    </w:p>
    <w:p>
      <w:pPr>
        <w:pStyle w:val="List Paragraph"/>
        <w:jc w:val="both"/>
        <w:ind w:hanging="360"/>
        <w:ind w:left="360"/>
        <w:spacing w:line="240" w:lineRule="auto"/>
        <w:numPr>
          <w:ilvl w:val="0"/>
          <w:numId w:val="1117000"/>
        </w:numPr>
      </w:pPr>
      <w:r>
        <w:rPr/>
        <w:t xml:space="preserve">Considerando la siguiente base de datos (en el Moodle se encuentra el archivo csv si lo quieren usar para la importarlo), responda las siguientes preguntas y justifique su respuesta:</w:t>
      </w:r>
    </w:p>
    <w:tbl>
      <w:tblGrid>
        <w:gridCol w:w="1985"/>
        <w:gridCol w:w="703"/>
        <w:gridCol w:w="703"/>
        <w:gridCol w:w="703"/>
        <w:gridCol w:w="703"/>
        <w:gridCol w:w="703"/>
      </w:tblGrid>
      <w:tblPr>
        <w:shd w:fill="f2f2f2"/>
        <w:tblBorders>
          <w:left w:val="single" w:color="7f7f7f" w:sz="4"/>
          <w:right w:val="single" w:color="7f7f7f" w:sz="4"/>
          <w:top w:val="single" w:color="7f7f7f" w:sz="4"/>
          <w:bottom w:val="single" w:color="7f7f7f" w:sz="4"/>
        </w:tblBorders>
      </w:tblP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nombre</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2014</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2013</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2012</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2011</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2010</w:t>
            </w:r>
          </w:p>
        </w:tc>
      </w:t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Casos de Dengue</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1446</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2584</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560</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175</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1171</w:t>
            </w:r>
          </w:p>
        </w:tc>
      </w:t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Casos de Influenza A H1N1</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608</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14</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592</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6</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108</w:t>
            </w:r>
          </w:p>
        </w:tc>
      </w:t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Casos de VIH/SIDA</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506</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630</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978</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665</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578</w:t>
            </w:r>
          </w:p>
        </w:tc>
      </w:t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Egresos hospitalarios</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221364</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155789</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180462</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220280</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199288</w:t>
            </w:r>
          </w:p>
        </w:tc>
      </w:t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Esperanza de vida al nacer</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75.36</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75.36</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75.89</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77.28</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77.07</w:t>
            </w:r>
          </w:p>
        </w:tc>
      </w:tr>
      <w:tr>
        <w:trPr>
          <w:trHeight w:val="300" w:hRule="exact"/>
        </w:trPr>
        <w:tc>
          <w:tcPr>
            <w:tcW w:w="1985" w:type="dxa"/>
            <w:shd w:fill="f2f2f2"/>
            <w:tcBorders>
              <w:left w:val="single" w:color="7f7f7f" w:sz="4"/>
              <w:right w:val="single" w:color="7f7f7f" w:sz="4"/>
              <w:top w:val="single" w:color="7f7f7f" w:sz="4"/>
              <w:bottom w:val="single" w:color="7f7f7f" w:sz="4"/>
            </w:tcBorders>
          </w:tcPr>
          <w:p>
            <w:pPr>
              <w:shd w:fill="f2f2f2"/>
            </w:pPr>
            <w:r>
              <w:rPr>
                <w:lang w:val="es-MX"/>
                <w:rFonts w:ascii="Calibri" w:cs="Calibri" w:hAnsi="Calibri"/>
                <w:sz w:val="16"/>
                <w:color w:val="000000"/>
                <w:shd w:fill="f2f2f2"/>
              </w:rPr>
              <w:t xml:space="preserve">Muertes maternas</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52</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33</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35</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36</w:t>
            </w:r>
          </w:p>
        </w:tc>
        <w:tc>
          <w:tcPr>
            <w:tcW w:w="703" w:type="dxa"/>
            <w:shd w:fill="f2f2f2"/>
            <w:tcBorders>
              <w:left w:val="single" w:color="7f7f7f" w:sz="4"/>
              <w:right w:val="single" w:color="7f7f7f" w:sz="4"/>
              <w:top w:val="single" w:color="7f7f7f" w:sz="4"/>
              <w:bottom w:val="single" w:color="7f7f7f" w:sz="4"/>
            </w:tcBorders>
          </w:tcPr>
          <w:p>
            <w:pPr>
              <w:jc w:val="right"/>
              <w:shd w:fill="f2f2f2"/>
            </w:pPr>
            <w:r>
              <w:rPr>
                <w:lang w:val="es-MX"/>
                <w:rFonts w:ascii="Calibri" w:cs="Calibri" w:hAnsi="Calibri"/>
                <w:sz w:val="16"/>
                <w:color w:val="000000"/>
                <w:shd w:fill="f2f2f2"/>
              </w:rPr>
              <w:t xml:space="preserve">48</w:t>
            </w:r>
          </w:p>
        </w:tc>
      </w:tr>
    </w:tbl>
    <w:p>
      <w:pPr>
        <w:jc w:val="both"/>
        <w:spacing w:line="240" w:lineRule="auto"/>
      </w:pPr>
    </w:p>
    <w:p>
      <w:pPr>
        <w:pStyle w:val="List Paragraph"/>
        <w:jc w:val="both"/>
        <w:ind w:hanging="360"/>
        <w:ind w:left="720"/>
        <w:spacing w:line="240" w:lineRule="auto"/>
        <w:numPr>
          <w:ilvl w:val="0"/>
          <w:numId w:val="11110000"/>
        </w:numPr>
      </w:pPr>
      <w:r>
        <w:rPr/>
        <w:t xml:space="preserve">(0.5 punto) Realicé un gráfico donde muestre la evolución porcentual de cada una de las categorías al pasar de los años. Es decir, cual fue el cambio porcentual de cada una de las enfermedades de un año a otro.</w:t>
      </w:r>
    </w:p>
    <w:p>
      <w:pPr>
        <w:pStyle w:val="List Paragraph"/>
        <w:jc w:val="both"/>
        <w:ind w:firstLine="0"/>
        <w:ind w:left="720"/>
        <w:spacing w:line="240" w:lineRule="auto"/>
      </w:pPr>
      <w:r>
        <w:rPr/>
        <w:drawing>
          <wp:inline distT="0" distB="0" distL="0" distR="0">
            <wp:extent cx="3557016" cy="2377440"/>
            <wp:docPr id="500" name="rId464.png"/>
            <a:graphic>
              <a:graphicData uri="http://schemas.openxmlformats.org/drawingml/2006/picture">
                <pic:pic>
                  <pic:nvPicPr>
                    <pic:cNvPr id="500" name="rId464.png"/>
                    <pic:cNvPicPr/>
                  </pic:nvPicPr>
                  <pic:blipFill>
                    <a:blip r:embed="rId500"/>
                  </pic:blipFill>
                  <pic:spPr>
                    <a:xfrm>
                      <a:off x="0" y="0"/>
                      <a:ext cx="3557016" cy="2377440"/>
                    </a:xfrm>
                    <a:prstGeom prst="rect">
                      <a:avLst/>
                    </a:prstGeom>
                  </pic:spPr>
                </pic:pic>
              </a:graphicData>
            </a:graphic>
          </wp:inline>
        </w:drawing>
      </w:r>
      <w:r>
        <w:rPr/>
        <w:drawing>
          <wp:inline distT="0" distB="0" distL="0" distR="0">
            <wp:extent cx="5230368" cy="1993392"/>
            <wp:docPr id="502" name="rId466.png"/>
            <a:graphic>
              <a:graphicData uri="http://schemas.openxmlformats.org/drawingml/2006/picture">
                <pic:pic>
                  <pic:nvPicPr>
                    <pic:cNvPr id="502" name="rId466.png"/>
                    <pic:cNvPicPr/>
                  </pic:nvPicPr>
                  <pic:blipFill>
                    <a:blip r:embed="rId502"/>
                  </pic:blipFill>
                  <pic:spPr>
                    <a:xfrm>
                      <a:off x="0" y="0"/>
                      <a:ext cx="5230368" cy="1993392"/>
                    </a:xfrm>
                    <a:prstGeom prst="rect">
                      <a:avLst/>
                    </a:prstGeom>
                  </pic:spPr>
                </pic:pic>
              </a:graphicData>
            </a:graphic>
          </wp:inline>
        </w:drawing>
      </w:r>
    </w:p>
    <w:p>
      <w:pPr>
        <w:pStyle w:val="List Paragraph"/>
        <w:jc w:val="both"/>
        <w:ind w:firstLine="0"/>
        <w:ind w:left="720"/>
        <w:spacing w:line="240" w:lineRule="auto"/>
      </w:pPr>
      <w:r>
        <w:rPr/>
        <w:t xml:space="preserve">El cambio porcentual de 2011 a 2012 en casos de influenza H1N1 cambió dramáticamente (de 6 incidencias en 2011 a 592 en 2012)</w:t>
      </w:r>
    </w:p>
    <w:p>
      <w:pPr>
        <w:pStyle w:val="List Paragraph"/>
        <w:jc w:val="both"/>
        <w:ind w:hanging="360"/>
        <w:ind w:left="720"/>
        <w:spacing w:line="240" w:lineRule="auto"/>
        <w:numPr>
          <w:ilvl w:val="0"/>
          <w:numId w:val="11110000"/>
        </w:numPr>
      </w:pPr>
      <w:r>
        <w:rPr/>
        <w:t xml:space="preserve">(0.5 punto) Porcentualmente ¿qué categoría es la que ha tenido variaciones mayores en el transcurso de los años?</w:t>
      </w:r>
    </w:p>
    <w:p>
      <w:pPr>
        <w:pStyle w:val="List Paragraph"/>
        <w:jc w:val="both"/>
        <w:ind w:firstLine="0"/>
        <w:ind w:left="720"/>
        <w:spacing w:line="240" w:lineRule="auto"/>
      </w:pPr>
      <w:r>
        <w:rPr/>
        <w:t xml:space="preserve">Los casos de H1N1 de 2011 a 2012 con cerca de un crecimiento del 97%, seguido de un decrecimiento del .97% y posteriormente una alza de 42%. Todos los demás se han comportado bastante tranquilos en relación a la incidencia de h1n1 (todos menores a 4%)</w:t>
      </w:r>
    </w:p>
    <w:p>
      <w:pPr>
        <w:pStyle w:val="List Paragraph"/>
        <w:jc w:val="both"/>
        <w:ind w:hanging="360"/>
        <w:ind w:left="720"/>
        <w:spacing w:line="240" w:lineRule="auto"/>
        <w:numPr>
          <w:ilvl w:val="0"/>
          <w:numId w:val="11110000"/>
        </w:numPr>
      </w:pPr>
      <w:r>
        <w:rPr/>
        <w:t xml:space="preserve">(0.5 punto) ¿Qué categorías han tenido un desempeño porcentual similar en el transcurso de los años?</w:t>
      </w:r>
    </w:p>
    <w:p>
      <w:pPr>
        <w:pStyle w:val="List Paragraph"/>
        <w:jc w:val="both"/>
        <w:ind w:firstLine="0"/>
        <w:ind w:left="720"/>
        <w:spacing w:line="240" w:lineRule="auto"/>
      </w:pPr>
    </w:p>
    <w:p>
      <w:pPr>
        <w:pStyle w:val="List Paragraph"/>
        <w:jc w:val="both"/>
        <w:ind w:firstLine="0"/>
        <w:ind w:left="720"/>
        <w:spacing w:line="240" w:lineRule="auto"/>
      </w:pPr>
    </w:p>
    <w:p>
      <w:pPr>
        <w:pStyle w:val="List Paragraph"/>
        <w:jc w:val="both"/>
        <w:ind w:firstLine="0"/>
        <w:ind w:left="720"/>
        <w:spacing w:line="240" w:lineRule="auto"/>
      </w:pPr>
    </w:p>
    <w:p>
      <w:pPr>
        <w:pStyle w:val="List Paragraph"/>
        <w:jc w:val="both"/>
        <w:ind w:firstLine="0"/>
        <w:ind w:left="720"/>
        <w:spacing w:line="240" w:lineRule="auto"/>
      </w:pPr>
      <w:r>
        <w:rPr/>
        <w:drawing>
          <wp:inline distT="0" distB="0" distL="0" distR="0">
            <wp:extent cx="5605821" cy="1411559"/>
            <wp:docPr id="518" name="rId482.png"/>
            <a:graphic>
              <a:graphicData uri="http://schemas.openxmlformats.org/drawingml/2006/picture">
                <pic:pic>
                  <pic:nvPicPr>
                    <pic:cNvPr id="518" name="rId482.png"/>
                    <pic:cNvPicPr/>
                  </pic:nvPicPr>
                  <pic:blipFill>
                    <a:blip r:embed="rId518"/>
                  </pic:blipFill>
                  <pic:spPr>
                    <a:xfrm>
                      <a:off x="0" y="0"/>
                      <a:ext cx="5605821" cy="1411559"/>
                    </a:xfrm>
                    <a:prstGeom prst="rect">
                      <a:avLst/>
                    </a:prstGeom>
                  </pic:spPr>
                </pic:pic>
              </a:graphicData>
            </a:graphic>
          </wp:inline>
        </w:drawing>
      </w:r>
    </w:p>
    <w:p>
      <w:pPr>
        <w:pStyle w:val="List Paragraph"/>
        <w:jc w:val="both"/>
        <w:ind w:firstLine="0"/>
        <w:ind w:left="720"/>
        <w:spacing w:line="240" w:lineRule="auto"/>
      </w:pPr>
      <w:r>
        <w:rPr/>
        <w:t xml:space="preserve">Se puede observar que las distancias euclidianas de los cambios porcentuales del dengue y de la influenza con respecto a las 4 variables restantes (todos normalizados) son muy altas, por lo tanto podemos inferir que los casos de VIH/SIDA, egresos hospitalarios, esperanza de vida al nacer y muertes maternas están muy relacionados entre sí, pero poco relacionados con los casos de influenza y del dengue. </w:t>
      </w:r>
    </w:p>
    <w:p>
      <w:pPr>
        <w:pStyle w:val="List Paragraph"/>
        <w:jc w:val="both"/>
        <w:ind w:firstLine="0"/>
        <w:ind w:left="720"/>
        <w:spacing w:line="240" w:lineRule="auto"/>
      </w:pPr>
      <w:r>
        <w:rPr/>
        <w:t xml:space="preserve">(0.5 punto) ¿Qué años son los más parecidos considerando todas las categorías?</w:t>
      </w:r>
    </w:p>
    <w:p>
      <w:pPr>
        <w:pStyle w:val="List Paragraph"/>
        <w:jc w:val="both"/>
        <w:ind w:firstLine="0"/>
        <w:ind w:left="720"/>
        <w:spacing w:line="240" w:lineRule="auto"/>
      </w:pPr>
      <w:r>
        <w:rPr/>
        <w:drawing>
          <wp:inline distT="0" distB="0" distL="0" distR="0">
            <wp:extent cx="4946904" cy="1673352"/>
            <wp:docPr id="525" name="rId489.png"/>
            <a:graphic>
              <a:graphicData uri="http://schemas.openxmlformats.org/drawingml/2006/picture">
                <pic:pic>
                  <pic:nvPicPr>
                    <pic:cNvPr id="525" name="rId489.png"/>
                    <pic:cNvPicPr/>
                  </pic:nvPicPr>
                  <pic:blipFill>
                    <a:blip r:embed="rId525"/>
                  </pic:blipFill>
                  <pic:spPr>
                    <a:xfrm>
                      <a:off x="0" y="0"/>
                      <a:ext cx="4946904" cy="1673352"/>
                    </a:xfrm>
                    <a:prstGeom prst="rect">
                      <a:avLst/>
                    </a:prstGeom>
                  </pic:spPr>
                </pic:pic>
              </a:graphicData>
            </a:graphic>
          </wp:inline>
        </w:drawing>
      </w:r>
    </w:p>
    <w:p>
      <w:pPr>
        <w:pStyle w:val="List Paragraph"/>
        <w:jc w:val="both"/>
        <w:ind w:firstLine="0"/>
        <w:ind w:left="720"/>
        <w:spacing w:line="240" w:lineRule="auto"/>
      </w:pPr>
      <w:r>
        <w:rPr/>
        <w:t xml:space="preserve">normalizando todas categorías y aplicandoles un índice de similitud de distancia euclideana se puede encontrar que todos los años difieren mucho entre sí. Los más parecidos son el 1 y el 0 (2010 y 2011), seguidos del 0 con el 4 (2010 y 2014). No obstante, debido a estar normalizados, lo esperado era tener valores cercanos a 1 para poder considerarlos similares entre sí. En este caso parecen estar todos notoriamente diferentes. </w:t>
      </w:r>
    </w:p>
    <w:p>
      <w:pPr>
        <w:pStyle w:val="List Paragraph"/>
        <w:jc w:val="both"/>
        <w:ind w:firstLine="0"/>
        <w:ind w:left="720"/>
        <w:spacing w:line="240" w:lineRule="auto"/>
      </w:pPr>
    </w:p>
    <w:p>
      <w:pPr>
        <w:pStyle w:val="List Paragraph"/>
        <w:jc w:val="both"/>
        <w:ind w:firstLine="0"/>
        <w:ind w:left="720"/>
        <w:spacing w:line="240" w:lineRule="auto"/>
      </w:pPr>
    </w:p>
    <w:p>
      <w:pPr>
        <w:pStyle w:val="List Paragraph"/>
        <w:jc w:val="both"/>
        <w:ind w:firstLine="0"/>
        <w:ind w:left="720"/>
        <w:spacing w:line="240" w:lineRule="auto"/>
      </w:pPr>
    </w:p>
    <w:p>
      <w:pPr>
        <w:pStyle w:val="List Paragraph"/>
        <w:jc w:val="both"/>
        <w:ind w:firstLine="0"/>
        <w:ind w:left="720"/>
        <w:spacing w:line="240" w:lineRule="auto"/>
      </w:pPr>
    </w:p>
    <w:p>
      <w:pPr>
        <w:pStyle w:val="List Paragraph"/>
        <w:jc w:val="both"/>
        <w:ind w:firstLine="0"/>
        <w:ind w:left="720"/>
        <w:spacing w:line="240" w:lineRule="auto"/>
      </w:pPr>
    </w:p>
    <w:p>
      <w:pPr>
        <w:pStyle w:val="List Paragraph"/>
        <w:jc w:val="both"/>
        <w:ind w:firstLine="0"/>
        <w:ind w:left="720"/>
        <w:spacing w:line="240" w:lineRule="auto"/>
      </w:pPr>
      <w:r>
        <w:rPr/>
        <w:t xml:space="preserve">Código: </w:t>
      </w:r>
    </w:p>
    <w:p>
      <w:pPr>
        <w:pStyle w:val="List Paragraph"/>
        <w:jc w:val="both"/>
        <w:ind w:firstLine="0"/>
        <w:ind w:left="720"/>
        <w:spacing w:line="240" w:lineRule="auto"/>
      </w:pPr>
      <w:r>
        <w:rPr/>
        <w:drawing>
          <wp:inline distT="0" distB="0" distL="0" distR="0">
            <wp:extent cx="5605821" cy="3667750"/>
            <wp:docPr id="537" name="rId501.png"/>
            <a:graphic>
              <a:graphicData uri="http://schemas.openxmlformats.org/drawingml/2006/picture">
                <pic:pic>
                  <pic:nvPicPr>
                    <pic:cNvPr id="537" name="rId501.png"/>
                    <pic:cNvPicPr/>
                  </pic:nvPicPr>
                  <pic:blipFill>
                    <a:blip r:embed="rId537"/>
                  </pic:blipFill>
                  <pic:spPr>
                    <a:xfrm>
                      <a:off x="0" y="0"/>
                      <a:ext cx="5605821" cy="3667750"/>
                    </a:xfrm>
                    <a:prstGeom prst="rect">
                      <a:avLst/>
                    </a:prstGeom>
                  </pic:spPr>
                </pic:pic>
              </a:graphicData>
            </a:graphic>
          </wp:inline>
        </w:drawing>
      </w:r>
    </w:p>
    <w:p>
      <w:pPr>
        <w:pStyle w:val="List Paragraph"/>
        <w:jc w:val="both"/>
        <w:ind w:firstLine="0"/>
        <w:ind w:left="720"/>
        <w:spacing w:line="240" w:lineRule="auto"/>
      </w:pPr>
      <w:r>
        <w:rPr/>
        <w:drawing>
          <wp:inline distT="0" distB="0" distL="0" distR="0">
            <wp:extent cx="5605821" cy="3792840"/>
            <wp:docPr id="540" name="rId504.png"/>
            <a:graphic>
              <a:graphicData uri="http://schemas.openxmlformats.org/drawingml/2006/picture">
                <pic:pic>
                  <pic:nvPicPr>
                    <pic:cNvPr id="540" name="rId504.png"/>
                    <pic:cNvPicPr/>
                  </pic:nvPicPr>
                  <pic:blipFill>
                    <a:blip r:embed="rId540"/>
                  </pic:blipFill>
                  <pic:spPr>
                    <a:xfrm>
                      <a:off x="0" y="0"/>
                      <a:ext cx="5605821" cy="3792840"/>
                    </a:xfrm>
                    <a:prstGeom prst="rect">
                      <a:avLst/>
                    </a:prstGeom>
                  </pic:spPr>
                </pic:pic>
              </a:graphicData>
            </a:graphic>
          </wp:inline>
        </w:drawing>
      </w:r>
      <w:r>
        <w:rPr/>
        <w:drawing>
          <wp:inline distT="0" distB="0" distL="0" distR="0">
            <wp:extent cx="5605821" cy="1754459"/>
            <wp:docPr id="542" name="rId506.png"/>
            <a:graphic>
              <a:graphicData uri="http://schemas.openxmlformats.org/drawingml/2006/picture">
                <pic:pic>
                  <pic:nvPicPr>
                    <pic:cNvPr id="542" name="rId506.png"/>
                    <pic:cNvPicPr/>
                  </pic:nvPicPr>
                  <pic:blipFill>
                    <a:blip r:embed="rId542"/>
                  </pic:blipFill>
                  <pic:spPr>
                    <a:xfrm>
                      <a:off x="0" y="0"/>
                      <a:ext cx="5605821" cy="1754459"/>
                    </a:xfrm>
                    <a:prstGeom prst="rect">
                      <a:avLst/>
                    </a:prstGeom>
                  </pic:spPr>
                </pic:pic>
              </a:graphicData>
            </a:graphic>
          </wp:inline>
        </w:drawing>
      </w:r>
      <w:r>
        <w:rPr/>
        <w:drawing>
          <wp:inline distT="0" distB="0" distL="0" distR="0">
            <wp:extent cx="5605821" cy="3500780"/>
            <wp:docPr id="544" name="rId508.png"/>
            <a:graphic>
              <a:graphicData uri="http://schemas.openxmlformats.org/drawingml/2006/picture">
                <pic:pic>
                  <pic:nvPicPr>
                    <pic:cNvPr id="544" name="rId508.png"/>
                    <pic:cNvPicPr/>
                  </pic:nvPicPr>
                  <pic:blipFill>
                    <a:blip r:embed="rId544"/>
                  </pic:blipFill>
                  <pic:spPr>
                    <a:xfrm>
                      <a:off x="0" y="0"/>
                      <a:ext cx="5605821" cy="3500780"/>
                    </a:xfrm>
                    <a:prstGeom prst="rect">
                      <a:avLst/>
                    </a:prstGeom>
                  </pic:spPr>
                </pic:pic>
              </a:graphicData>
            </a:graphic>
          </wp:inline>
        </w:drawing>
      </w:r>
      <w:r>
        <w:rPr/>
        <w:drawing>
          <wp:inline distT="0" distB="0" distL="0" distR="0">
            <wp:extent cx="5605821" cy="4210721"/>
            <wp:docPr id="546" name="rId510.png"/>
            <a:graphic>
              <a:graphicData uri="http://schemas.openxmlformats.org/drawingml/2006/picture">
                <pic:pic>
                  <pic:nvPicPr>
                    <pic:cNvPr id="546" name="rId510.png"/>
                    <pic:cNvPicPr/>
                  </pic:nvPicPr>
                  <pic:blipFill>
                    <a:blip r:embed="rId546"/>
                  </pic:blipFill>
                  <pic:spPr>
                    <a:xfrm>
                      <a:off x="0" y="0"/>
                      <a:ext cx="5605821" cy="4210721"/>
                    </a:xfrm>
                    <a:prstGeom prst="rect">
                      <a:avLst/>
                    </a:prstGeom>
                  </pic:spPr>
                </pic:pic>
              </a:graphicData>
            </a:graphic>
          </wp:inline>
        </w:drawing>
      </w:r>
    </w:p>
    <w:sectPr>
      <w:type w:val="continuous"/>
      <w:pgSz w:w="12240" w:h="15840" w:orient="portrait"/>
      <w:pgMar w:top="1417" w:left="1701" w:right="1701" w:bottom="1417"/>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13000">
    <w:multiLevelType w:val="hybridMultilevel"/>
    <w:lvl w:ilvl="0">
      <w:start w:val="1"/>
      <w:numFmt w:val="bullet"/>
      <w:lvlText w:val=""/>
      <w:rPr>
        <w:rFonts w:ascii="Wingdings" w:cs="Wingdings" w:hAnsi="Wingdings"/>
      </w:rPr>
    </w:lvl>
    <w:lvl w:ilvl="1">
      <w:start w:val="1"/>
      <w:numFmt w:val="bullet"/>
      <w:lvlText w:val=""/>
      <w:rPr>
        <w:rFonts w:ascii="Wingdings" w:cs="Wingdings" w:hAnsi="Wingdings"/>
      </w:rPr>
    </w:lvl>
    <w:lvl w:ilvl="2">
      <w:start w:val="1"/>
      <w:numFmt w:val="bullet"/>
      <w:lvlText w:val=""/>
      <w:rPr>
        <w:rFonts w:ascii="Wingdings" w:cs="Wingdings" w:hAnsi="Wingdings"/>
      </w:rPr>
    </w:lvl>
    <w:lvl w:ilvl="3">
      <w:start w:val="1"/>
      <w:numFmt w:val="bullet"/>
      <w:lvlText w:val=""/>
      <w:rPr>
        <w:rFonts w:ascii="Wingdings" w:cs="Wingdings" w:hAnsi="Wingdings"/>
      </w:rPr>
    </w:lvl>
    <w:lvl w:ilvl="4">
      <w:start w:val="1"/>
      <w:numFmt w:val="bullet"/>
      <w:lvlText w:val=""/>
      <w:rPr>
        <w:rFonts w:ascii="Wingdings" w:cs="Wingdings" w:hAnsi="Wingdings"/>
      </w:rPr>
    </w:lvl>
    <w:lvl w:ilvl="5">
      <w:start w:val="1"/>
      <w:numFmt w:val="bullet"/>
      <w:lvlText w:val=""/>
      <w:rPr>
        <w:rFonts w:ascii="Wingdings" w:cs="Wingdings" w:hAnsi="Wingdings"/>
      </w:rPr>
    </w:lvl>
    <w:lvl w:ilvl="6">
      <w:start w:val="1"/>
      <w:numFmt w:val="bullet"/>
      <w:lvlText w:val=""/>
      <w:rPr>
        <w:rFonts w:ascii="Wingdings" w:cs="Wingdings" w:hAnsi="Wingdings"/>
      </w:rPr>
    </w:lvl>
    <w:lvl w:ilvl="7">
      <w:start w:val="1"/>
      <w:numFmt w:val="bullet"/>
      <w:lvlText w:val=""/>
      <w:rPr>
        <w:rFonts w:ascii="Wingdings" w:cs="Wingdings" w:hAnsi="Wingdings"/>
      </w:rPr>
    </w:lvl>
    <w:lvl w:ilvl="8">
      <w:start w:val="1"/>
      <w:numFmt w:val="bullet"/>
      <w:lvlText w:val=""/>
      <w:rPr>
        <w:rFonts w:ascii="Wingdings" w:cs="Wingdings" w:hAnsi="Wingdings"/>
      </w:rPr>
    </w:lvl>
  </w:abstractNum>
  <w:abstractNum w:abstractNumId="1117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7111">
    <w:multiLevelType w:val="hybridMultilevel"/>
    <w:lvl w:ilvl="0">
      <w:start w:val="1"/>
      <w:numFmt w:val="lowerLetter"/>
      <w:lvlText w:val="%1."/>
      <w:rPr>
        <w:rFonts w:ascii="Times New Roman" w:cs="Times New Roman" w:hAnsi="Times New Roman"/>
      </w:rPr>
    </w:lvl>
    <w:lvl w:ilvl="1">
      <w:start w:val="1"/>
      <w:numFmt w:val="lowerLetter"/>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Letter"/>
      <w:lvlText w:val="%4."/>
      <w:rPr>
        <w:rFonts w:ascii="Times New Roman" w:cs="Times New Roman" w:hAnsi="Times New Roman"/>
      </w:rPr>
    </w:lvl>
    <w:lvl w:ilvl="4">
      <w:start w:val="1"/>
      <w:numFmt w:val="lowerLetter"/>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Letter"/>
      <w:lvlText w:val="%7."/>
      <w:rPr>
        <w:rFonts w:ascii="Times New Roman" w:cs="Times New Roman" w:hAnsi="Times New Roman"/>
      </w:rPr>
    </w:lvl>
    <w:lvl w:ilvl="7">
      <w:start w:val="1"/>
      <w:numFmt w:val="lowerLetter"/>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000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07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10000">
    <w:multiLevelType w:val="hybridMultilevel"/>
    <w:lvl w:ilvl="0">
      <w:start w:val="1"/>
      <w:numFmt w:val="lowerLetter"/>
      <w:lvlText w:val="%1."/>
      <w:rPr>
        <w:rFonts w:ascii="Times New Roman" w:cs="Times New Roman" w:hAnsi="Times New Roman"/>
      </w:rPr>
    </w:lvl>
    <w:lvl w:ilvl="1">
      <w:start w:val="1"/>
      <w:numFmt w:val="lowerLetter"/>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Letter"/>
      <w:lvlText w:val="%4."/>
      <w:rPr>
        <w:rFonts w:ascii="Times New Roman" w:cs="Times New Roman" w:hAnsi="Times New Roman"/>
      </w:rPr>
    </w:lvl>
    <w:lvl w:ilvl="4">
      <w:start w:val="1"/>
      <w:numFmt w:val="lowerLetter"/>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Letter"/>
      <w:lvlText w:val="%7."/>
      <w:rPr>
        <w:rFonts w:ascii="Times New Roman" w:cs="Times New Roman" w:hAnsi="Times New Roman"/>
      </w:rPr>
    </w:lvl>
    <w:lvl w:ilvl="7">
      <w:start w:val="1"/>
      <w:numFmt w:val="lowerLetter"/>
      <w:lvlText w:val="%8."/>
      <w:rPr>
        <w:rFonts w:ascii="Times New Roman" w:cs="Times New Roman" w:hAnsi="Times New Roman"/>
      </w:rPr>
    </w:lvl>
    <w:lvl w:ilvl="8">
      <w:start w:val="1"/>
      <w:numFmt w:val="lowerLetter"/>
      <w:lvlText w:val="%9."/>
      <w:rPr>
        <w:rFonts w:ascii="Times New Roman" w:cs="Times New Roman" w:hAnsi="Times New Roman"/>
      </w:rPr>
    </w:lvl>
  </w:abstractNum>
  <w:num w:numId="1113000">
    <w:abstractNumId w:val="1113000"/>
  </w:num>
  <w:num w:numId="1117000">
    <w:abstractNumId w:val="1117000"/>
  </w:num>
  <w:num w:numId="1117111">
    <w:abstractNumId w:val="1117111"/>
  </w:num>
  <w:num w:numId="11100011">
    <w:abstractNumId w:val="11100011"/>
  </w:num>
  <w:num w:numId="11100711">
    <w:abstractNumId w:val="11100711"/>
  </w:num>
  <w:num w:numId="11110000">
    <w:abstractNumId w:val="111100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_Normal"/>
    <w:pPr>
      <w:ind w:hanging="432"/>
      <w:ind w:left="720"/>
    </w:pPr>
    <w:rPr/>
  </w:style>
  <w:style w:type="paragraph" w:styleId="Balloon Text">
    <w:name w:val="Balloon Text"/>
    <w:basedOn w:val="_Normal"/>
    <w:pPr>
      <w:spacing w:after="0"/>
      <w:spacing w:line="240" w:lineRule="auto"/>
    </w:pPr>
    <w:rPr>
      <w:sz w:val="16"/>
      <w:rFonts w:ascii="Tahoma" w:cs="Tahoma" w:hAnsi="Tahoma"/>
    </w:rPr>
  </w:style>
  <w:style w:type="paragraph" w:styleId="Block Text">
    <w:name w:val="Block Text"/>
    <w:basedOn w:val="_Normal"/>
    <w:pPr>
      <w:ind w:left="1440"/>
      <w:ind w:right="1440"/>
      <w:spacing w:after="120"/>
    </w:pPr>
    <w:rPr/>
  </w:style>
  <w:style w:type="paragraph" w:styleId="Box List">
    <w:name w:val="Box List"/>
    <w:basedOn w:val="_Normal"/>
    <w:pPr>
      <w:ind w:hanging="432"/>
      <w:ind w:left="720"/>
    </w:pPr>
    <w:rPr/>
  </w:style>
  <w:style w:type="paragraph" w:styleId="Bullet List">
    <w:name w:val="Bullet List"/>
    <w:basedOn w:val="_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_Normal"/>
    <w:pPr>
      <w:ind w:hanging="432"/>
      <w:ind w:left="720"/>
    </w:pPr>
    <w:rPr/>
  </w:style>
  <w:style w:type="character" w:styleId="Default Paragraph Font">
    <w:name w:val="Default Paragraph Font"/>
    <w:basedOn w:val="_Normal"/>
    <w:pPr/>
    <w:rPr/>
  </w:style>
  <w:style w:type="paragraph" w:styleId="Diamond List">
    <w:name w:val="Diamond List"/>
    <w:basedOn w:val="_Normal"/>
    <w:pPr>
      <w:ind w:hanging="432"/>
      <w:ind w:left="720"/>
    </w:pPr>
    <w:rPr/>
  </w:style>
  <w:style w:type="paragraph" w:styleId="Endnote">
    <w:name w:val="Endnote"/>
    <w:basedOn w:val="_Normal"/>
    <w:pPr>
      <w:ind w:hanging="288"/>
      <w:ind w:left="288"/>
    </w:pPr>
    <w:rPr/>
  </w:style>
  <w:style w:type="character" w:styleId="Endnote Reference">
    <w:name w:val="Endnote Reference"/>
    <w:basedOn w:val="_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_Normal"/>
    <w:pPr/>
    <w:rPr>
      <w:sz w:val="20"/>
      <w:vertAlign w:val="superscript"/>
    </w:rPr>
  </w:style>
  <w:style w:type="paragraph" w:styleId="Footnote Text">
    <w:name w:val="Footnote Text"/>
    <w:basedOn w:val="_Normal"/>
    <w:pPr/>
    <w:rPr>
      <w:sz w:val="20"/>
    </w:rPr>
  </w:style>
  <w:style w:type="paragraph" w:styleId="Hand List">
    <w:name w:val="Hand List"/>
    <w:basedOn w:val="_Normal"/>
    <w:pPr>
      <w:ind w:hanging="432"/>
      <w:ind w:left="720"/>
    </w:pPr>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_Normal"/>
    <w:pPr>
      <w:ind w:hanging="432"/>
      <w:ind w:left="720"/>
    </w:pPr>
    <w:rPr/>
  </w:style>
  <w:style w:type="paragraph" w:styleId="Implies List">
    <w:name w:val="Implies List"/>
    <w:basedOn w:val="_Normal"/>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_Normal"/>
    <w:pPr>
      <w:ind w:hanging="432"/>
      <w:ind w:left="720"/>
    </w:pPr>
    <w:rPr/>
  </w:style>
  <w:style w:type="paragraph" w:styleId="Plain Table 3">
    <w:name w:val="Plain Table 3"/>
    <w:basedOn w:val="Normal Table"/>
    <w:pPr>
      <w:spacing w:after="0"/>
      <w:spacing w:line="240" w:lineRule="auto"/>
    </w:pPr>
    <w:rPr/>
  </w:style>
  <w:style w:type="paragraph" w:styleId="Plain Table 5">
    <w:name w:val="Plain Table 5"/>
    <w:basedOn w:val="Normal Table"/>
    <w:pPr>
      <w:spacing w:after="0"/>
      <w:spacing w:line="240" w:lineRule="auto"/>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_Normal"/>
    <w:pPr>
      <w:ind w:hanging="432"/>
      <w:ind w:left="720"/>
    </w:pPr>
    <w:rPr/>
  </w:style>
  <w:style w:type="paragraph" w:styleId="Star List">
    <w:name w:val="Star List"/>
    <w:basedOn w:val="_Normal"/>
    <w:pPr>
      <w:ind w:hanging="432"/>
      <w:ind w:left="720"/>
    </w:pPr>
    <w:rPr/>
  </w:style>
  <w:style w:type="paragraph" w:styleId="Table Grid">
    <w:name w:val="Table Grid"/>
    <w:basedOn w:val="Normal Table"/>
    <w:pPr>
      <w:spacing w:after="0"/>
      <w:spacing w:line="240" w:lineRule="auto"/>
    </w:pPr>
    <w:rPr/>
  </w:style>
  <w:style w:type="character" w:styleId="Texto de globo Car">
    <w:name w:val="Texto de globo Car"/>
    <w:basedOn w:val="Default Paragraph Font"/>
    <w:pPr/>
    <w:rPr>
      <w:sz w:val="16"/>
      <w:rFonts w:ascii="Tahoma" w:cs="Tahoma" w:hAnsi="Tahoma"/>
    </w:rPr>
  </w:style>
  <w:style w:type="character" w:styleId="Texto nota pie Car">
    <w:name w:val="Texto nota pie Car"/>
    <w:basedOn w:val="Default Paragraph Font"/>
    <w:pPr/>
    <w:rPr>
      <w:sz w:val="20"/>
    </w:rPr>
  </w:style>
  <w:style w:type="paragraph" w:styleId="Tick List">
    <w:name w:val="Tick List"/>
    <w:basedOn w:val="_Normal"/>
    <w:pPr>
      <w:ind w:hanging="432"/>
      <w:ind w:left="720"/>
    </w:pPr>
    <w:rPr/>
  </w:style>
  <w:style w:type="paragraph" w:styleId="Triangle List">
    <w:name w:val="Triangle List"/>
    <w:basedOn w:val="_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 w:type="character" w:styleId="apple-converted-space">
    <w:name w:val="apple-converted-space"/>
    <w:basedOn w:val="Default Paragraph Font"/>
    <w:pPr/>
    <w:rPr/>
  </w:style>
  <w:style w:type="paragraph" w:styleId="caption">
    <w:name w:val="caption"/>
    <w:basedOn w:val="_Normal"/>
    <w:next w:val="_Normal"/>
    <w:pPr>
      <w:spacing w:line="240" w:lineRule="auto"/>
    </w:pPr>
    <w:rPr>
      <w:i/>
      <w:sz w:val="18"/>
      <w:color w:val="1f497d"/>
    </w:rPr>
  </w:style>
  <w:style w:type="character" w:styleId="footnote reference">
    <w:name w:val="footnote reference"/>
    <w:basedOn w:val="Default Paragraph Font"/>
    <w:pPr/>
    <w:rPr>
      <w:vertAlign w:val="superscript"/>
    </w:rPr>
  </w:style>
  <w:style w:type="paragraph" w:styleId="footnote text">
    <w:name w:val="footnote text"/>
    <w:basedOn w:val="_Normal"/>
    <w:pPr>
      <w:spacing w:after="0"/>
      <w:spacing w:line="240" w:lineRule="auto"/>
    </w:pPr>
    <w:rPr>
      <w:sz w:val="20"/>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6" Type="http://schemas.openxmlformats.org/officeDocument/2006/relationships/image" Target="media/rId66.png"/><Relationship Id="rId74" Type="http://schemas.openxmlformats.org/officeDocument/2006/relationships/image" Target="media/rId74.png"/><Relationship Id="rId317" Type="http://schemas.openxmlformats.org/officeDocument/2006/relationships/image" Target="media/rId317.png"/><Relationship Id="rId320" Type="http://schemas.openxmlformats.org/officeDocument/2006/relationships/image" Target="media/rId320.png"/><Relationship Id="rId500" Type="http://schemas.openxmlformats.org/officeDocument/2006/relationships/image" Target="media/rId464.png"/><Relationship Id="rId502" Type="http://schemas.openxmlformats.org/officeDocument/2006/relationships/image" Target="media/rId466.png"/><Relationship Id="rId518" Type="http://schemas.openxmlformats.org/officeDocument/2006/relationships/image" Target="media/rId482.png"/><Relationship Id="rId525" Type="http://schemas.openxmlformats.org/officeDocument/2006/relationships/image" Target="media/rId489.png"/><Relationship Id="rId537" Type="http://schemas.openxmlformats.org/officeDocument/2006/relationships/image" Target="media/rId501.png"/><Relationship Id="rId540" Type="http://schemas.openxmlformats.org/officeDocument/2006/relationships/image" Target="media/rId504.png"/><Relationship Id="rId542" Type="http://schemas.openxmlformats.org/officeDocument/2006/relationships/image" Target="media/rId506.png"/><Relationship Id="rId544" Type="http://schemas.openxmlformats.org/officeDocument/2006/relationships/image" Target="media/rId508.png"/><Relationship Id="rId546" Type="http://schemas.openxmlformats.org/officeDocument/2006/relationships/image" Target="media/rId510.png"/></Relationships>
</file>