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 No. 1440</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17/03/2026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Keyner Caraballo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Denis Arjona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CB-EM-EX-N/A-78932-PBCL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CRM0037123 - Inconsistencia Campo CCNFI5 Maestro de consignaciones CJCN - INC1489247</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CB-NO-IN-N/A-79023-PRB</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estado de tarjetas con Inconsistencias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Denis Arjona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CB-EM-EX-N/A-78932-PBCL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CRM0037123 - Inconsistencia Campo CCNFI5 Maestro de consignaciones CJCN - INC1489247</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Keyner Caraballo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CB-NO-IN-N/A-79023-PRB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Ajuste estado de tarjetas con Inconsistencias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Denis Arjona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78932 CRM0037123 - Inconsistencia Campo CCNFI5 Maestro de consignaciones CJCN - INC1489247</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al comité la solicitud emergente bajo el CRM 78332 al cual le hace falta el análisis Kiuwan final. El cambio tiene como el fin generar los SAVF asociados al ajuste del CRM 37123. Esta intervención es crítica para corregir el proceso de incorporación del depósito electrónico de Davivienda, garantizando que cuando el comercio aplique para RETEICA, o en transacciones con cobro generado, se asigne la marca establecida correctamente. El ajuste busca solucionar la incidencia actual donde dichas transacciones están quedando con valor cero, asegurando así la integridad de la información transaccional procesada por la entidad.</w:t>
              <w:br/>
              <w:t xml:space="preserve"/>
              <w:br/>
              <w:t xml:space="preserve">Ante las siguientes preguntas: ¿Cuál es la afectación en producción critica qué está deteriorando el servicio? Se indica que en la tabla CJCN el campo del FI5 no se está poblando el campo correctamente para algunas transacciones, ya que está dejando este campo en 0</w:t>
              <w:br/>
              <w:t xml:space="preserve">¿Por qué no se radico y presento por los tiempos establecidos en el procedimiento de gestión de cambios, y porque no se puede esperar a estos? Se explica que no se puede por que esta afectando la información de transacciones.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79023 Ajuste estado de tarjetas con Inconsistencias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el control de cambios CRM 79023 con el objetivo de solicitar la activación de usuarios de administración para atender fallos masivos de BPO. Esta intervención es necesaria para gestionar los cambios de estado de clientes afectados bajo el CRM 36219, abarcando específicamente las entidades de Banco Unión y Coltefinanciera. El ajuste busca normalizar el estado de las tarjetas en el ambiente de producción tras las inconsistencias detectadas.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Denis Arjona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CB-EM-EX-N/A-78932-PBCL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CRM0037123 - Inconsistencia Campo CCNFI5 Maestro de consignaciones CJCN - INC1489247</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Keyner Caraballo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CB-NO-IN-N/A-79023-PRB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Ajuste estado de tarjetas con Inconsistencias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Denis Arjona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