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 No. 1442</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24/03/2026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Rafael Galvis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Orlando Guerrero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Cesar Mejia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CB-NO-EX-AS236304-78976-PRD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AS236304 RENOVACION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 AS227902C1-78970 -PDCL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AS227902C1 Hoja de vida del proyecto incompleta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CB-NO-EX-AS248901-78969-PDCL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AS248901 REPORTE PERFILES ASCARD</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CB-NO-EX-N/A-78073-PRD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CRM34514 CAMBIO DE ESTADOS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CB-NO-EX-AS244905-79009-PDCL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version 13.0 eliminación TC</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CB-NO-EX-N/A-79006-PBCL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CRM0037717 Incorporación doble insumos Extracto Pos Redeban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CB-NO-EX-AS236304-78976-PRD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AS236304 RENOVACION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 AS227902C1-78970 -PDCL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AS227902C1 Hoja de vida del proyecto incompleta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Orlando Guerrero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CB-NO-EX-AS248901-78969-PDCL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AS248901 REPORTE PERFILES ASCARD</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Orlando Guerrero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CB-NO-EX-N/A-78073-PRD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CRM34514 CAMBIO DE ESTADOS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CB-NO-EX-AS244905-79009-PDCL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version 13.0 eliminación TC</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CB-NO-EX-N/A-79006-PBCL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Comité de Cambio Normal-  CRM0037717 Incorporación doble insumos Extracto Pos Redeban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Mejia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78976 AS236304 RENOVACION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se relaciona con el manejo de estados, replicado previamente en Coopcentral y Banco Unión, donde tras diez días de monitoreo se confirmó que el último ajuste funciona correctamente. La estrategia consiste en eliminar componentes personalizados y aplicar la configuración desde el mantenimiento CRPLI, lo que requiere instalación del WAR por parte de Java. El plan de trabajo incluye bajar servicios en horario no disponible, respaldar la versión anterior, instalar el ajuste, validar componentes Java, subir servicios y verificar la correcta aplicación del cambio; el rollback seguiría el mismo proceso usando el backup previo. El impacto, el riesgo y el impacto de rollback se consideran bajos, y el seguimiento contempla monitoreo diario después de la instalación para validar el comportamiento del ajuste de estados. Se acordó posponer el cambio para el próximo martes porque, según se indicó, es necesario primero informar a la entidad Ban100 y obtener su visto bueno antes de proceder con cualquier despliegue en producción; además, se solicitó ajustar las fechas en la documentación sin volver a diligenciarla y mantener la programación con fecha del 24. El equipo confirmó que el aval del banco es indispensable para continuar, y los miembros del comité aprobaron el cambio condicionado a la actualización de las fechas.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78970 AS227902C1 Hoja de vida del proyecto incompleta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requerimiento presentado al comité corresponde a la necesidad interna de modificar la JOBD del ambiente productivo del Data Warehouse, con el fin de habilitar el nuevo módulo de transmisión de archivos y la bitácora automática. Para lograr esta funcionalidad es indispensable ajustar la configuración de los ambientes, incluyendo la creación de usuarios de control de procesos que permitan soportar la migración y posterior operación del módulo. El plan de trabajo contempla la configuración y validación de estos usuarios, así como la revisión de accesos entre los distintos ambientes involucrados. En caso de que sea necesario ejecutar un rollback, se revertirán las modificaciones aplicadas a la JOBD y se eliminarán los usuarios creados. El impacto del cambio se considera moderado, con un riesgo alto debido a la naturaleza de los componentes involucrados, mientras que el impacto del rollback es moderado. Como plan de seguimiento, se realizará el monitoreo de los servicios y componentes instalados para asegurar su correcto funcionamiento posterior al ajuste. Finalmente, Ayda señaló que es necesario actualizar la hora de ejecución; no obstante, aprobó el cambio.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78969 AS248901 REPORTE PERFILES ASCARD</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corresponde a un requerimiento externo solicitado por el cliente, mediante el cual se requiere la creación de una nueva funcionalidad que genere la información de los perfiles de los usuarios que acceden al frontend y permita visualizarla en una ruta específica. Esta funcionalidad deberá generar un reporte que consolide todas las operaciones realizadas sobre dichos perfiles, incluyendo creaciones, modificaciones y eliminaciones. Este es el cambio que se somete a consideración. Como plan de trabajo, se contempla la ejecución del protocolo PAP, la notificación correspondiente al cliente, la realización del respaldo y el paso de software tanto en AS400 como en sistema abierto. Asimismo, se efectuará la validación de la catalogación en el ambiente productivo y las pruebas de conectividad de los servicios. Posteriormente, se llevarán a cabo las pruebas funcionales por parte de los clientes involucrados, específicamente Claro y Carvajal. En caso de requerirse un rollback, se procederá con el inicio del protocolo, la notificación al cliente, la reversión del software en AS400 y sistema abierto, la validación de la catalogación y la ejecución de pruebas de conectividad para todos los clientes. El impacto del cambio se clasifica como moderado, el riesgo asociado es bajo y, como plan de seguimiento, se establece el monitoreo de los servicios por parte de todo el equipo, además del envío de la notificación correspondiente al cliente.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78073 CRM34514 CAMBIO DE ESTADOS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corresponde al ajuste relacionado con la renovación y el manejo de estados, presentado por separado aunque se instalará junto con el mantenimiento anterior, requiriendo únicamente intervenir el CRPLI. El plan de trabajo incluye crear el backup de los componentes en AS400, eliminar los objetos de la librería personalizada, validar dicha eliminación, bajar servicios, instalar el ajuste Java para los nuevos estados, respaldar la versión previa, restaurar los artefactos actualizados, subir servicios y verificar su correcto funcionamiento; en caso de rollback, se repetiría el proceso usando el backup anterior tanto de AS400 como de Java. El impacto, el riesgo y el impacto del rollback se consideran bajos, y el seguimiento consiste en monitorear el comportamiento del paso a producción para confirmar la correcta aplicación del ajuste.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5. Cambio 79009 version 13.0 eliminación TC</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ajuste se realiza sobre un programa de alcance encargado de actualizar la</w:t>
              <w:br/>
              <w:t xml:space="preserve">  posición 7 y 8 para los bines con consecutivo “00”, el cual requiere ser</w:t>
              <w:br/>
              <w:t xml:space="preserve">  modificado porque está generando inconvenientes en el proceso de</w:t>
              <w:br/>
              <w:t xml:space="preserve">  ofuscamiento; este programa reside en la librería personalizada del Banco</w:t>
              <w:br/>
              <w:t xml:space="preserve">  Agrario, por lo que no afecta a otras entidades. El plan de trabajo contempla</w:t>
              <w:br/>
              <w:t xml:space="preserve">  crear el backup de los objetos a restaurar, generar el SAVF para instalar en</w:t>
              <w:br/>
              <w:t xml:space="preserve">  NAOS pruebas, restaurarlo en producción y verificar los componentes; en caso</w:t>
              <w:br/>
              <w:t xml:space="preserve">  de rollback se usaría el backup previo para devolver los objetos y confirmar</w:t>
              <w:br/>
              <w:t xml:space="preserve">  que recuperan sus fechas anteriores. El impacto, el riesgo y el rollback se</w:t>
              <w:br/>
              <w:t xml:space="preserve">  consideran bajos, y el seguimiento se realiza diariamente por el equipo de</w:t>
              <w:br/>
              <w:t xml:space="preserve">  certificación como parte de sus tareas habituales. Se explicó que el cambio hacía parte del proyecto de modernización y de la tercera migración, donde se están usando programas de alcance para manejar información ofuscada debido a restricciones actuales del banco; estos programas se ejecutan solo una vez mediante bitácora y no se eliminan porque forman parte de las personalizaciones, aunque podrían borrarse después de la salida a producción para evitar usos indebidos. También se aclaró que en el día cero dichos programas no se ejecutan porque no forman parte del minutograma, y que aunque permanecen en la librería personalizada, no representan riesgo ya que están controlados por el equipo.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6. Cambio 79006 Solicitud Comité de Cambio Normal-  CRM0037717 Incorporación doble insumos Extracto Pos Redeban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consiste en incorporar transacciones provenientes de POS únicamente cuando el tipo de tarjeta sea cero, siempre que se cumplan condiciones específicas asociadas a los tipos de cuenta 0001 y 0011. Este ajuste corrige una omisión de un proyecto anterior en el que estas validaciones no habían sido consideradas. El plan de trabajo incluye la presentación en comité, la solicitud y generación de los SAVF con su respectivo formato de catalogación, la revisión técnica y posteriormente la entrega a la entidad con el ajuste aplicado. El impacto es bajo, ya que el cambio no afecta de forma significativa los procesos actualmente operativos. En cuanto al plan de seguimiento, una vez la entidad realice el paso a producción, se efectuará un monitoreo puntual para verificar el correcto funcionamiento del ajuste implementado. Julieth preguntó si el ajuste provenía de un proyecto específico y solicitó confirmar que dicho proyecto estuviera correctamente asociado al ticket; además pidió precisar a qué se refería el “pequeño monitoreo” en términos de días. Keyner respondió que el monitoreo corresponde a un máximo de dos días para este tipo de entidades licenciadas, que el seguimiento ya está contemplado aunque sin fecha por depender del cliente, y confirmó que el proyecto padre asociado es el 261201, correspondiente a mensajería full switching.</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7.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CB-NO-EX-AS236304-78976-PRD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AS236304 RENOVACION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 AS227902C1-78970 -PDCL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AS227902C1 Hoja de vida del proyecto incompleta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Orlando Guerrero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CB-NO-EX-AS248901-78969-PDCL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AS248901 REPORTE PERFILES ASCARD</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Orlando Guerrero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CB-NO-EX-N/A-78073-PRD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CRM34514 CAMBIO DE ESTADOS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CB-NO-EX-AS244905-79009-PDCL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version 13.0 eliminación TC</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CB-NO-EX-N/A-79006-PBCL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Comité de Cambio Normal-  CRM0037717 Incorporación doble insumos Extracto Pos Redeban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Mejia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