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EMERGENTE Y AJUSTE EN AMBIENTE PRODUCTIVO No. 1453</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30/03/2026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Keyner Caraballo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Yeison Arcos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CB-NO-EX-N/A-79147-PRD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validación archivos TITLRES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CB-NO-IN-AS244901C2-79154-PDCL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AS244901C2 Bodega de datos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CB-NO-EX-N/A-79147-PRD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validación archivos TITLRES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Keyner Caraballo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CB-NO-IN-AS244901C2-79154-PDCL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AS244901C2 Bodega de datos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Yeison Arcos</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79147 Solicitud validación archivos TITLRES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correspondiente al ajuste de generación de interfaces ASCARD para el Banco Agrario, donde se modifican formatos de extracción incluido el punto decimal y el separador de campos, para garantizar la correcta carga en la Bodega de Datos del banco. Durante la sesión, el analista Elkin Gómez consultó si ASNET debía realizar cruces de información o si éstos eran entregados por la entidad, aclarando el equipo que ASNET únicamente genera los archivos y que los cruces se realizan internamente por el banco y su proveedor. El despliegue se ejecuta en horario hábil como prerequisito para las ventanas de pruebas definidas por el banco, sin impacto en otras entidades, e involucra la actualización del objeto FORMDATD01 en la librería AJP200BPA, seguido de validación en NAOS junto con el Banco Agrario.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06/04/2026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79154 AS244901C2 Bodega de datos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79154 el cual consiste en un cambio para Banco de Occidente tras identificarse, durante la revisión del Archivo de Titulares, una diferencia de un peso entre la sumatoria generada por la opción de IT y los valores provenientes de BIN propio y BIN no propio. Ante esta inconsistencia, Elkin Gómez solicitó precisión preguntando en qué parte del proceso se estaba generando el error, aclarando el equipo que la desviación se encontraba en el archivo CJCN, afectando exclusivamente el reporte de titulares. A partir de este hallazgo, se definió la creación de una condición de validación que garantizara la coincidencia en las sumatorias antes de copiar los registros al histórico. El plan de trabajo se estructuró de manera secuencial: primero, la copia de los objetos actuales; luego, el despliegue de los programas ajustados en las librerías destino de la entidad; y finalmente, la ejecución y verificación manual de los reportes por parte de los analistas. El ajuste no impacta procesos de incorporación ni la malla productiva, y se complementa con un monitoreo posterior para confirmar la correcta generación del reporte.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30/03/2026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CB-NO-EX-N/A-79147-PRD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validación archivos TITLRES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Keyner Caraballo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CB-NO-IN-AS244901C2-79154-PDCL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AS244901C2 Bodega de datos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Yeison Arcos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