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5E3" w:rsidRDefault="008F2009" w:rsidP="002B28DD">
      <w:pPr>
        <w:pStyle w:val="Ttulo"/>
        <w:spacing w:after="100"/>
        <w:jc w:val="center"/>
      </w:pPr>
      <w:r>
        <w:t>Manual de</w:t>
      </w:r>
      <w:bookmarkStart w:id="0" w:name="_GoBack"/>
      <w:bookmarkEnd w:id="0"/>
      <w:r>
        <w:t xml:space="preserve"> Proveedores y Política de Compras</w:t>
      </w:r>
    </w:p>
    <w:p w:rsidR="003715E3" w:rsidRDefault="008F2009">
      <w:pPr>
        <w:pStyle w:val="Ttulo2"/>
        <w:spacing w:after="300"/>
      </w:pPr>
      <w:r>
        <w:t>Restaurante Lima-Pe</w:t>
      </w:r>
    </w:p>
    <w:p w:rsidR="003715E3" w:rsidRDefault="008F2009">
      <w:pPr>
        <w:spacing w:after="120"/>
      </w:pPr>
      <w:r>
        <w:t xml:space="preserve">Versión: 1.0 | Fecha de emisión: 21 de julio de 2026 | Alcance: Local </w:t>
      </w:r>
    </w:p>
    <w:p w:rsidR="003715E3" w:rsidRDefault="008F2009">
      <w:pPr>
        <w:pStyle w:val="Ttulo1"/>
        <w:spacing w:before="300" w:after="150"/>
      </w:pPr>
      <w:r>
        <w:t>1. Presentación y objetivo del manual</w:t>
      </w:r>
    </w:p>
    <w:p w:rsidR="003715E3" w:rsidRDefault="008F2009">
      <w:pPr>
        <w:spacing w:after="120"/>
      </w:pPr>
      <w:r>
        <w:t>Restaurante Lima-Pe nació con el propósito de ofrecer cocina peruana contemporánea preparada con insumos frescos y de procedencia confiable. La calidad de cada plato depende directamente de la calidad de lo que compramos: por eso este manual establece las reglas claras que rigen la relación comercial entre Restaurante Lima-Pe y sus proveedores de insumos, bebidas e insumos no alimentarios.</w:t>
      </w:r>
    </w:p>
    <w:p w:rsidR="003715E3" w:rsidRDefault="008F2009">
      <w:pPr>
        <w:spacing w:after="120"/>
      </w:pPr>
      <w:r>
        <w:t>Este documento aplica a todos los proveedores activos y candidatos a proveedor, así como al personal de Cocina, Compras y Administración que interactúa con ellos.</w:t>
      </w:r>
    </w:p>
    <w:p w:rsidR="003715E3" w:rsidRDefault="008F2009">
      <w:pPr>
        <w:pStyle w:val="Ttulo1"/>
        <w:spacing w:before="300" w:after="150"/>
      </w:pPr>
      <w:r>
        <w:t>2. Filosofía de compras</w:t>
      </w:r>
    </w:p>
    <w:p w:rsidR="003715E3" w:rsidRDefault="008F2009">
      <w:pPr>
        <w:spacing w:after="120"/>
      </w:pPr>
      <w:r>
        <w:t>Las decisiones de compra en Restaurante Lima-Pe se guían por cuatro principios:</w:t>
      </w:r>
    </w:p>
    <w:p w:rsidR="003715E3" w:rsidRDefault="008F2009">
      <w:pPr>
        <w:pStyle w:val="Prrafodelista"/>
        <w:numPr>
          <w:ilvl w:val="0"/>
          <w:numId w:val="1"/>
        </w:numPr>
        <w:spacing w:after="60"/>
      </w:pPr>
      <w:proofErr w:type="gramStart"/>
      <w:r>
        <w:t>Frescura</w:t>
      </w:r>
      <w:proofErr w:type="gramEnd"/>
      <w:r>
        <w:t xml:space="preserve"> ante todo: ningún ahorro justifica comprometer la frescura o inocuidad de un insumo.</w:t>
      </w:r>
    </w:p>
    <w:p w:rsidR="003715E3" w:rsidRDefault="008F2009">
      <w:pPr>
        <w:pStyle w:val="Prrafodelista"/>
        <w:numPr>
          <w:ilvl w:val="0"/>
          <w:numId w:val="1"/>
        </w:numPr>
        <w:spacing w:after="60"/>
      </w:pPr>
      <w:r>
        <w:t>Trazabilidad: todo insumo debe poder rastrearse hasta su proveedor y lote de origen.</w:t>
      </w:r>
    </w:p>
    <w:p w:rsidR="003715E3" w:rsidRDefault="008F2009">
      <w:pPr>
        <w:pStyle w:val="Prrafodelista"/>
        <w:numPr>
          <w:ilvl w:val="0"/>
          <w:numId w:val="1"/>
        </w:numPr>
        <w:spacing w:after="60"/>
      </w:pPr>
      <w:r>
        <w:t>Apoyo al productor local: se prioriza a proveedores y mercados de Lima y alrededores sobre insumos importados cuando la calidad es comparable.</w:t>
      </w:r>
    </w:p>
    <w:p w:rsidR="003715E3" w:rsidRDefault="008F2009">
      <w:pPr>
        <w:pStyle w:val="Prrafodelista"/>
        <w:numPr>
          <w:ilvl w:val="0"/>
          <w:numId w:val="1"/>
        </w:numPr>
        <w:spacing w:after="60"/>
      </w:pPr>
      <w:r>
        <w:t>Precio justo: negociamos condiciones sostenibles para ambas partes, no el descuento más agresivo posible.</w:t>
      </w:r>
    </w:p>
    <w:p w:rsidR="003715E3" w:rsidRDefault="008F2009">
      <w:pPr>
        <w:pStyle w:val="Ttulo1"/>
        <w:spacing w:before="300" w:after="150"/>
      </w:pPr>
      <w:r>
        <w:t>3. Perfil de proveedores bienvenidos</w:t>
      </w:r>
    </w:p>
    <w:p w:rsidR="003715E3" w:rsidRDefault="008F2009">
      <w:pPr>
        <w:pStyle w:val="Ttulo2"/>
        <w:spacing w:before="200" w:after="100"/>
      </w:pPr>
      <w:r>
        <w:t>3.1 Proveedores de insumos frescos</w:t>
      </w:r>
    </w:p>
    <w:p w:rsidR="003715E3" w:rsidRDefault="008F2009">
      <w:pPr>
        <w:spacing w:after="120"/>
      </w:pPr>
      <w:r>
        <w:t>Mercados mayoristas, distribuidores de carnes, pescados y mariscos, y productores agrícolas que entreguen bajo cadena de frío cuando corresponda.</w:t>
      </w:r>
    </w:p>
    <w:p w:rsidR="003715E3" w:rsidRDefault="008F2009">
      <w:pPr>
        <w:pStyle w:val="Ttulo2"/>
        <w:spacing w:before="200" w:after="100"/>
      </w:pPr>
      <w:r>
        <w:t>3.2 Distribuidores de abarrotes y bebidas</w:t>
      </w:r>
    </w:p>
    <w:p w:rsidR="003715E3" w:rsidRDefault="008F2009">
      <w:pPr>
        <w:spacing w:after="120"/>
      </w:pPr>
      <w:r>
        <w:t>Empresas formalmente constituidas que suministren arroz, aceites, condimentos, bebidas embotelladas y cerveza artesanal, con RUC vigente y comprobantes de pago electrónicos.</w:t>
      </w:r>
    </w:p>
    <w:p w:rsidR="003715E3" w:rsidRDefault="008F2009">
      <w:pPr>
        <w:pStyle w:val="Ttulo2"/>
        <w:spacing w:before="200" w:after="100"/>
      </w:pPr>
      <w:r>
        <w:t>3.3 Proveedores de insumos no alimentarios</w:t>
      </w:r>
    </w:p>
    <w:p w:rsidR="003715E3" w:rsidRDefault="008F2009">
      <w:pPr>
        <w:spacing w:after="120"/>
      </w:pPr>
      <w:r>
        <w:t xml:space="preserve">Empaques de </w:t>
      </w:r>
      <w:proofErr w:type="spellStart"/>
      <w:r>
        <w:t>delivery</w:t>
      </w:r>
      <w:proofErr w:type="spellEnd"/>
      <w:r>
        <w:t>, desechables, productos de limpieza y mantelería. Deben contar con ficha técnica de sus productos, en especial los biodegradables.</w:t>
      </w:r>
    </w:p>
    <w:p w:rsidR="003715E3" w:rsidRDefault="008F2009">
      <w:pPr>
        <w:pStyle w:val="Ttulo1"/>
        <w:spacing w:before="300" w:after="150"/>
      </w:pPr>
      <w:r>
        <w:t>4. Proceso de alta de nuevos proveedores</w:t>
      </w:r>
    </w:p>
    <w:p w:rsidR="003715E3" w:rsidRDefault="008F2009">
      <w:pPr>
        <w:spacing w:after="120"/>
      </w:pPr>
      <w:r>
        <w:t>El proceso completo toma entre 5 y 10 días hábiles desde la recepción de la documentación completa.</w:t>
      </w:r>
    </w:p>
    <w:p w:rsidR="003715E3" w:rsidRDefault="008F2009">
      <w:pPr>
        <w:pStyle w:val="Ttulo2"/>
        <w:spacing w:before="200" w:after="100"/>
      </w:pPr>
      <w:r>
        <w:t>Paso 1 — Solicitud de alta</w:t>
      </w:r>
    </w:p>
    <w:p w:rsidR="003715E3" w:rsidRDefault="008F2009">
      <w:pPr>
        <w:spacing w:after="120"/>
      </w:pPr>
      <w:r>
        <w:t>El candidato completa el Formulario de Alta de Proveedor (FAP-DEL01), disponible con el área de Compras, indicando categoría de productos, capacidad de abastecimiento y referencias comerciales.</w:t>
      </w:r>
    </w:p>
    <w:p w:rsidR="003715E3" w:rsidRDefault="008F2009">
      <w:pPr>
        <w:pStyle w:val="Ttulo2"/>
        <w:spacing w:before="200" w:after="100"/>
      </w:pPr>
      <w:r>
        <w:t>Paso 2 — Documentación obligatoria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2600"/>
      </w:tblGrid>
      <w:tr w:rsidR="003715E3">
        <w:tc>
          <w:tcPr>
            <w:tcW w:w="3200" w:type="dxa"/>
            <w:shd w:val="clear" w:color="auto" w:fill="1F4E78"/>
          </w:tcPr>
          <w:p w:rsidR="003715E3" w:rsidRDefault="008F2009">
            <w:r>
              <w:rPr>
                <w:b/>
                <w:bCs/>
                <w:color w:val="FFFFFF"/>
              </w:rPr>
              <w:lastRenderedPageBreak/>
              <w:t>Documento</w:t>
            </w:r>
          </w:p>
        </w:tc>
        <w:tc>
          <w:tcPr>
            <w:tcW w:w="3200" w:type="dxa"/>
            <w:shd w:val="clear" w:color="auto" w:fill="1F4E78"/>
          </w:tcPr>
          <w:p w:rsidR="003715E3" w:rsidRDefault="008F2009">
            <w:r>
              <w:rPr>
                <w:b/>
                <w:bCs/>
                <w:color w:val="FFFFFF"/>
              </w:rPr>
              <w:t>Vigencia requerida</w:t>
            </w:r>
          </w:p>
        </w:tc>
        <w:tc>
          <w:tcPr>
            <w:tcW w:w="2600" w:type="dxa"/>
            <w:shd w:val="clear" w:color="auto" w:fill="1F4E78"/>
          </w:tcPr>
          <w:p w:rsidR="003715E3" w:rsidRDefault="008F2009">
            <w:r>
              <w:rPr>
                <w:b/>
                <w:bCs/>
                <w:color w:val="FFFFFF"/>
              </w:rPr>
              <w:t>Aplica a</w:t>
            </w:r>
          </w:p>
        </w:tc>
      </w:tr>
      <w:tr w:rsidR="003715E3">
        <w:tc>
          <w:tcPr>
            <w:tcW w:w="3200" w:type="dxa"/>
          </w:tcPr>
          <w:p w:rsidR="003715E3" w:rsidRDefault="008F2009">
            <w:r>
              <w:t>RUC y ficha RUC (SUNAT)</w:t>
            </w:r>
          </w:p>
        </w:tc>
        <w:tc>
          <w:tcPr>
            <w:tcW w:w="3200" w:type="dxa"/>
          </w:tcPr>
          <w:p w:rsidR="003715E3" w:rsidRDefault="008F2009">
            <w:r>
              <w:t>Vigente</w:t>
            </w:r>
          </w:p>
        </w:tc>
        <w:tc>
          <w:tcPr>
            <w:tcW w:w="2600" w:type="dxa"/>
          </w:tcPr>
          <w:p w:rsidR="003715E3" w:rsidRDefault="008F2009">
            <w:r>
              <w:t>Todos</w:t>
            </w:r>
          </w:p>
        </w:tc>
      </w:tr>
      <w:tr w:rsidR="003715E3">
        <w:tc>
          <w:tcPr>
            <w:tcW w:w="3200" w:type="dxa"/>
          </w:tcPr>
          <w:p w:rsidR="003715E3" w:rsidRDefault="008F2009">
            <w:r>
              <w:t>Constancia de no adeudo / condición de contribuyente</w:t>
            </w:r>
          </w:p>
        </w:tc>
        <w:tc>
          <w:tcPr>
            <w:tcW w:w="3200" w:type="dxa"/>
          </w:tcPr>
          <w:p w:rsidR="003715E3" w:rsidRDefault="008F2009">
            <w:r>
              <w:t>No mayor a 30 días</w:t>
            </w:r>
          </w:p>
        </w:tc>
        <w:tc>
          <w:tcPr>
            <w:tcW w:w="2600" w:type="dxa"/>
          </w:tcPr>
          <w:p w:rsidR="003715E3" w:rsidRDefault="008F2009">
            <w:r>
              <w:t>Todos</w:t>
            </w:r>
          </w:p>
        </w:tc>
      </w:tr>
      <w:tr w:rsidR="003715E3">
        <w:tc>
          <w:tcPr>
            <w:tcW w:w="3200" w:type="dxa"/>
          </w:tcPr>
          <w:p w:rsidR="003715E3" w:rsidRDefault="008F2009">
            <w:r>
              <w:t>Registro Sanitario o autorización DIGESA</w:t>
            </w:r>
          </w:p>
        </w:tc>
        <w:tc>
          <w:tcPr>
            <w:tcW w:w="3200" w:type="dxa"/>
          </w:tcPr>
          <w:p w:rsidR="003715E3" w:rsidRDefault="008F2009">
            <w:r>
              <w:t>Vigente</w:t>
            </w:r>
          </w:p>
        </w:tc>
        <w:tc>
          <w:tcPr>
            <w:tcW w:w="2600" w:type="dxa"/>
          </w:tcPr>
          <w:p w:rsidR="003715E3" w:rsidRDefault="008F2009">
            <w:r>
              <w:t>Alimentos y bebidas</w:t>
            </w:r>
          </w:p>
        </w:tc>
      </w:tr>
      <w:tr w:rsidR="003715E3">
        <w:tc>
          <w:tcPr>
            <w:tcW w:w="3200" w:type="dxa"/>
          </w:tcPr>
          <w:p w:rsidR="003715E3" w:rsidRDefault="008F2009">
            <w:r>
              <w:t>Certificado de manipulación de alimentos del personal de reparto</w:t>
            </w:r>
          </w:p>
        </w:tc>
        <w:tc>
          <w:tcPr>
            <w:tcW w:w="3200" w:type="dxa"/>
          </w:tcPr>
          <w:p w:rsidR="003715E3" w:rsidRDefault="008F2009">
            <w:r>
              <w:t>Vigente</w:t>
            </w:r>
          </w:p>
        </w:tc>
        <w:tc>
          <w:tcPr>
            <w:tcW w:w="2600" w:type="dxa"/>
          </w:tcPr>
          <w:p w:rsidR="003715E3" w:rsidRDefault="008F2009">
            <w:r>
              <w:t>Perecederos</w:t>
            </w:r>
          </w:p>
        </w:tc>
      </w:tr>
      <w:tr w:rsidR="003715E3">
        <w:tc>
          <w:tcPr>
            <w:tcW w:w="3200" w:type="dxa"/>
          </w:tcPr>
          <w:p w:rsidR="003715E3" w:rsidRDefault="008F2009">
            <w:r>
              <w:t>Datos bancarios (CCI)</w:t>
            </w:r>
          </w:p>
        </w:tc>
        <w:tc>
          <w:tcPr>
            <w:tcW w:w="3200" w:type="dxa"/>
          </w:tcPr>
          <w:p w:rsidR="003715E3" w:rsidRDefault="008F2009">
            <w:r>
              <w:t>—</w:t>
            </w:r>
          </w:p>
        </w:tc>
        <w:tc>
          <w:tcPr>
            <w:tcW w:w="2600" w:type="dxa"/>
          </w:tcPr>
          <w:p w:rsidR="003715E3" w:rsidRDefault="008F2009">
            <w:r>
              <w:t>Todos</w:t>
            </w:r>
          </w:p>
        </w:tc>
      </w:tr>
      <w:tr w:rsidR="003715E3">
        <w:tc>
          <w:tcPr>
            <w:tcW w:w="3200" w:type="dxa"/>
          </w:tcPr>
          <w:p w:rsidR="003715E3" w:rsidRDefault="008F2009">
            <w:r>
              <w:t>Referencias comerciales (mínimo 2)</w:t>
            </w:r>
          </w:p>
        </w:tc>
        <w:tc>
          <w:tcPr>
            <w:tcW w:w="3200" w:type="dxa"/>
          </w:tcPr>
          <w:p w:rsidR="003715E3" w:rsidRDefault="008F2009">
            <w:r>
              <w:t>—</w:t>
            </w:r>
          </w:p>
        </w:tc>
        <w:tc>
          <w:tcPr>
            <w:tcW w:w="2600" w:type="dxa"/>
          </w:tcPr>
          <w:p w:rsidR="003715E3" w:rsidRDefault="008F2009">
            <w:r>
              <w:t>Todos</w:t>
            </w:r>
          </w:p>
        </w:tc>
      </w:tr>
    </w:tbl>
    <w:p w:rsidR="003715E3" w:rsidRDefault="008F2009">
      <w:pPr>
        <w:pStyle w:val="Ttulo2"/>
        <w:spacing w:before="200" w:after="100"/>
      </w:pPr>
      <w:r>
        <w:t>Paso 3 — Evaluación y prueba piloto</w:t>
      </w:r>
    </w:p>
    <w:p w:rsidR="003715E3" w:rsidRDefault="008F2009">
      <w:pPr>
        <w:spacing w:after="120"/>
      </w:pPr>
      <w:r>
        <w:t>El Chef Ejecutivo y el responsable de Compras evalúan una entrega de prueba. Se revisa puntualidad, calidad del producto, exactitud del pedido y correcta emisión del comprobante electrónico.</w:t>
      </w:r>
    </w:p>
    <w:p w:rsidR="003715E3" w:rsidRDefault="008F2009">
      <w:pPr>
        <w:pStyle w:val="Ttulo2"/>
        <w:spacing w:before="200" w:after="100"/>
      </w:pPr>
      <w:r>
        <w:t>Paso 4 — Alta en el sistema</w:t>
      </w:r>
    </w:p>
    <w:p w:rsidR="003715E3" w:rsidRDefault="008F2009">
      <w:pPr>
        <w:spacing w:after="120"/>
      </w:pPr>
      <w:r>
        <w:t>Los proveedores aprobados quedan registrados en el sistema de gestión de Restaurante Lima-Pe con un código único de proveedor, utilizado en todas las órdenes de compra futuras.</w:t>
      </w:r>
    </w:p>
    <w:p w:rsidR="003715E3" w:rsidRDefault="008F2009">
      <w:pPr>
        <w:pStyle w:val="Ttulo1"/>
        <w:spacing w:before="300" w:after="150"/>
      </w:pPr>
      <w:r>
        <w:t>5. Clasificación de proveedores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600"/>
        <w:gridCol w:w="2600"/>
      </w:tblGrid>
      <w:tr w:rsidR="003715E3">
        <w:tc>
          <w:tcPr>
            <w:tcW w:w="2800" w:type="dxa"/>
            <w:shd w:val="clear" w:color="auto" w:fill="1F4E78"/>
          </w:tcPr>
          <w:p w:rsidR="003715E3" w:rsidRDefault="008F2009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3600" w:type="dxa"/>
            <w:shd w:val="clear" w:color="auto" w:fill="1F4E78"/>
          </w:tcPr>
          <w:p w:rsidR="003715E3" w:rsidRDefault="008F2009">
            <w:r>
              <w:rPr>
                <w:b/>
                <w:bCs/>
                <w:color w:val="FFFFFF"/>
              </w:rPr>
              <w:t>Criterio principal</w:t>
            </w:r>
          </w:p>
        </w:tc>
        <w:tc>
          <w:tcPr>
            <w:tcW w:w="2600" w:type="dxa"/>
            <w:shd w:val="clear" w:color="auto" w:fill="1F4E78"/>
          </w:tcPr>
          <w:p w:rsidR="003715E3" w:rsidRDefault="008F2009">
            <w:r>
              <w:rPr>
                <w:b/>
                <w:bCs/>
                <w:color w:val="FFFFFF"/>
              </w:rPr>
              <w:t>Beneficios</w:t>
            </w:r>
          </w:p>
        </w:tc>
      </w:tr>
      <w:tr w:rsidR="003715E3">
        <w:tc>
          <w:tcPr>
            <w:tcW w:w="2800" w:type="dxa"/>
          </w:tcPr>
          <w:p w:rsidR="003715E3" w:rsidRDefault="008F2009">
            <w:r>
              <w:t>A — Estratégico</w:t>
            </w:r>
          </w:p>
        </w:tc>
        <w:tc>
          <w:tcPr>
            <w:tcW w:w="3600" w:type="dxa"/>
          </w:tcPr>
          <w:p w:rsidR="003715E3" w:rsidRDefault="008F2009">
            <w:r>
              <w:t>Relación mayor a 6 meses, cumplimiento de entrega ≥ 95%</w:t>
            </w:r>
          </w:p>
        </w:tc>
        <w:tc>
          <w:tcPr>
            <w:tcW w:w="2600" w:type="dxa"/>
          </w:tcPr>
          <w:p w:rsidR="003715E3" w:rsidRDefault="008F2009">
            <w:r>
              <w:t>Pago a 15 días, prioridad en pedidos urgentes</w:t>
            </w:r>
          </w:p>
        </w:tc>
      </w:tr>
      <w:tr w:rsidR="003715E3">
        <w:tc>
          <w:tcPr>
            <w:tcW w:w="2800" w:type="dxa"/>
          </w:tcPr>
          <w:p w:rsidR="003715E3" w:rsidRDefault="008F2009">
            <w:r>
              <w:t>B — Regular</w:t>
            </w:r>
          </w:p>
        </w:tc>
        <w:tc>
          <w:tcPr>
            <w:tcW w:w="3600" w:type="dxa"/>
          </w:tcPr>
          <w:p w:rsidR="003715E3" w:rsidRDefault="008F2009">
            <w:r>
              <w:t>Cumplimiento de entrega entre 85% y 95%</w:t>
            </w:r>
          </w:p>
        </w:tc>
        <w:tc>
          <w:tcPr>
            <w:tcW w:w="2600" w:type="dxa"/>
          </w:tcPr>
          <w:p w:rsidR="003715E3" w:rsidRDefault="008F2009">
            <w:r>
              <w:t>Pago a 7 días</w:t>
            </w:r>
          </w:p>
        </w:tc>
      </w:tr>
      <w:tr w:rsidR="003715E3">
        <w:tc>
          <w:tcPr>
            <w:tcW w:w="2800" w:type="dxa"/>
          </w:tcPr>
          <w:p w:rsidR="003715E3" w:rsidRDefault="008F2009">
            <w:r>
              <w:t>C — En evaluación</w:t>
            </w:r>
          </w:p>
        </w:tc>
        <w:tc>
          <w:tcPr>
            <w:tcW w:w="3600" w:type="dxa"/>
          </w:tcPr>
          <w:p w:rsidR="003715E3" w:rsidRDefault="008F2009">
            <w:r>
              <w:t>Proveedor nuevo, primeros 3 meses</w:t>
            </w:r>
          </w:p>
        </w:tc>
        <w:tc>
          <w:tcPr>
            <w:tcW w:w="2600" w:type="dxa"/>
          </w:tcPr>
          <w:p w:rsidR="003715E3" w:rsidRDefault="008F2009">
            <w:r>
              <w:t>Pago contra entrega</w:t>
            </w:r>
          </w:p>
        </w:tc>
      </w:tr>
    </w:tbl>
    <w:p w:rsidR="003715E3" w:rsidRDefault="008F2009">
      <w:pPr>
        <w:pStyle w:val="Ttulo1"/>
        <w:spacing w:before="300" w:after="150"/>
      </w:pPr>
      <w:r>
        <w:t>6. Condiciones comerciales y pago</w:t>
      </w:r>
    </w:p>
    <w:p w:rsidR="003715E3" w:rsidRDefault="008F2009">
      <w:pPr>
        <w:spacing w:after="120"/>
      </w:pPr>
      <w:r>
        <w:t>Las condiciones de pago estándar dependen de la categoría del proveedor (ver tabla anterior). Toda factura debe estar respaldada por una guía de remisión y una orden de compra registrada; sin orden de compra válida, la factura no se procesa.</w:t>
      </w:r>
    </w:p>
    <w:p w:rsidR="003715E3" w:rsidRDefault="008F2009">
      <w:pPr>
        <w:spacing w:after="120"/>
      </w:pPr>
      <w:r>
        <w:t>Restaurante Lima-Pe ofrece un descuento por pronto pago de 2% cuando la factura se cancela dentro de los 3 días posteriores a la entrega, aplicable a proveedores de Categoría B y C.</w:t>
      </w:r>
    </w:p>
    <w:p w:rsidR="003715E3" w:rsidRDefault="008F2009">
      <w:pPr>
        <w:pStyle w:val="Ttulo1"/>
        <w:spacing w:before="300" w:after="150"/>
      </w:pPr>
      <w:r>
        <w:t>7. Recepción de mercadería</w:t>
      </w:r>
    </w:p>
    <w:p w:rsidR="003715E3" w:rsidRDefault="008F2009">
      <w:pPr>
        <w:spacing w:after="120"/>
      </w:pPr>
      <w:r>
        <w:t>La recepción de insumos frescos se realiza de 6:00 a. m. a 9:00 a. m., y la de abarrotes y bebidas de 9:00 a. m. a 1:00 p. m., de lunes a sábado.</w:t>
      </w:r>
    </w:p>
    <w:p w:rsidR="003715E3" w:rsidRDefault="008F2009">
      <w:pPr>
        <w:spacing w:after="120"/>
      </w:pPr>
      <w:r>
        <w:t>El encargado de cocina de turno verifica al momento de la recepción: temperatura de transporte (cadena de frío para carnes, pescados y lácteos), fecha de vencimiento, estado del empaque y cantidad exacta contra la orden de compra. Cualquier discrepancia se registra en el Parte de Recepción y puede dar lugar a un rechazo parcial o total del pedido.</w:t>
      </w:r>
    </w:p>
    <w:p w:rsidR="003715E3" w:rsidRDefault="008F2009">
      <w:pPr>
        <w:pStyle w:val="Ttulo1"/>
        <w:spacing w:before="300" w:after="150"/>
      </w:pPr>
      <w:r>
        <w:t>8. Política de devolución a proveedor</w:t>
      </w:r>
    </w:p>
    <w:p w:rsidR="003715E3" w:rsidRDefault="008F2009">
      <w:pPr>
        <w:spacing w:after="120"/>
      </w:pPr>
      <w:r>
        <w:t>Un insumo se devuelve cuando presenta alguna de las siguientes condiciones: temperatura incorrecta al momento de la entrega, fecha de vencimiento inferior a la vida útil mínima acordada, cantidad distinta a la pedida, o defecto de calidad detectable a simple vista.</w:t>
      </w:r>
    </w:p>
    <w:p w:rsidR="003715E3" w:rsidRDefault="008F2009">
      <w:pPr>
        <w:spacing w:after="120"/>
      </w:pPr>
      <w:r>
        <w:t>El proveedor tiene 24 horas para retirar o reponer el producto rechazado. Si no lo hace, Restaurante Lima-Pe dispone del producto y descuenta su valor de la siguiente factura pendiente.</w:t>
      </w:r>
    </w:p>
    <w:p w:rsidR="003715E3" w:rsidRDefault="008F2009">
      <w:pPr>
        <w:pStyle w:val="Ttulo1"/>
        <w:spacing w:before="300" w:after="150"/>
      </w:pPr>
      <w:r>
        <w:t>9. Indicadores de desempeño (</w:t>
      </w:r>
      <w:proofErr w:type="spellStart"/>
      <w:r>
        <w:t>KPIs</w:t>
      </w:r>
      <w:proofErr w:type="spellEnd"/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00"/>
        <w:gridCol w:w="2600"/>
      </w:tblGrid>
      <w:tr w:rsidR="003715E3">
        <w:tc>
          <w:tcPr>
            <w:tcW w:w="3600" w:type="dxa"/>
            <w:shd w:val="clear" w:color="auto" w:fill="1F4E78"/>
          </w:tcPr>
          <w:p w:rsidR="003715E3" w:rsidRDefault="008F2009">
            <w:r>
              <w:rPr>
                <w:b/>
                <w:bCs/>
                <w:color w:val="FFFFFF"/>
              </w:rPr>
              <w:lastRenderedPageBreak/>
              <w:t>Indicador</w:t>
            </w:r>
          </w:p>
        </w:tc>
        <w:tc>
          <w:tcPr>
            <w:tcW w:w="2800" w:type="dxa"/>
            <w:shd w:val="clear" w:color="auto" w:fill="1F4E78"/>
          </w:tcPr>
          <w:p w:rsidR="003715E3" w:rsidRDefault="008F2009">
            <w:r>
              <w:rPr>
                <w:b/>
                <w:bCs/>
                <w:color w:val="FFFFFF"/>
              </w:rPr>
              <w:t>Meta</w:t>
            </w:r>
          </w:p>
        </w:tc>
        <w:tc>
          <w:tcPr>
            <w:tcW w:w="2600" w:type="dxa"/>
            <w:shd w:val="clear" w:color="auto" w:fill="1F4E78"/>
          </w:tcPr>
          <w:p w:rsidR="003715E3" w:rsidRDefault="008F2009">
            <w:r>
              <w:rPr>
                <w:b/>
                <w:bCs/>
                <w:color w:val="FFFFFF"/>
              </w:rPr>
              <w:t>Frecuencia</w:t>
            </w:r>
          </w:p>
        </w:tc>
      </w:tr>
      <w:tr w:rsidR="003715E3">
        <w:tc>
          <w:tcPr>
            <w:tcW w:w="3600" w:type="dxa"/>
          </w:tcPr>
          <w:p w:rsidR="003715E3" w:rsidRDefault="008F2009">
            <w:r>
              <w:t>Cumplimiento de entrega a tiempo</w:t>
            </w:r>
          </w:p>
        </w:tc>
        <w:tc>
          <w:tcPr>
            <w:tcW w:w="2800" w:type="dxa"/>
          </w:tcPr>
          <w:p w:rsidR="003715E3" w:rsidRDefault="008F2009">
            <w:r>
              <w:t>≥ 90%</w:t>
            </w:r>
          </w:p>
        </w:tc>
        <w:tc>
          <w:tcPr>
            <w:tcW w:w="2600" w:type="dxa"/>
          </w:tcPr>
          <w:p w:rsidR="003715E3" w:rsidRDefault="008F2009">
            <w:r>
              <w:t>Mensual</w:t>
            </w:r>
          </w:p>
        </w:tc>
      </w:tr>
      <w:tr w:rsidR="003715E3">
        <w:tc>
          <w:tcPr>
            <w:tcW w:w="3600" w:type="dxa"/>
          </w:tcPr>
          <w:p w:rsidR="003715E3" w:rsidRDefault="008F2009">
            <w:r>
              <w:t>Tasa de rechazo en recepción</w:t>
            </w:r>
          </w:p>
        </w:tc>
        <w:tc>
          <w:tcPr>
            <w:tcW w:w="2800" w:type="dxa"/>
          </w:tcPr>
          <w:p w:rsidR="003715E3" w:rsidRDefault="008F2009">
            <w:r>
              <w:t>≤ 5%</w:t>
            </w:r>
          </w:p>
        </w:tc>
        <w:tc>
          <w:tcPr>
            <w:tcW w:w="2600" w:type="dxa"/>
          </w:tcPr>
          <w:p w:rsidR="003715E3" w:rsidRDefault="008F2009">
            <w:r>
              <w:t>Mensual</w:t>
            </w:r>
          </w:p>
        </w:tc>
      </w:tr>
      <w:tr w:rsidR="003715E3">
        <w:tc>
          <w:tcPr>
            <w:tcW w:w="3600" w:type="dxa"/>
          </w:tcPr>
          <w:p w:rsidR="003715E3" w:rsidRDefault="008F2009">
            <w:r>
              <w:t>Exactitud del pedido</w:t>
            </w:r>
          </w:p>
        </w:tc>
        <w:tc>
          <w:tcPr>
            <w:tcW w:w="2800" w:type="dxa"/>
          </w:tcPr>
          <w:p w:rsidR="003715E3" w:rsidRDefault="008F2009">
            <w:r>
              <w:t>≥ 95%</w:t>
            </w:r>
          </w:p>
        </w:tc>
        <w:tc>
          <w:tcPr>
            <w:tcW w:w="2600" w:type="dxa"/>
          </w:tcPr>
          <w:p w:rsidR="003715E3" w:rsidRDefault="008F2009">
            <w:r>
              <w:t>Mensual</w:t>
            </w:r>
          </w:p>
        </w:tc>
      </w:tr>
    </w:tbl>
    <w:p w:rsidR="003715E3" w:rsidRDefault="008F2009">
      <w:pPr>
        <w:pStyle w:val="Ttulo1"/>
        <w:spacing w:before="300" w:after="150"/>
      </w:pPr>
      <w:r>
        <w:t>10. Suspensión y exclusión de proveedores</w:t>
      </w:r>
    </w:p>
    <w:p w:rsidR="003715E3" w:rsidRDefault="008F2009">
      <w:pPr>
        <w:spacing w:after="120"/>
      </w:pPr>
      <w:r>
        <w:t>Un proveedor puede ser suspendido temporalmente ante dos rechazos consecutivos de pedido por causas de calidad, o excluido de forma definitiva ante fraude documentado, adulteración de insumos o soborno a personal de Restaurante Lima-Pe.</w:t>
      </w:r>
    </w:p>
    <w:p w:rsidR="003715E3" w:rsidRDefault="008F2009">
      <w:pPr>
        <w:pStyle w:val="Ttulo1"/>
        <w:spacing w:before="300" w:after="150"/>
      </w:pPr>
      <w:r>
        <w:t>11. Código de ética para proveedores</w:t>
      </w:r>
    </w:p>
    <w:p w:rsidR="003715E3" w:rsidRDefault="008F2009">
      <w:pPr>
        <w:pStyle w:val="Prrafodelista"/>
        <w:numPr>
          <w:ilvl w:val="0"/>
          <w:numId w:val="1"/>
        </w:numPr>
        <w:spacing w:after="60"/>
      </w:pPr>
      <w:r>
        <w:t>No ofrecer regalos ni beneficios personales al personal de Compras o Cocina.</w:t>
      </w:r>
    </w:p>
    <w:p w:rsidR="003715E3" w:rsidRDefault="008F2009">
      <w:pPr>
        <w:pStyle w:val="Prrafodelista"/>
        <w:numPr>
          <w:ilvl w:val="0"/>
          <w:numId w:val="1"/>
        </w:numPr>
        <w:spacing w:after="60"/>
      </w:pPr>
      <w:r>
        <w:t>Cumplir con la legislación laboral peruana vigente para sus propios trabajadores.</w:t>
      </w:r>
    </w:p>
    <w:p w:rsidR="003715E3" w:rsidRDefault="008F2009">
      <w:pPr>
        <w:pStyle w:val="Prrafodelista"/>
        <w:numPr>
          <w:ilvl w:val="0"/>
          <w:numId w:val="1"/>
        </w:numPr>
        <w:spacing w:after="60"/>
      </w:pPr>
      <w:r>
        <w:t>Mantener confidencialidad sobre los precios y volúmenes acordados con Restaurante Lima-Pe.</w:t>
      </w:r>
    </w:p>
    <w:p w:rsidR="003715E3" w:rsidRDefault="008F2009">
      <w:pPr>
        <w:pStyle w:val="Prrafodelista"/>
        <w:numPr>
          <w:ilvl w:val="0"/>
          <w:numId w:val="1"/>
        </w:numPr>
        <w:spacing w:after="60"/>
      </w:pPr>
      <w:r>
        <w:t>No emplear trabajo infantil ni forzoso en ninguna etapa de su cadena de suministro.</w:t>
      </w:r>
    </w:p>
    <w:p w:rsidR="003715E3" w:rsidRDefault="008F2009">
      <w:pPr>
        <w:pStyle w:val="Ttulo1"/>
        <w:spacing w:before="300" w:after="150"/>
      </w:pPr>
      <w:r>
        <w:t>12. Contacto del área de Compras</w:t>
      </w:r>
    </w:p>
    <w:p w:rsidR="003715E3" w:rsidRDefault="008F2009">
      <w:pPr>
        <w:spacing w:after="120"/>
      </w:pPr>
      <w:r>
        <w:t>Para consultas sobre alta de proveedores, órdenes de compra o pagos: compras@restauranteLima-Pe.pe | Teléfono: (+56) 955-0142, en horario de lunes a sábado de 8:00 a. m. a 5:00 p. m.</w:t>
      </w:r>
    </w:p>
    <w:p w:rsidR="003715E3" w:rsidRDefault="008F2009">
      <w:pPr>
        <w:pStyle w:val="Ttulo1"/>
        <w:spacing w:before="300" w:after="150"/>
      </w:pPr>
      <w:r>
        <w:t>13. Vigencia</w:t>
      </w:r>
    </w:p>
    <w:p w:rsidR="003715E3" w:rsidRDefault="008F2009">
      <w:pPr>
        <w:spacing w:after="120"/>
      </w:pPr>
      <w:r>
        <w:t>Este manual entra en vigor el 21 de julio de 2026 y será revisado anualmente por la Administración de Restaurante Lima-Pe.</w:t>
      </w:r>
    </w:p>
    <w:sectPr w:rsidR="003715E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B4355C"/>
    <w:multiLevelType w:val="hybridMultilevel"/>
    <w:tmpl w:val="6BF02EFE"/>
    <w:lvl w:ilvl="0" w:tplc="0C068C94">
      <w:start w:val="1"/>
      <w:numFmt w:val="bullet"/>
      <w:lvlText w:val="●"/>
      <w:lvlJc w:val="left"/>
      <w:pPr>
        <w:ind w:left="720" w:hanging="360"/>
      </w:pPr>
    </w:lvl>
    <w:lvl w:ilvl="1" w:tplc="8BA01A74">
      <w:start w:val="1"/>
      <w:numFmt w:val="bullet"/>
      <w:lvlText w:val="○"/>
      <w:lvlJc w:val="left"/>
      <w:pPr>
        <w:ind w:left="1440" w:hanging="360"/>
      </w:pPr>
    </w:lvl>
    <w:lvl w:ilvl="2" w:tplc="54F83288">
      <w:start w:val="1"/>
      <w:numFmt w:val="bullet"/>
      <w:lvlText w:val="■"/>
      <w:lvlJc w:val="left"/>
      <w:pPr>
        <w:ind w:left="2160" w:hanging="360"/>
      </w:pPr>
    </w:lvl>
    <w:lvl w:ilvl="3" w:tplc="D1449358">
      <w:start w:val="1"/>
      <w:numFmt w:val="bullet"/>
      <w:lvlText w:val="●"/>
      <w:lvlJc w:val="left"/>
      <w:pPr>
        <w:ind w:left="2880" w:hanging="360"/>
      </w:pPr>
    </w:lvl>
    <w:lvl w:ilvl="4" w:tplc="218699B8">
      <w:start w:val="1"/>
      <w:numFmt w:val="bullet"/>
      <w:lvlText w:val="○"/>
      <w:lvlJc w:val="left"/>
      <w:pPr>
        <w:ind w:left="3600" w:hanging="360"/>
      </w:pPr>
    </w:lvl>
    <w:lvl w:ilvl="5" w:tplc="9844D380">
      <w:start w:val="1"/>
      <w:numFmt w:val="bullet"/>
      <w:lvlText w:val="■"/>
      <w:lvlJc w:val="left"/>
      <w:pPr>
        <w:ind w:left="4320" w:hanging="360"/>
      </w:pPr>
    </w:lvl>
    <w:lvl w:ilvl="6" w:tplc="880E1EBC">
      <w:start w:val="1"/>
      <w:numFmt w:val="bullet"/>
      <w:lvlText w:val="●"/>
      <w:lvlJc w:val="left"/>
      <w:pPr>
        <w:ind w:left="5040" w:hanging="360"/>
      </w:pPr>
    </w:lvl>
    <w:lvl w:ilvl="7" w:tplc="7C6A82A4">
      <w:start w:val="1"/>
      <w:numFmt w:val="bullet"/>
      <w:lvlText w:val="●"/>
      <w:lvlJc w:val="left"/>
      <w:pPr>
        <w:ind w:left="5760" w:hanging="360"/>
      </w:pPr>
    </w:lvl>
    <w:lvl w:ilvl="8" w:tplc="55D2BA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E3"/>
    <w:rsid w:val="002B28DD"/>
    <w:rsid w:val="003715E3"/>
    <w:rsid w:val="008F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5FB8D6-92B7-40D4-9296-9B179179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938</Words>
  <Characters>5163</Characters>
  <Application>Microsoft Office Word</Application>
  <DocSecurity>0</DocSecurity>
  <Lines>43</Lines>
  <Paragraphs>12</Paragraphs>
  <ScaleCrop>false</ScaleCrop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2026-07-22T03:49:00Z</dcterms:created>
  <dcterms:modified xsi:type="dcterms:W3CDTF">2026-07-25T19:28:00Z</dcterms:modified>
</cp:coreProperties>
</file>