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spacing w:before="0" w:after="160" w:line="360" w:lineRule="auto"/>
        <w:ind/>
        <w:jc w:val="center"/>
        <w:rPr>
          <w:rFonts w:ascii="Times New Roman" w:hAnsi="Times New Roman" w:cs="Times New Roman"/>
          <w:sz w:val="28"/>
          <w:szCs w:val="28"/>
        </w:rPr>
      </w:pPr>
      <w:r>
        <w:rPr>
          <w:rFonts w:ascii="Times New Roman" w:hAnsi="Times New Roman" w:cs="Times New Roman"/>
          <w:sz w:val="28"/>
          <w:szCs w:val="28"/>
        </w:rPr>
        <w:t xml:space="preserve">Министерство науки и высшего образования Российской Федерации</w:t>
      </w:r>
    </w:p>
    <w:p>
      <w:pPr>
        <w:spacing w:before="0" w:after="160" w:line="360" w:lineRule="auto"/>
        <w:ind/>
        <w:jc w:val="center"/>
        <w:rPr>
          <w:rFonts w:ascii="Times New Roman" w:hAnsi="Times New Roman" w:cs="Times New Roman"/>
          <w:sz w:val="28"/>
          <w:szCs w:val="28"/>
        </w:rPr>
      </w:pPr>
      <w:r>
        <w:rPr>
          <w:rFonts w:ascii="Times New Roman" w:hAnsi="Times New Roman" w:cs="Times New Roman"/>
          <w:sz w:val="28"/>
          <w:szCs w:val="28"/>
        </w:rPr>
        <w:t xml:space="preserve">Федеральное государственное бюджетное образовательное учреждение высшего образования</w:t>
      </w:r>
    </w:p>
    <w:p>
      <w:pPr>
        <w:spacing w:before="0" w:after="160" w:line="360" w:lineRule="auto"/>
        <w:ind/>
        <w:jc w:val="center"/>
        <w:rPr>
          <w:rFonts w:ascii="Times New Roman" w:hAnsi="Times New Roman" w:cs="Times New Roman"/>
          <w:sz w:val="28"/>
          <w:szCs w:val="28"/>
        </w:rPr>
      </w:pPr>
      <w:r>
        <w:rPr>
          <w:rFonts w:ascii="Times New Roman" w:hAnsi="Times New Roman" w:cs="Times New Roman"/>
          <w:sz w:val="28"/>
          <w:szCs w:val="28"/>
        </w:rPr>
        <w:t xml:space="preserve">«Казанский государственный институт культуры»</w:t>
      </w:r>
    </w:p>
    <w:p>
      <w:pPr>
        <w:spacing w:line="360" w:lineRule="auto"/>
      </w:pPr>
    </w:p>
    <w:p>
      <w:pPr>
        <w:spacing w:line="360" w:lineRule="auto"/>
      </w:pPr>
    </w:p>
    <w:p>
      <w:pPr>
        <w:spacing w:before="0" w:after="160" w:line="360" w:lineRule="auto"/>
        <w:ind/>
        <w:jc w:val="right"/>
        <w:rPr>
          <w:rFonts w:ascii="Times New Roman" w:hAnsi="Times New Roman" w:cs="Times New Roman"/>
          <w:sz w:val="28"/>
          <w:szCs w:val="28"/>
        </w:rPr>
      </w:pPr>
      <w:r>
        <w:rPr>
          <w:rFonts w:ascii="Times New Roman" w:hAnsi="Times New Roman" w:cs="Times New Roman"/>
          <w:sz w:val="28"/>
          <w:szCs w:val="28"/>
        </w:rPr>
        <w:t xml:space="preserve">На правах рукописи</w:t>
      </w:r>
    </w:p>
    <w:p>
      <w:pPr>
        <w:spacing w:line="360" w:lineRule="auto"/>
      </w:pPr>
    </w:p>
    <w:p>
      <w:pPr>
        <w:spacing w:line="360" w:lineRule="auto"/>
      </w:pPr>
    </w:p>
    <w:p>
      <w:pPr>
        <w:spacing w:before="0" w:after="160" w:line="360" w:lineRule="auto"/>
        <w:ind/>
        <w:jc w:val="center"/>
        <w:rPr>
          <w:rFonts w:ascii="Times New Roman" w:hAnsi="Times New Roman" w:cs="Times New Roman"/>
          <w:b/>
          <w:bCs/>
          <w:sz w:val="28"/>
          <w:szCs w:val="28"/>
        </w:rPr>
      </w:pPr>
      <w:r>
        <w:rPr>
          <w:rFonts w:ascii="Times New Roman" w:hAnsi="Times New Roman" w:cs="Times New Roman"/>
          <w:b/>
          <w:bCs/>
          <w:sz w:val="28"/>
          <w:szCs w:val="28"/>
        </w:rPr>
        <w:t xml:space="preserve">ГЛУХОВ Владислав Андреевич</w:t>
      </w:r>
    </w:p>
    <w:p>
      <w:pPr>
        <w:spacing w:line="360" w:lineRule="auto"/>
      </w:pPr>
    </w:p>
    <w:p>
      <w:pPr>
        <w:spacing w:before="0" w:after="160" w:line="360" w:lineRule="auto"/>
        <w:ind/>
        <w:jc w:val="center"/>
        <w:rPr>
          <w:rFonts w:ascii="Times New Roman" w:hAnsi="Times New Roman" w:cs="Times New Roman"/>
          <w:b/>
          <w:bCs/>
          <w:sz w:val="30"/>
          <w:szCs w:val="30"/>
        </w:rPr>
      </w:pPr>
      <w:r>
        <w:rPr>
          <w:rFonts w:ascii="Times New Roman" w:hAnsi="Times New Roman" w:cs="Times New Roman"/>
          <w:b/>
          <w:bCs/>
          <w:sz w:val="30"/>
          <w:szCs w:val="30"/>
        </w:rPr>
        <w:t xml:space="preserve">ИСТОРИЯ ИНФОРМАТИЗАЦИИ МУЗЕЕВ РЕСПУБЛИКИ ТАТАРСТАН</w:t>
      </w:r>
    </w:p>
    <w:p>
      <w:pPr>
        <w:spacing w:line="360" w:lineRule="auto"/>
      </w:pPr>
    </w:p>
    <w:p>
      <w:pPr>
        <w:spacing w:line="360" w:lineRule="auto"/>
      </w:pPr>
    </w:p>
    <w:p>
      <w:pPr>
        <w:spacing w:before="0" w:after="160" w:line="360" w:lineRule="auto"/>
        <w:ind/>
        <w:jc w:val="center"/>
        <w:rPr>
          <w:rFonts w:ascii="Times New Roman" w:hAnsi="Times New Roman" w:cs="Times New Roman"/>
          <w:sz w:val="28"/>
          <w:szCs w:val="28"/>
        </w:rPr>
      </w:pPr>
      <w:r>
        <w:rPr>
          <w:rFonts w:ascii="Times New Roman" w:hAnsi="Times New Roman" w:cs="Times New Roman"/>
          <w:sz w:val="28"/>
          <w:szCs w:val="28"/>
        </w:rPr>
        <w:t xml:space="preserve">Специальность 5.10.1 — Теория и история культуры, искусства</w:t>
      </w:r>
    </w:p>
    <w:p>
      <w:pPr>
        <w:spacing w:line="360" w:lineRule="auto"/>
      </w:pPr>
    </w:p>
    <w:p>
      <w:pPr>
        <w:spacing w:line="360" w:lineRule="auto"/>
      </w:pPr>
    </w:p>
    <w:p>
      <w:pPr>
        <w:spacing w:before="0" w:after="160" w:line="360" w:lineRule="auto"/>
        <w:ind/>
        <w:jc w:val="center"/>
        <w:rPr>
          <w:rFonts w:ascii="Times New Roman" w:hAnsi="Times New Roman" w:cs="Times New Roman"/>
          <w:b/>
          <w:bCs/>
          <w:sz w:val="28"/>
          <w:szCs w:val="28"/>
        </w:rPr>
      </w:pPr>
      <w:r>
        <w:rPr>
          <w:rFonts w:ascii="Times New Roman" w:hAnsi="Times New Roman" w:cs="Times New Roman"/>
          <w:b/>
          <w:bCs/>
          <w:sz w:val="28"/>
          <w:szCs w:val="28"/>
        </w:rPr>
        <w:t xml:space="preserve">Автореферат</w:t>
      </w:r>
    </w:p>
    <w:p>
      <w:pPr>
        <w:spacing w:before="0" w:after="160" w:line="360" w:lineRule="auto"/>
        <w:ind/>
        <w:jc w:val="center"/>
        <w:rPr>
          <w:rFonts w:ascii="Times New Roman" w:hAnsi="Times New Roman" w:cs="Times New Roman"/>
          <w:sz w:val="28"/>
          <w:szCs w:val="28"/>
        </w:rPr>
      </w:pPr>
      <w:r>
        <w:rPr>
          <w:rFonts w:ascii="Times New Roman" w:hAnsi="Times New Roman" w:cs="Times New Roman"/>
          <w:sz w:val="28"/>
          <w:szCs w:val="28"/>
        </w:rPr>
        <w:t xml:space="preserve">диссертации на соискание учёной степени</w:t>
      </w:r>
    </w:p>
    <w:p>
      <w:pPr>
        <w:spacing w:before="0" w:after="160" w:line="360" w:lineRule="auto"/>
        <w:ind/>
        <w:jc w:val="center"/>
        <w:rPr>
          <w:rFonts w:ascii="Times New Roman" w:hAnsi="Times New Roman" w:cs="Times New Roman"/>
          <w:sz w:val="28"/>
          <w:szCs w:val="28"/>
        </w:rPr>
      </w:pPr>
      <w:r>
        <w:rPr>
          <w:rFonts w:ascii="Times New Roman" w:hAnsi="Times New Roman" w:cs="Times New Roman"/>
          <w:sz w:val="28"/>
          <w:szCs w:val="28"/>
        </w:rPr>
        <w:t xml:space="preserve">кандидата исторических наук</w:t>
      </w:r>
    </w:p>
    <w:p>
      <w:pPr>
        <w:spacing w:line="360" w:lineRule="auto"/>
      </w:pPr>
    </w:p>
    <w:p>
      <w:pPr>
        <w:spacing w:line="360" w:lineRule="auto"/>
      </w:pPr>
    </w:p>
    <w:p>
      <w:pPr>
        <w:spacing w:line="360" w:lineRule="auto"/>
      </w:pPr>
    </w:p>
    <w:p>
      <w:pPr>
        <w:spacing w:before="0" w:after="160" w:line="360" w:lineRule="auto"/>
        <w:ind/>
        <w:jc w:val="center"/>
        <w:rPr>
          <w:rFonts w:ascii="Times New Roman" w:hAnsi="Times New Roman" w:cs="Times New Roman"/>
          <w:sz w:val="28"/>
          <w:szCs w:val="28"/>
        </w:rPr>
      </w:pPr>
      <w:r>
        <w:rPr>
          <w:rFonts w:ascii="Times New Roman" w:hAnsi="Times New Roman" w:cs="Times New Roman"/>
          <w:sz w:val="28"/>
          <w:szCs w:val="28"/>
        </w:rPr>
        <w:t xml:space="preserve">Казань — 2026</w:t>
      </w:r>
    </w:p>
    <w:p>
      <w:pPr/>
      <w:r>
        <w:br w:type="page"/>
      </w:r>
    </w:p>
    <w:p>
      <w:pPr>
        <w:spacing w:before="0" w:after="160" w:line="360" w:lineRule="auto"/>
        <w:ind w:firstLine="708"/>
        <w:jc w:val="both"/>
        <w:rPr>
          <w:rFonts w:ascii="Times New Roman" w:hAnsi="Times New Roman" w:cs="Times New Roman"/>
          <w:sz w:val="28"/>
          <w:szCs w:val="28"/>
        </w:rPr>
      </w:pPr>
      <w:r>
        <w:rPr>
          <w:rFonts w:ascii="Times New Roman" w:hAnsi="Times New Roman" w:cs="Times New Roman"/>
          <w:sz w:val="28"/>
          <w:szCs w:val="28"/>
        </w:rPr>
        <w:t xml:space="preserve">Работа выполнена на кафедре культурного наследия и туризма федерального государственного бюджетного образовательного учреждения высшего образования «Казанский государственный институт культуры».</w:t>
      </w:r>
    </w:p>
    <w:p>
      <w:pPr>
        <w:spacing w:line="360" w:lineRule="auto"/>
      </w:pPr>
    </w:p>
    <w:p>
      <w:pPr>
        <w:spacing w:before="0" w:after="160" w:line="360" w:lineRule="auto"/>
        <w:ind/>
        <w:jc w:val="both"/>
        <w:rPr>
          <w:rFonts w:ascii="Times New Roman" w:hAnsi="Times New Roman" w:cs="Times New Roman"/>
          <w:b/>
          <w:bCs/>
          <w:sz w:val="28"/>
          <w:szCs w:val="28"/>
        </w:rPr>
      </w:pPr>
      <w:r>
        <w:rPr>
          <w:rFonts w:ascii="Times New Roman" w:hAnsi="Times New Roman" w:cs="Times New Roman"/>
          <w:b/>
          <w:bCs/>
          <w:sz w:val="28"/>
          <w:szCs w:val="28"/>
        </w:rPr>
        <w:t xml:space="preserve">Научный руководитель:</w:t>
      </w:r>
    </w:p>
    <w:p>
      <w:pPr>
        <w:spacing w:before="0" w:after="160" w:line="360" w:lineRule="auto"/>
        <w:ind w:firstLine="708"/>
        <w:jc w:val="both"/>
        <w:rPr>
          <w:rFonts w:ascii="Times New Roman" w:hAnsi="Times New Roman" w:cs="Times New Roman"/>
          <w:sz w:val="28"/>
          <w:szCs w:val="28"/>
        </w:rPr>
      </w:pPr>
      <w:r>
        <w:rPr>
          <w:rFonts w:ascii="Times New Roman" w:hAnsi="Times New Roman" w:cs="Times New Roman"/>
          <w:sz w:val="28"/>
          <w:szCs w:val="28"/>
        </w:rPr>
        <w:t xml:space="preserve">доктор исторических наук, профессор Руденко Константин Александрович.</w:t>
      </w:r>
    </w:p>
    <w:p>
      <w:pPr>
        <w:spacing w:line="360" w:lineRule="auto"/>
      </w:pPr>
    </w:p>
    <w:p>
      <w:pPr>
        <w:spacing w:before="0" w:after="160" w:line="360" w:lineRule="auto"/>
        <w:ind/>
        <w:jc w:val="both"/>
        <w:rPr>
          <w:rFonts w:ascii="Times New Roman" w:hAnsi="Times New Roman" w:cs="Times New Roman"/>
          <w:b/>
          <w:bCs/>
          <w:sz w:val="28"/>
          <w:szCs w:val="28"/>
        </w:rPr>
      </w:pPr>
      <w:r>
        <w:rPr>
          <w:rFonts w:ascii="Times New Roman" w:hAnsi="Times New Roman" w:cs="Times New Roman"/>
          <w:b/>
          <w:bCs/>
          <w:sz w:val="28"/>
          <w:szCs w:val="28"/>
        </w:rPr>
        <w:t xml:space="preserve">Официальные оппоненты:</w:t>
      </w:r>
    </w:p>
    <w:p>
      <w:pPr>
        <w:spacing w:before="0" w:after="160" w:line="360" w:lineRule="auto"/>
        <w:ind w:firstLine="708"/>
        <w:jc w:val="both"/>
        <w:rPr>
          <w:rFonts w:ascii="Times New Roman" w:hAnsi="Times New Roman" w:cs="Times New Roman"/>
          <w:sz w:val="28"/>
          <w:szCs w:val="28"/>
        </w:rPr>
      </w:pPr>
      <w:r>
        <w:rPr>
          <w:rFonts w:ascii="Times New Roman" w:hAnsi="Times New Roman" w:cs="Times New Roman"/>
          <w:sz w:val="28"/>
          <w:szCs w:val="28"/>
        </w:rPr>
        <w:t xml:space="preserve">___________________________________________________________________ (заполняется при назначении оппонентов).</w:t>
      </w:r>
    </w:p>
    <w:p>
      <w:pPr>
        <w:spacing w:line="360" w:lineRule="auto"/>
      </w:pPr>
    </w:p>
    <w:p>
      <w:pPr>
        <w:spacing w:before="0" w:after="160" w:line="360" w:lineRule="auto"/>
        <w:ind/>
        <w:jc w:val="both"/>
        <w:rPr>
          <w:rFonts w:ascii="Times New Roman" w:hAnsi="Times New Roman" w:cs="Times New Roman"/>
          <w:b/>
          <w:bCs/>
          <w:sz w:val="28"/>
          <w:szCs w:val="28"/>
        </w:rPr>
      </w:pPr>
      <w:r>
        <w:rPr>
          <w:rFonts w:ascii="Times New Roman" w:hAnsi="Times New Roman" w:cs="Times New Roman"/>
          <w:b/>
          <w:bCs/>
          <w:sz w:val="28"/>
          <w:szCs w:val="28"/>
        </w:rPr>
        <w:t xml:space="preserve">Ведущая организация:</w:t>
      </w:r>
    </w:p>
    <w:p>
      <w:pPr>
        <w:spacing w:before="0" w:after="160" w:line="360" w:lineRule="auto"/>
        <w:ind w:firstLine="708"/>
        <w:jc w:val="both"/>
        <w:rPr>
          <w:rFonts w:ascii="Times New Roman" w:hAnsi="Times New Roman" w:cs="Times New Roman"/>
          <w:sz w:val="28"/>
          <w:szCs w:val="28"/>
        </w:rPr>
      </w:pPr>
      <w:r>
        <w:rPr>
          <w:rFonts w:ascii="Times New Roman" w:hAnsi="Times New Roman" w:cs="Times New Roman"/>
          <w:sz w:val="28"/>
          <w:szCs w:val="28"/>
        </w:rPr>
        <w:t xml:space="preserve">___________________________________________________________________ (заполняется при назначении ведущей организации).</w:t>
      </w:r>
    </w:p>
    <w:p>
      <w:pPr>
        <w:spacing w:line="360" w:lineRule="auto"/>
      </w:pPr>
    </w:p>
    <w:p>
      <w:pPr>
        <w:spacing w:before="0" w:after="160" w:line="360" w:lineRule="auto"/>
        <w:ind w:firstLine="708"/>
        <w:jc w:val="both"/>
        <w:rPr>
          <w:rFonts w:ascii="Times New Roman" w:hAnsi="Times New Roman" w:cs="Times New Roman"/>
          <w:sz w:val="28"/>
          <w:szCs w:val="28"/>
        </w:rPr>
      </w:pPr>
      <w:r>
        <w:rPr>
          <w:rFonts w:ascii="Times New Roman" w:hAnsi="Times New Roman" w:cs="Times New Roman"/>
          <w:sz w:val="28"/>
          <w:szCs w:val="28"/>
        </w:rPr>
        <w:t xml:space="preserve">Защита состоится «____» __________ 2026 г. в ____ часов на заседании диссертационного совета ____________ при ФГБОУ ВО «Казанский государственный институт культуры» по адресу: ____________________________________________.</w:t>
      </w:r>
    </w:p>
    <w:p>
      <w:pPr>
        <w:spacing w:line="360" w:lineRule="auto"/>
      </w:pPr>
    </w:p>
    <w:p>
      <w:pPr>
        <w:spacing w:before="0" w:after="160" w:line="360" w:lineRule="auto"/>
        <w:ind w:firstLine="708"/>
        <w:jc w:val="both"/>
        <w:rPr>
          <w:rFonts w:ascii="Times New Roman" w:hAnsi="Times New Roman" w:cs="Times New Roman"/>
          <w:sz w:val="28"/>
          <w:szCs w:val="28"/>
        </w:rPr>
      </w:pPr>
      <w:r>
        <w:rPr>
          <w:rFonts w:ascii="Times New Roman" w:hAnsi="Times New Roman" w:cs="Times New Roman"/>
          <w:sz w:val="28"/>
          <w:szCs w:val="28"/>
        </w:rPr>
        <w:t xml:space="preserve">С диссертацией можно ознакомиться в научной библиотеке и на официальном сайте ФГБОУ ВО «Казанский государственный институт культуры».</w:t>
      </w:r>
    </w:p>
    <w:p>
      <w:pPr>
        <w:spacing w:line="360" w:lineRule="auto"/>
      </w:pPr>
    </w:p>
    <w:p>
      <w:pPr>
        <w:spacing w:before="0" w:after="160" w:line="360" w:lineRule="auto"/>
        <w:ind w:firstLine="708"/>
        <w:jc w:val="both"/>
        <w:rPr>
          <w:rFonts w:ascii="Times New Roman" w:hAnsi="Times New Roman" w:cs="Times New Roman"/>
          <w:sz w:val="28"/>
          <w:szCs w:val="28"/>
        </w:rPr>
      </w:pPr>
      <w:r>
        <w:rPr>
          <w:rFonts w:ascii="Times New Roman" w:hAnsi="Times New Roman" w:cs="Times New Roman"/>
          <w:sz w:val="28"/>
          <w:szCs w:val="28"/>
        </w:rPr>
        <w:t xml:space="preserve">Автореферат разослан «____» __________ 2026 г.</w:t>
      </w:r>
    </w:p>
    <w:p>
      <w:pPr>
        <w:spacing w:line="360" w:lineRule="auto"/>
      </w:pPr>
    </w:p>
    <w:p>
      <w:pPr>
        <w:spacing w:line="360" w:lineRule="auto"/>
      </w:pPr>
    </w:p>
    <w:p>
      <w:pPr>
        <w:spacing w:before="0" w:after="160" w:line="360" w:lineRule="auto"/>
        <w:ind w:firstLine="708"/>
        <w:jc w:val="both"/>
        <w:rPr>
          <w:rFonts w:ascii="Times New Roman" w:hAnsi="Times New Roman" w:cs="Times New Roman"/>
          <w:sz w:val="28"/>
          <w:szCs w:val="28"/>
        </w:rPr>
      </w:pPr>
      <w:r>
        <w:rPr>
          <w:rFonts w:ascii="Times New Roman" w:hAnsi="Times New Roman" w:cs="Times New Roman"/>
          <w:sz w:val="28"/>
          <w:szCs w:val="28"/>
        </w:rPr>
        <w:t xml:space="preserve">Учёный секретарь</w:t>
      </w:r>
    </w:p>
    <w:p>
      <w:pPr>
        <w:spacing w:before="0" w:after="160" w:line="360" w:lineRule="auto"/>
        <w:ind w:firstLine="708"/>
        <w:jc w:val="both"/>
        <w:rPr>
          <w:rFonts w:ascii="Times New Roman" w:hAnsi="Times New Roman" w:cs="Times New Roman"/>
          <w:sz w:val="28"/>
          <w:szCs w:val="28"/>
        </w:rPr>
      </w:pPr>
      <w:r>
        <w:rPr>
          <w:rFonts w:ascii="Times New Roman" w:hAnsi="Times New Roman" w:cs="Times New Roman"/>
          <w:sz w:val="28"/>
          <w:szCs w:val="28"/>
        </w:rPr>
        <w:t xml:space="preserve">диссертационного совета                                                       ____________________</w:t>
      </w:r>
    </w:p>
    <w:p>
      <w:pPr/>
      <w:r>
        <w:br w:type="page"/>
      </w:r>
    </w:p>
    <w:p>
      <w:pPr>
        <w:spacing w:before="0" w:after="160" w:line="360" w:lineRule="auto"/>
        <w:ind/>
        <w:jc w:val="center"/>
        <w:rPr>
          <w:rFonts w:ascii="Times New Roman" w:hAnsi="Times New Roman" w:cs="Times New Roman"/>
          <w:b/>
          <w:bCs/>
          <w:sz w:val="28"/>
          <w:szCs w:val="28"/>
        </w:rPr>
      </w:pPr>
      <w:r>
        <w:rPr>
          <w:rFonts w:ascii="Times New Roman" w:hAnsi="Times New Roman" w:cs="Times New Roman"/>
          <w:b/>
          <w:bCs/>
          <w:sz w:val="28"/>
          <w:szCs w:val="28"/>
        </w:rPr>
        <w:t xml:space="preserve">ОБЩАЯ ХАРАКТЕРИСТИКА РАБОТЫ</w:t>
      </w:r>
    </w:p>
    <w:p>
      <w:pPr>
        <w:spacing w:line="360" w:lineRule="auto"/>
      </w:pPr>
    </w:p>
    <w:p>
      <w:pPr>
        <w:spacing w:before="0" w:after="160" w:line="360" w:lineRule="auto"/>
        <w:ind w:firstLine="708"/>
        <w:jc w:val="both"/>
        <w:rPr>
          <w:rFonts w:ascii="Times New Roman" w:hAnsi="Times New Roman" w:cs="Times New Roman"/>
          <w:sz w:val="28"/>
          <w:szCs w:val="28"/>
        </w:rPr>
      </w:pPr>
      <w:r>
        <w:rPr>
          <w:rFonts w:ascii="Times New Roman" w:hAnsi="Times New Roman" w:cs="Times New Roman"/>
          <w:sz w:val="28"/>
          <w:szCs w:val="28"/>
        </w:rPr>
        <w:t xml:space="preserve">Актуальность темы исследования. Конец XX — начало XXI века стали периодом глубокого изменения повседневной работы культурных институтов. Для музеев информатизация — планомерное внедрение вычислительной техники, телекоммуникационных систем, баз данных и электронных ресурсов — превратилась в один из значимых факторов развития учётно-фондовой, научной, экспозиционной и коммуникационной деятельности. В российских музеях этот процесс развивался неравномерно, а его региональное измерение до настоящего времени изучено недостаточно. Между тем именно на региональном уровне информатизация обретает конкретные институциональные формы, и без её изучения общая картина модернизации отечественного музейного дела остаётся неполной.</w:t>
      </w:r>
    </w:p>
    <w:p>
      <w:pPr>
        <w:spacing w:before="0" w:after="160" w:line="360" w:lineRule="auto"/>
        <w:ind w:firstLine="708"/>
        <w:jc w:val="both"/>
        <w:rPr>
          <w:rFonts w:ascii="Times New Roman" w:hAnsi="Times New Roman" w:cs="Times New Roman"/>
          <w:sz w:val="28"/>
          <w:szCs w:val="28"/>
        </w:rPr>
      </w:pPr>
      <w:r>
        <w:rPr>
          <w:rFonts w:ascii="Times New Roman" w:hAnsi="Times New Roman" w:cs="Times New Roman"/>
          <w:sz w:val="28"/>
          <w:szCs w:val="28"/>
        </w:rPr>
        <w:t xml:space="preserve">Республика Татарстан представляет собой показательный случай для такого исследования. Регион располагает разветвлённой музейной сетью и значимым историко-культурным наследием, включая крупные музеи и музеи-заповедники, связанные с памятниками федерального и международного значения. Одновременно с 2000-х годов в республике последовательно реализовывалась собственная политика информационного развития — программы «Электронный Татарстан» и «Цифровой Татарстан». Сочетание развитой музейной инфраструктуры, региональной культурной политики и устойчивой повестки в сфере информационных технологий делает Татарстан продуктивной площадкой для анализа музейной информатизации.</w:t>
      </w:r>
    </w:p>
    <w:p>
      <w:pPr>
        <w:spacing w:before="0" w:after="160" w:line="360" w:lineRule="auto"/>
        <w:ind w:firstLine="708"/>
        <w:jc w:val="both"/>
        <w:rPr>
          <w:rFonts w:ascii="Times New Roman" w:hAnsi="Times New Roman" w:cs="Times New Roman"/>
          <w:sz w:val="28"/>
          <w:szCs w:val="28"/>
        </w:rPr>
      </w:pPr>
      <w:r>
        <w:rPr>
          <w:rFonts w:ascii="Times New Roman" w:hAnsi="Times New Roman" w:cs="Times New Roman"/>
          <w:sz w:val="28"/>
          <w:szCs w:val="28"/>
        </w:rPr>
        <w:t xml:space="preserve">Самостоятельность татарстанского опыта связана с несколькими обстоятельствами: особым конституционно-правовым статусом республики и договорной моделью разграничения полномочий 1990-х годов; равным статусом русского и татарского языков, закреплённым региональным законодательством и обусловившим задачу двуязычного представления культурного наследия; созданием и деятельностью Центра информационных технологий Республики Татарстан, обеспечившего организационную и инфраструктурную поддержку музейных проектов. Значительная часть документов, связанных с внедрением КАМИС, созданием региональных каталогов и виртуальных ресурсов, остаётся мало введённой в научный оборот, а пандемия COVID-19 показала, что готовность музеев к дистанционной работе зависит от ранее накопленной информационной инфраструктуры. Всё это определяет научную и практическую актуальность темы.</w:t>
      </w:r>
    </w:p>
    <w:p>
      <w:pPr>
        <w:spacing w:before="0" w:after="160" w:line="360" w:lineRule="auto"/>
        <w:ind w:firstLine="708"/>
        <w:jc w:val="both"/>
        <w:rPr>
          <w:rFonts w:ascii="Times New Roman" w:hAnsi="Times New Roman" w:cs="Times New Roman"/>
          <w:sz w:val="28"/>
          <w:szCs w:val="28"/>
        </w:rPr>
      </w:pPr>
      <w:r>
        <w:rPr>
          <w:rFonts w:ascii="Times New Roman" w:hAnsi="Times New Roman" w:cs="Times New Roman"/>
          <w:sz w:val="28"/>
          <w:szCs w:val="28"/>
        </w:rPr>
        <w:t xml:space="preserve">Степень научной разработанности темы. Историография темы неоднородна. Макротеоретический контекст задают труды по теории информационного общества — в отечественной традиции работы Р. С. Гиляревского и А. И. Ракитова, в зарубежной — М. Кастельса, Ф. Уэбстера, Д. Белла и Э. Тоффлера. Собственно музейное измерение раскрыто в исследованиях А. В. Лебедева, Т. Ю. Юреневой, А. В. Воронина и других авторов, рассматривающих музей как информационную систему. Международный контекст цифровой гуманитаристики представлен работами Д. М. Берри и С. Хокки. Региональный историко-культурный фон обеспечивают труды И. К. Загидуллина, Л. Р. Габдрафиковой, Р. Р. Салихова, монография Г. Р. Назиповой о Казанском городском музее, а также работы К. А. Руденко по музейному делу Татарстана.</w:t>
      </w:r>
    </w:p>
    <w:p>
      <w:pPr>
        <w:spacing w:before="0" w:after="160" w:line="360" w:lineRule="auto"/>
        <w:ind w:firstLine="708"/>
        <w:jc w:val="both"/>
        <w:rPr>
          <w:rFonts w:ascii="Times New Roman" w:hAnsi="Times New Roman" w:cs="Times New Roman"/>
          <w:sz w:val="28"/>
          <w:szCs w:val="28"/>
        </w:rPr>
      </w:pPr>
      <w:r>
        <w:rPr>
          <w:rFonts w:ascii="Times New Roman" w:hAnsi="Times New Roman" w:cs="Times New Roman"/>
          <w:sz w:val="28"/>
          <w:szCs w:val="28"/>
        </w:rPr>
        <w:t xml:space="preserve">Анализ литературы показывает, что при наличии значительного массива работ по смежным темам специализированного исследования, посвящённого информатизации музеев Республики Татарстан как целостному историческому процессу, до настоящего времени не предпринималось. Отдельные сюжеты освещались фрагментарно — в публикациях практиков, отчётах учреждений и ведомственных материалах, не образующих комплексной историко-аналитической реконструкции. Эта лакуна и составляет научную проблему диссертации.</w:t>
      </w:r>
    </w:p>
    <w:p>
      <w:pPr>
        <w:spacing w:before="0" w:after="160" w:line="360" w:lineRule="auto"/>
        <w:ind w:firstLine="708"/>
        <w:jc w:val="both"/>
        <w:rPr>
          <w:rFonts w:ascii="Times New Roman" w:hAnsi="Times New Roman" w:cs="Times New Roman"/>
          <w:sz w:val="28"/>
          <w:szCs w:val="28"/>
        </w:rPr>
      </w:pPr>
      <w:r>
        <w:rPr>
          <w:rFonts w:ascii="Times New Roman" w:hAnsi="Times New Roman" w:cs="Times New Roman"/>
          <w:sz w:val="28"/>
          <w:szCs w:val="28"/>
        </w:rPr>
        <w:t xml:space="preserve">Объект исследования — музейная сеть Республики Татарстан как совокупность государственных и муниципальных музейных учреждений, вовлечённых в процессы информатизации.</w:t>
      </w:r>
    </w:p>
    <w:p>
      <w:pPr>
        <w:spacing w:before="0" w:after="160" w:line="360" w:lineRule="auto"/>
        <w:ind w:firstLine="708"/>
        <w:jc w:val="both"/>
        <w:rPr>
          <w:rFonts w:ascii="Times New Roman" w:hAnsi="Times New Roman" w:cs="Times New Roman"/>
          <w:sz w:val="28"/>
          <w:szCs w:val="28"/>
        </w:rPr>
      </w:pPr>
      <w:r>
        <w:rPr>
          <w:rFonts w:ascii="Times New Roman" w:hAnsi="Times New Roman" w:cs="Times New Roman"/>
          <w:sz w:val="28"/>
          <w:szCs w:val="28"/>
        </w:rPr>
        <w:t xml:space="preserve">Предмет исследования — исторический процесс информатизации музеев Республики Татарстан: его этапы, движущие силы, нормативно-правовые, организационные и технологические условия, а также результаты с начала 1990-х годов до современного этапа.</w:t>
      </w:r>
    </w:p>
    <w:p>
      <w:pPr>
        <w:spacing w:before="0" w:after="160" w:line="360" w:lineRule="auto"/>
        <w:ind w:firstLine="708"/>
        <w:jc w:val="both"/>
        <w:rPr>
          <w:rFonts w:ascii="Times New Roman" w:hAnsi="Times New Roman" w:cs="Times New Roman"/>
          <w:sz w:val="28"/>
          <w:szCs w:val="28"/>
        </w:rPr>
      </w:pPr>
      <w:r>
        <w:rPr>
          <w:rFonts w:ascii="Times New Roman" w:hAnsi="Times New Roman" w:cs="Times New Roman"/>
          <w:sz w:val="28"/>
          <w:szCs w:val="28"/>
        </w:rPr>
        <w:t xml:space="preserve">Хронологические и территориальные рамки исследования. Хронологические рамки охватывают период с начала 1990-х годов до 2026 года. Нижняя граница связана с формированием новых политико-правовых и технологических условий после распада СССР, распространением персональных компьютеров и началом регионального курса на информационное развитие; верхняя — с завершением программного периода «Цифрового Татарстана» и необходимостью оценить переход от преимущественно инфраструктурной информатизации к современным цифровым практикам. Территориальные рамки определяются административными границами республики; в центре анализа — Министерство культуры РТ, Центр информационных технологий РТ, Национальный музей РТ, Музей-заповедник «Казанский Кремль», Елабужский и Болгарский музеи-заповедники, а также муниципальные музеи.</w:t>
      </w:r>
    </w:p>
    <w:p>
      <w:pPr>
        <w:spacing w:before="0" w:after="160" w:line="360" w:lineRule="auto"/>
        <w:ind w:firstLine="708"/>
        <w:jc w:val="both"/>
        <w:rPr>
          <w:rFonts w:ascii="Times New Roman" w:hAnsi="Times New Roman" w:cs="Times New Roman"/>
          <w:sz w:val="28"/>
          <w:szCs w:val="28"/>
        </w:rPr>
      </w:pPr>
      <w:r>
        <w:rPr>
          <w:rFonts w:ascii="Times New Roman" w:hAnsi="Times New Roman" w:cs="Times New Roman"/>
          <w:sz w:val="28"/>
          <w:szCs w:val="28"/>
        </w:rPr>
        <w:t xml:space="preserve">Цель и задачи исследования. Цель работы — реконструировать историю информатизации музейной сети Республики Татарстан как системного регионального процесса, выявить его этапы, институциональные механизмы, специфику и результаты.</w:t>
      </w:r>
    </w:p>
    <w:p>
      <w:pPr>
        <w:spacing w:before="0" w:after="160" w:line="360" w:lineRule="auto"/>
        <w:ind w:firstLine="708"/>
        <w:jc w:val="both"/>
        <w:rPr>
          <w:rFonts w:ascii="Times New Roman" w:hAnsi="Times New Roman" w:cs="Times New Roman"/>
          <w:sz w:val="28"/>
          <w:szCs w:val="28"/>
        </w:rPr>
      </w:pPr>
      <w:r>
        <w:rPr>
          <w:rFonts w:ascii="Times New Roman" w:hAnsi="Times New Roman" w:cs="Times New Roman"/>
          <w:sz w:val="28"/>
          <w:szCs w:val="28"/>
        </w:rPr>
        <w:t xml:space="preserve">Для достижения цели решён комплекс задач: проанализировать историографию и источниковую базу темы; уточнить соотношение понятий «информатизация», «цифровизация» и «оцифровка» применительно к музейной сфере; реконструировать нормативно-правовые и организационные условия информатизации музеев Татарстана; изучить внедрение и распространение КАМИС; охарактеризовать создание региональных электронных каталогов и публичных цифровых ресурсов; проанализировать участие музеев республики в Государственном каталоге Музейного фонда Российской Федерации; оценить современные цифровые практики и перспективы дальнейшего развития.</w:t>
      </w:r>
    </w:p>
    <w:p>
      <w:pPr>
        <w:spacing w:before="0" w:after="160" w:line="360" w:lineRule="auto"/>
        <w:ind w:firstLine="708"/>
        <w:jc w:val="both"/>
        <w:rPr>
          <w:rFonts w:ascii="Times New Roman" w:hAnsi="Times New Roman" w:cs="Times New Roman"/>
          <w:sz w:val="28"/>
          <w:szCs w:val="28"/>
        </w:rPr>
      </w:pPr>
      <w:r>
        <w:rPr>
          <w:rFonts w:ascii="Times New Roman" w:hAnsi="Times New Roman" w:cs="Times New Roman"/>
          <w:sz w:val="28"/>
          <w:szCs w:val="28"/>
        </w:rPr>
        <w:t xml:space="preserve">Методология и методы исследования. Методологическую основу работы составляет сочетание историко-системного, сравнительно-исторического, источниковедческого и статистического методов. Историко-системный подход позволяет рассматривать информатизацию как взаимосвязанное развитие нормативных документов, организационных структур, технологических решений и профессиональных практик. Сравнительно-исторический метод используется для сопоставления татарстанского опыта с федеральными и международными тенденциями. При работе с интервью применяются методы устной истории: свидетельства непосредственных участников процесса использовались при обязательном сопоставлении с документальными источниками и статистикой, что обеспечивает обоснованность выводов. Теоретическими опорами служат концепции информационного общества, теория музейной коммуникации и подходы цифровой гуманитаристики.</w:t>
      </w:r>
    </w:p>
    <w:p>
      <w:pPr>
        <w:spacing w:before="0" w:after="160" w:line="360" w:lineRule="auto"/>
        <w:ind w:firstLine="708"/>
        <w:jc w:val="both"/>
        <w:rPr>
          <w:rFonts w:ascii="Times New Roman" w:hAnsi="Times New Roman" w:cs="Times New Roman"/>
          <w:sz w:val="28"/>
          <w:szCs w:val="28"/>
        </w:rPr>
      </w:pPr>
      <w:r>
        <w:rPr>
          <w:rFonts w:ascii="Times New Roman" w:hAnsi="Times New Roman" w:cs="Times New Roman"/>
          <w:sz w:val="28"/>
          <w:szCs w:val="28"/>
        </w:rPr>
        <w:t xml:space="preserve">Источниковая база исследования объединяет шесть групп источников. Первая — нормативные и программные документы федерального и регионального уровня (Федеральный закон «О Музейном фонде Российской Федерации и музеях в Российской Федерации», концепции информатизации сферы культуры, государственная программа «Информационное общество», программы «Электронный Татарстан» и «Цифровой Татарстан»). Вторая — делопроизводственные и архивные материалы музеев, Министерства культуры РТ и ЦИТ РТ (акты внедрения КАМИС, годовые отчёты, документы о централизованном хранении баз данных). Третья — материалы профессиональной периодики и конференций. Четвёртая — статистические материалы, включая формы федерального статистического наблюдения. Пятая — материалы устной истории (интервью с сотрудниками музеев, Министерства культуры РТ и ЦИТ РТ). Шестая — техническая документация информационных систем, включая руководства пользователя КАМИС.</w:t>
      </w:r>
    </w:p>
    <w:p>
      <w:pPr>
        <w:spacing w:before="0" w:after="160" w:line="360" w:lineRule="auto"/>
        <w:ind w:firstLine="708"/>
        <w:jc w:val="both"/>
        <w:rPr>
          <w:rFonts w:ascii="Times New Roman" w:hAnsi="Times New Roman" w:cs="Times New Roman"/>
          <w:sz w:val="28"/>
          <w:szCs w:val="28"/>
        </w:rPr>
      </w:pPr>
      <w:r>
        <w:rPr>
          <w:rFonts w:ascii="Times New Roman" w:hAnsi="Times New Roman" w:cs="Times New Roman"/>
          <w:sz w:val="28"/>
          <w:szCs w:val="28"/>
        </w:rPr>
        <w:t xml:space="preserve">Научная новизна исследования состоит в том, что история информатизации музейной сети Республики Татарстан рассматривается как самостоятельный исторический процесс, ранее не становившийся предметом специального исследования. Предложена пятиэтапная периодизация процесса; введён в научный оборот и систематизирован корпус архивных и устно-исторических источников; выявлены и описаны региональные особенности татарстанской модели — двуязычный портал, координирующая роль ЦИТ РТ, централизованная серверная инфраструктура и сравнительно раннее распространение КАМИС. В работе последовательно разграничены понятия «оцифровка», «информатизация» и «цифровизация» применительно к музейной практике: оцифровка понимается как перевод конкретных объектов и документов в электронную форму; информатизация — как системный процесс внедрения вычислительной техники, баз данных и регламентов; цифровизация — как качественное преобразование профессиональных и коммуникационных практик.</w:t>
      </w:r>
    </w:p>
    <w:p>
      <w:pPr>
        <w:spacing w:before="0" w:after="160" w:line="360" w:lineRule="auto"/>
        <w:ind/>
        <w:jc w:val="center"/>
        <w:rPr>
          <w:rFonts w:ascii="Times New Roman" w:hAnsi="Times New Roman" w:cs="Times New Roman"/>
          <w:b/>
          <w:bCs/>
          <w:sz w:val="28"/>
          <w:szCs w:val="28"/>
        </w:rPr>
      </w:pPr>
      <w:r>
        <w:rPr>
          <w:rFonts w:ascii="Times New Roman" w:hAnsi="Times New Roman" w:cs="Times New Roman"/>
          <w:b/>
          <w:bCs/>
          <w:sz w:val="28"/>
          <w:szCs w:val="28"/>
        </w:rPr>
        <w:t xml:space="preserve">Положения, выносимые на защиту:</w:t>
      </w:r>
    </w:p>
    <w:p>
      <w:pPr>
        <w:spacing w:before="0" w:after="160" w:line="360" w:lineRule="auto"/>
        <w:ind w:firstLine="708"/>
        <w:jc w:val="both"/>
        <w:rPr>
          <w:rFonts w:ascii="Times New Roman" w:hAnsi="Times New Roman" w:cs="Times New Roman"/>
          <w:sz w:val="28"/>
          <w:szCs w:val="28"/>
        </w:rPr>
      </w:pPr>
      <w:r>
        <w:rPr>
          <w:rFonts w:ascii="Times New Roman" w:hAnsi="Times New Roman" w:cs="Times New Roman"/>
          <w:sz w:val="28"/>
          <w:szCs w:val="28"/>
        </w:rPr>
        <w:t xml:space="preserve">1. Информатизация музеев Республики Татарстан представляет собой системный исторический процесс, логика которого определялась взаимодействием трёх сил: федеральной нормативно-правовой базы, региональной политики информационного развития и инициатив самих музейных учреждений. Это не сумма разрозненных технических нововведений, а целостное институциональное явление.</w:t>
      </w:r>
    </w:p>
    <w:p>
      <w:pPr>
        <w:spacing w:before="0" w:after="160" w:line="360" w:lineRule="auto"/>
        <w:ind w:firstLine="708"/>
        <w:jc w:val="both"/>
        <w:rPr>
          <w:rFonts w:ascii="Times New Roman" w:hAnsi="Times New Roman" w:cs="Times New Roman"/>
          <w:sz w:val="28"/>
          <w:szCs w:val="28"/>
        </w:rPr>
      </w:pPr>
      <w:r>
        <w:rPr>
          <w:rFonts w:ascii="Times New Roman" w:hAnsi="Times New Roman" w:cs="Times New Roman"/>
          <w:sz w:val="28"/>
          <w:szCs w:val="28"/>
        </w:rPr>
        <w:t xml:space="preserve">2. Авторская периодизация выделяет пять этапов развития информатизации музеев республики. Первый этап (начало 1990-х — 2001 г.) — предпосылки и начальная, несистемная компьютеризация. Второй (2002–2012 гг.) — формирование системной инфраструктуры на базе КАМИС и региональной координации. Третий (2013–2016 гг.) — переход к единому информационному пространству (Объединённый электронный каталог, 2014 г.; портал «Виртуальный музей Республики Татарстан», 2015 г.). Четвёртый (2017–2019 гг.) — углубление интеграции в Государственный каталог Музейного фонда Российской Федерации. Пятый (с 2020 г.) — ускорение дистанционных форм работы и цифровых коммуникаций. Границы этапов проведены по смене нормативных условий, технологической базы и институциональной организации.</w:t>
      </w:r>
    </w:p>
    <w:p>
      <w:pPr>
        <w:spacing w:before="0" w:after="160" w:line="360" w:lineRule="auto"/>
        <w:ind w:firstLine="708"/>
        <w:jc w:val="both"/>
        <w:rPr>
          <w:rFonts w:ascii="Times New Roman" w:hAnsi="Times New Roman" w:cs="Times New Roman"/>
          <w:sz w:val="28"/>
          <w:szCs w:val="28"/>
        </w:rPr>
      </w:pPr>
      <w:r>
        <w:rPr>
          <w:rFonts w:ascii="Times New Roman" w:hAnsi="Times New Roman" w:cs="Times New Roman"/>
          <w:sz w:val="28"/>
          <w:szCs w:val="28"/>
        </w:rPr>
        <w:t xml:space="preserve">3. Внедрение системы КАМИС-2000 в Национальном музее Республики Татарстан в 2002 году стало отправной точкой системной информатизации и сформировало технологическую и организационную модель учёта, научной обработки и документирования фондов, впоследствии распространённую на другие учреждения республики.</w:t>
      </w:r>
    </w:p>
    <w:p>
      <w:pPr>
        <w:spacing w:before="0" w:after="160" w:line="360" w:lineRule="auto"/>
        <w:ind w:firstLine="708"/>
        <w:jc w:val="both"/>
        <w:rPr>
          <w:rFonts w:ascii="Times New Roman" w:hAnsi="Times New Roman" w:cs="Times New Roman"/>
          <w:sz w:val="28"/>
          <w:szCs w:val="28"/>
        </w:rPr>
      </w:pPr>
      <w:r>
        <w:rPr>
          <w:rFonts w:ascii="Times New Roman" w:hAnsi="Times New Roman" w:cs="Times New Roman"/>
          <w:sz w:val="28"/>
          <w:szCs w:val="28"/>
        </w:rPr>
        <w:t xml:space="preserve">4. Центр информационных технологий Республики Татарстан выступил инфраструктурным координатором процесса: перевод баз данных муниципальных музеев на централизованный сервер создал условия для консолидации музейной информации на региональном уровне и снизил технологические барьеры для учреждений с ограниченными кадровыми и техническими возможностями.</w:t>
      </w:r>
    </w:p>
    <w:p>
      <w:pPr>
        <w:spacing w:before="0" w:after="160" w:line="360" w:lineRule="auto"/>
        <w:ind w:firstLine="708"/>
        <w:jc w:val="both"/>
        <w:rPr>
          <w:rFonts w:ascii="Times New Roman" w:hAnsi="Times New Roman" w:cs="Times New Roman"/>
          <w:sz w:val="28"/>
          <w:szCs w:val="28"/>
        </w:rPr>
      </w:pPr>
      <w:r>
        <w:rPr>
          <w:rFonts w:ascii="Times New Roman" w:hAnsi="Times New Roman" w:cs="Times New Roman"/>
          <w:sz w:val="28"/>
          <w:szCs w:val="28"/>
        </w:rPr>
        <w:t xml:space="preserve">5. Создание Объединённого электронного каталога и запуск портала «Виртуальный музей Республики Татарстан» обозначили переход от внутримузейной автоматизации к единому региональному информационному пространству. Двуязычная, русско-татарская модель портала была связана с нормами республиканского языкового законодательства и отражает специфику региона.</w:t>
      </w:r>
    </w:p>
    <w:p>
      <w:pPr>
        <w:spacing w:before="0" w:after="160" w:line="360" w:lineRule="auto"/>
        <w:ind w:firstLine="708"/>
        <w:jc w:val="both"/>
        <w:rPr>
          <w:rFonts w:ascii="Times New Roman" w:hAnsi="Times New Roman" w:cs="Times New Roman"/>
          <w:sz w:val="28"/>
          <w:szCs w:val="28"/>
        </w:rPr>
      </w:pPr>
      <w:r>
        <w:rPr>
          <w:rFonts w:ascii="Times New Roman" w:hAnsi="Times New Roman" w:cs="Times New Roman"/>
          <w:sz w:val="28"/>
          <w:szCs w:val="28"/>
        </w:rPr>
        <w:t xml:space="preserve">6. Пандемия COVID-19 стала катализатором дистанционных форм работы, но не единственной их причиной: она ускорила освоение онлайн-форматов и одновременно выявила как сильные стороны ранее созданной инфраструктуры, так и лакуны в сфере цифрового контента и кадровых компетенций.</w:t>
      </w:r>
    </w:p>
    <w:p>
      <w:pPr>
        <w:spacing w:before="0" w:after="160" w:line="360" w:lineRule="auto"/>
        <w:ind w:firstLine="708"/>
        <w:jc w:val="both"/>
        <w:rPr>
          <w:rFonts w:ascii="Times New Roman" w:hAnsi="Times New Roman" w:cs="Times New Roman"/>
          <w:sz w:val="28"/>
          <w:szCs w:val="28"/>
        </w:rPr>
      </w:pPr>
      <w:r>
        <w:rPr>
          <w:rFonts w:ascii="Times New Roman" w:hAnsi="Times New Roman" w:cs="Times New Roman"/>
          <w:sz w:val="28"/>
          <w:szCs w:val="28"/>
        </w:rPr>
        <w:t xml:space="preserve">7. Татарстанская модель информатизации музеев характеризуется специфическим сочетанием развитой региональной ИТ-инфраструктуры, двуязычной культурной политики и устойчивой межведомственной координации; это сочетание отличает татарстанский опыт от практики ряда других субъектов Федерации.</w:t>
      </w:r>
    </w:p>
    <w:p>
      <w:pPr>
        <w:spacing w:before="0" w:after="160" w:line="360" w:lineRule="auto"/>
        <w:ind w:firstLine="708"/>
        <w:jc w:val="both"/>
        <w:rPr>
          <w:rFonts w:ascii="Times New Roman" w:hAnsi="Times New Roman" w:cs="Times New Roman"/>
          <w:sz w:val="28"/>
          <w:szCs w:val="28"/>
        </w:rPr>
      </w:pPr>
      <w:r>
        <w:rPr>
          <w:rFonts w:ascii="Times New Roman" w:hAnsi="Times New Roman" w:cs="Times New Roman"/>
          <w:sz w:val="28"/>
          <w:szCs w:val="28"/>
        </w:rPr>
        <w:t xml:space="preserve">Теоретическая и практическая значимость исследования. Теоретическая значимость работы заключается в уточнении понятийного аппарата исследования музейной информатизации, в разграничении информатизации, цифровизации и оцифровки, а также в предложении модели анализа региональных практик цифрового развития музейной сферы. Практическая значимость связана с возможностью использования результатов при разработке программ цифровизации музейной отрасли, проектировании информационных систем и подготовке учебных курсов по музеологии, истории культуры и документоведению.</w:t>
      </w:r>
    </w:p>
    <w:p>
      <w:pPr>
        <w:spacing w:before="0" w:after="160" w:line="360" w:lineRule="auto"/>
        <w:ind w:firstLine="708"/>
        <w:jc w:val="both"/>
        <w:rPr>
          <w:rFonts w:ascii="Times New Roman" w:hAnsi="Times New Roman" w:cs="Times New Roman"/>
          <w:sz w:val="28"/>
          <w:szCs w:val="28"/>
        </w:rPr>
      </w:pPr>
      <w:r>
        <w:rPr>
          <w:rFonts w:ascii="Times New Roman" w:hAnsi="Times New Roman" w:cs="Times New Roman"/>
          <w:sz w:val="28"/>
          <w:szCs w:val="28"/>
        </w:rPr>
        <w:t xml:space="preserve">Соответствие паспорту научной специальности. Диссертация соответствует паспорту научной специальности 5.10.1 — Теория и история культуры, искусства (исторические науки): работа посвящена историческому изучению культурных институтов и процессов, реконструкции истории музейного дела и информатизации культурной сферы региона в их историко-культурном контексте.</w:t>
      </w:r>
    </w:p>
    <w:p>
      <w:pPr>
        <w:spacing w:before="0" w:after="160" w:line="360" w:lineRule="auto"/>
        <w:ind w:firstLine="708"/>
        <w:jc w:val="both"/>
        <w:rPr>
          <w:rFonts w:ascii="Times New Roman" w:hAnsi="Times New Roman" w:cs="Times New Roman"/>
          <w:sz w:val="28"/>
          <w:szCs w:val="28"/>
        </w:rPr>
      </w:pPr>
      <w:r>
        <w:rPr>
          <w:rFonts w:ascii="Times New Roman" w:hAnsi="Times New Roman" w:cs="Times New Roman"/>
          <w:sz w:val="28"/>
          <w:szCs w:val="28"/>
        </w:rPr>
        <w:t xml:space="preserve">Степень достоверности и апробация результатов. Достоверность результатов обеспечена широкой источниковой базой, сочетанием взаимодополняющих методов, а также верификацией свидетельств устной истории документальными источниками и статистикой. Основные положения исследования прошли апробацию на научных и профессиональных площадках, посвящённых музейному делу, цифровой культуре и информационным технологиям в гуманитарной сфере, в том числе на Международном форуме «Kazan Digital Week» (Казань, 2025), Международном культурологическом форуме «Наука, культура, образование XXI века» (Казань, 2026) и студенческой научно-практической конференции в рамках Недели молодёжной науки (Казань, 2025). По теме диссертации опубликовано восемь работ, в том числе три статьи в рецензируемых научных изданиях, рекомендованных ВАК при Минобрнауки России.</w:t>
      </w:r>
    </w:p>
    <w:p>
      <w:pPr>
        <w:spacing w:before="0" w:after="160" w:line="360" w:lineRule="auto"/>
        <w:ind w:firstLine="708"/>
        <w:jc w:val="both"/>
        <w:rPr>
          <w:rFonts w:ascii="Times New Roman" w:hAnsi="Times New Roman" w:cs="Times New Roman"/>
          <w:sz w:val="28"/>
          <w:szCs w:val="28"/>
        </w:rPr>
      </w:pPr>
      <w:r>
        <w:rPr>
          <w:rFonts w:ascii="Times New Roman" w:hAnsi="Times New Roman" w:cs="Times New Roman"/>
          <w:sz w:val="28"/>
          <w:szCs w:val="28"/>
        </w:rPr>
        <w:t xml:space="preserve">Структура диссертации соответствует логике исследования. Работа состоит из введения, трёх глав, разделённых на параграфы, заключения, списка использованных источников и литературы и приложений.</w:t>
      </w:r>
    </w:p>
    <w:p>
      <w:pPr/>
      <w:r>
        <w:br w:type="page"/>
      </w:r>
    </w:p>
    <w:p>
      <w:pPr>
        <w:spacing w:before="0" w:after="160" w:line="360" w:lineRule="auto"/>
        <w:ind/>
        <w:jc w:val="center"/>
        <w:rPr>
          <w:rFonts w:ascii="Times New Roman" w:hAnsi="Times New Roman" w:cs="Times New Roman"/>
          <w:b/>
          <w:bCs/>
          <w:sz w:val="28"/>
          <w:szCs w:val="28"/>
        </w:rPr>
      </w:pPr>
      <w:r>
        <w:rPr>
          <w:rFonts w:ascii="Times New Roman" w:hAnsi="Times New Roman" w:cs="Times New Roman"/>
          <w:b/>
          <w:bCs/>
          <w:sz w:val="28"/>
          <w:szCs w:val="28"/>
        </w:rPr>
        <w:t xml:space="preserve">ОСНОВНОЕ СОДЕРЖАНИЕ РАБОТЫ</w:t>
      </w:r>
    </w:p>
    <w:p>
      <w:pPr>
        <w:spacing w:line="360" w:lineRule="auto"/>
      </w:pPr>
    </w:p>
    <w:p>
      <w:pPr>
        <w:spacing w:before="0" w:after="160" w:line="360" w:lineRule="auto"/>
        <w:ind w:firstLine="708"/>
        <w:jc w:val="both"/>
        <w:rPr>
          <w:rFonts w:ascii="Times New Roman" w:hAnsi="Times New Roman" w:cs="Times New Roman"/>
          <w:sz w:val="28"/>
          <w:szCs w:val="28"/>
        </w:rPr>
      </w:pPr>
      <w:r>
        <w:rPr>
          <w:rFonts w:ascii="Times New Roman" w:hAnsi="Times New Roman" w:cs="Times New Roman"/>
          <w:sz w:val="28"/>
          <w:szCs w:val="28"/>
        </w:rPr>
        <w:t xml:space="preserve">Во введении обоснована актуальность темы, охарактеризована степень её научной разработанности, определены объект, предмет, хронологические и территориальные рамки, сформулированы цель и задачи, изложены методология и методы, источниковая база, научная новизна, положения, выносимые на защиту, теоретическая и практическая значимость, приведены сведения об апробации и структуре работы.</w:t>
      </w:r>
    </w:p>
    <w:p>
      <w:pPr>
        <w:spacing w:before="0" w:after="160" w:line="360" w:lineRule="auto"/>
        <w:ind w:firstLine="708"/>
        <w:jc w:val="both"/>
        <w:rPr>
          <w:rFonts w:ascii="Times New Roman" w:hAnsi="Times New Roman" w:cs="Times New Roman"/>
          <w:sz w:val="28"/>
          <w:szCs w:val="28"/>
        </w:rPr>
      </w:pPr>
      <w:r>
        <w:rPr>
          <w:rFonts w:ascii="Times New Roman" w:hAnsi="Times New Roman" w:cs="Times New Roman"/>
          <w:sz w:val="28"/>
          <w:szCs w:val="28"/>
        </w:rPr>
        <w:t xml:space="preserve">Первая глава «Историография, источники и понятийный аппарат исследования» посвящена теоретическим и источниковедческим основаниям работы.</w:t>
      </w:r>
    </w:p>
    <w:p>
      <w:pPr>
        <w:spacing w:before="0" w:after="160" w:line="360" w:lineRule="auto"/>
        <w:ind w:firstLine="708"/>
        <w:jc w:val="both"/>
        <w:rPr>
          <w:rFonts w:ascii="Times New Roman" w:hAnsi="Times New Roman" w:cs="Times New Roman"/>
          <w:sz w:val="28"/>
          <w:szCs w:val="28"/>
        </w:rPr>
      </w:pPr>
      <w:r>
        <w:rPr>
          <w:rFonts w:ascii="Times New Roman" w:hAnsi="Times New Roman" w:cs="Times New Roman"/>
          <w:sz w:val="28"/>
          <w:szCs w:val="28"/>
        </w:rPr>
        <w:t xml:space="preserve">В параграфе 1.1 «Историография, источниковая база и методы исследования» проанализированы основные блоки литературы — труды по теории информационного общества, исследования музея как информационной системы, работы по цифровой гуманитаристике и региональная историография музейного дела Татарстана. Сделан вывод о фрагментарности изученности темы; охарактеризованы шесть групп источников и методы исследования.</w:t>
      </w:r>
    </w:p>
    <w:p>
      <w:pPr>
        <w:spacing w:before="0" w:after="160" w:line="360" w:lineRule="auto"/>
        <w:ind w:firstLine="708"/>
        <w:jc w:val="both"/>
        <w:rPr>
          <w:rFonts w:ascii="Times New Roman" w:hAnsi="Times New Roman" w:cs="Times New Roman"/>
          <w:sz w:val="28"/>
          <w:szCs w:val="28"/>
        </w:rPr>
      </w:pPr>
      <w:r>
        <w:rPr>
          <w:rFonts w:ascii="Times New Roman" w:hAnsi="Times New Roman" w:cs="Times New Roman"/>
          <w:sz w:val="28"/>
          <w:szCs w:val="28"/>
        </w:rPr>
        <w:t xml:space="preserve">В параграфе 1.2 «Информатизация и цифровизация: содержание понятий, структура процессов и их применение в музейной науке и практике» разграничены понятия «оцифровка», «информатизация» и «цифровизация»; описана структура информатизации, включающая технологический, организационный, информационный и коммуникационный компоненты.</w:t>
      </w:r>
    </w:p>
    <w:p>
      <w:pPr>
        <w:spacing w:before="0" w:after="160" w:line="360" w:lineRule="auto"/>
        <w:ind w:firstLine="708"/>
        <w:jc w:val="both"/>
        <w:rPr>
          <w:rFonts w:ascii="Times New Roman" w:hAnsi="Times New Roman" w:cs="Times New Roman"/>
          <w:sz w:val="28"/>
          <w:szCs w:val="28"/>
        </w:rPr>
      </w:pPr>
      <w:r>
        <w:rPr>
          <w:rFonts w:ascii="Times New Roman" w:hAnsi="Times New Roman" w:cs="Times New Roman"/>
          <w:sz w:val="28"/>
          <w:szCs w:val="28"/>
        </w:rPr>
        <w:t xml:space="preserve">В параграфе 1.3 «Нормативно-правовые и организационные условия информатизации учреждений культуры в Российской Федерации и Республике Татарстан» рассмотрены федеральная нормативно-правовая база, государственные программы информационного развития, программы «Электронный Татарстан» и «Цифровой Татарстан», а также организационная роль Министерства культуры РТ и Центра информационных технологий РТ.</w:t>
      </w:r>
    </w:p>
    <w:p>
      <w:pPr>
        <w:spacing w:before="0" w:after="160" w:line="360" w:lineRule="auto"/>
        <w:ind w:firstLine="708"/>
        <w:jc w:val="both"/>
        <w:rPr>
          <w:rFonts w:ascii="Times New Roman" w:hAnsi="Times New Roman" w:cs="Times New Roman"/>
          <w:sz w:val="28"/>
          <w:szCs w:val="28"/>
        </w:rPr>
      </w:pPr>
      <w:r>
        <w:rPr>
          <w:rFonts w:ascii="Times New Roman" w:hAnsi="Times New Roman" w:cs="Times New Roman"/>
          <w:sz w:val="28"/>
          <w:szCs w:val="28"/>
        </w:rPr>
        <w:t xml:space="preserve">Вторая глава «Становление и развитие системы информатизации музеев Республики Татарстан (1990-е – 2016 гг.)» реконструирует формирование региональной системы информатизации.</w:t>
      </w:r>
    </w:p>
    <w:p>
      <w:pPr>
        <w:spacing w:before="0" w:after="160" w:line="360" w:lineRule="auto"/>
        <w:ind w:firstLine="708"/>
        <w:jc w:val="both"/>
        <w:rPr>
          <w:rFonts w:ascii="Times New Roman" w:hAnsi="Times New Roman" w:cs="Times New Roman"/>
          <w:sz w:val="28"/>
          <w:szCs w:val="28"/>
        </w:rPr>
      </w:pPr>
      <w:r>
        <w:rPr>
          <w:rFonts w:ascii="Times New Roman" w:hAnsi="Times New Roman" w:cs="Times New Roman"/>
          <w:sz w:val="28"/>
          <w:szCs w:val="28"/>
        </w:rPr>
        <w:t xml:space="preserve">В параграфе 2.1 рассмотрены первые опыты применения информационных технологий в музеях республики и внедрение системы КАМИС-2000 в Национальном музее РТ в 2002 году, ставшее отправной точкой системной информатизации.</w:t>
      </w:r>
    </w:p>
    <w:p>
      <w:pPr>
        <w:spacing w:before="0" w:after="160" w:line="360" w:lineRule="auto"/>
        <w:ind w:firstLine="708"/>
        <w:jc w:val="both"/>
        <w:rPr>
          <w:rFonts w:ascii="Times New Roman" w:hAnsi="Times New Roman" w:cs="Times New Roman"/>
          <w:sz w:val="28"/>
          <w:szCs w:val="28"/>
        </w:rPr>
      </w:pPr>
      <w:r>
        <w:rPr>
          <w:rFonts w:ascii="Times New Roman" w:hAnsi="Times New Roman" w:cs="Times New Roman"/>
          <w:sz w:val="28"/>
          <w:szCs w:val="28"/>
        </w:rPr>
        <w:t xml:space="preserve">В параграфе 2.2 проанализированы распространение КАМИС в музеях республики, региональный проект 2008 года, в рамках которого системой были дополнительно оснащены пять музейных учреждений, и перевод баз данных муниципальных музеев на централизованный сервер ЦИТ РТ (2012 г.).</w:t>
      </w:r>
    </w:p>
    <w:p>
      <w:pPr>
        <w:spacing w:before="0" w:after="160" w:line="360" w:lineRule="auto"/>
        <w:ind w:firstLine="708"/>
        <w:jc w:val="both"/>
        <w:rPr>
          <w:rFonts w:ascii="Times New Roman" w:hAnsi="Times New Roman" w:cs="Times New Roman"/>
          <w:sz w:val="28"/>
          <w:szCs w:val="28"/>
        </w:rPr>
      </w:pPr>
      <w:r>
        <w:rPr>
          <w:rFonts w:ascii="Times New Roman" w:hAnsi="Times New Roman" w:cs="Times New Roman"/>
          <w:sz w:val="28"/>
          <w:szCs w:val="28"/>
        </w:rPr>
        <w:t xml:space="preserve">В параграфе 2.3 охарактеризовано формирование единого информационного пространства: создание Объединённого электронного каталога (2014 г.) и запуск портала «Виртуальный музей Республики Татарстан» (2015 г.). По данным мониторинга, к 2015 году системой КАМИС было оснащено около тридцати музеев, в базах которых учитывалось порядка 420 тыс. предметов (более 250 тыс. из них приходилось на Национальный музей РТ); к 2016 году число оснащённых учреждений возросло до шестидесяти двух.</w:t>
      </w:r>
    </w:p>
    <w:p>
      <w:pPr>
        <w:spacing w:before="0" w:after="160" w:line="360" w:lineRule="auto"/>
        <w:ind w:firstLine="708"/>
        <w:jc w:val="both"/>
        <w:rPr>
          <w:rFonts w:ascii="Times New Roman" w:hAnsi="Times New Roman" w:cs="Times New Roman"/>
          <w:sz w:val="28"/>
          <w:szCs w:val="28"/>
        </w:rPr>
      </w:pPr>
      <w:r>
        <w:rPr>
          <w:rFonts w:ascii="Times New Roman" w:hAnsi="Times New Roman" w:cs="Times New Roman"/>
          <w:sz w:val="28"/>
          <w:szCs w:val="28"/>
        </w:rPr>
        <w:t xml:space="preserve">Третья глава «Интеграция музеев Республики Татарстан в федеральные информационные системы и современные тенденции цифровизации (2017–2026 гг.)» раскрывает современный этап процесса.</w:t>
      </w:r>
    </w:p>
    <w:p>
      <w:pPr>
        <w:spacing w:before="0" w:after="160" w:line="360" w:lineRule="auto"/>
        <w:ind w:firstLine="708"/>
        <w:jc w:val="both"/>
        <w:rPr>
          <w:rFonts w:ascii="Times New Roman" w:hAnsi="Times New Roman" w:cs="Times New Roman"/>
          <w:sz w:val="28"/>
          <w:szCs w:val="28"/>
        </w:rPr>
      </w:pPr>
      <w:r>
        <w:rPr>
          <w:rFonts w:ascii="Times New Roman" w:hAnsi="Times New Roman" w:cs="Times New Roman"/>
          <w:sz w:val="28"/>
          <w:szCs w:val="28"/>
        </w:rPr>
        <w:t xml:space="preserve">В параграфе 3.1 рассмотрено участие музеев республики в Государственном каталоге Музейного фонда Российской Федерации и автоматизация учётных процессов; показана динамика наполнения каталога записями о предметах из татарстанских собраний.</w:t>
      </w:r>
    </w:p>
    <w:p>
      <w:pPr>
        <w:spacing w:before="0" w:after="160" w:line="360" w:lineRule="auto"/>
        <w:ind w:firstLine="708"/>
        <w:jc w:val="both"/>
        <w:rPr>
          <w:rFonts w:ascii="Times New Roman" w:hAnsi="Times New Roman" w:cs="Times New Roman"/>
          <w:sz w:val="28"/>
          <w:szCs w:val="28"/>
        </w:rPr>
      </w:pPr>
      <w:r>
        <w:rPr>
          <w:rFonts w:ascii="Times New Roman" w:hAnsi="Times New Roman" w:cs="Times New Roman"/>
          <w:sz w:val="28"/>
          <w:szCs w:val="28"/>
        </w:rPr>
        <w:t xml:space="preserve">В параграфе 3.2 проанализированы новые форматы цифрового взаимодействия с аудиторией: дистанционные формы работы в период пандемии COVID-19, освоение мессенджер-технологий (в том числе телеграм-ботов в практике Национального музея РТ) и актуальные тенденции цифровизации 2020–2026 годов.</w:t>
      </w:r>
    </w:p>
    <w:p>
      <w:pPr>
        <w:spacing w:before="0" w:after="160" w:line="360" w:lineRule="auto"/>
        <w:ind w:firstLine="708"/>
        <w:jc w:val="both"/>
        <w:rPr>
          <w:rFonts w:ascii="Times New Roman" w:hAnsi="Times New Roman" w:cs="Times New Roman"/>
          <w:sz w:val="28"/>
          <w:szCs w:val="28"/>
        </w:rPr>
      </w:pPr>
      <w:r>
        <w:rPr>
          <w:rFonts w:ascii="Times New Roman" w:hAnsi="Times New Roman" w:cs="Times New Roman"/>
          <w:sz w:val="28"/>
          <w:szCs w:val="28"/>
        </w:rPr>
        <w:t xml:space="preserve">В параграфе 3.3 обобщена региональная специфика татарстанской модели информатизации, подведены её итоги и намечены перспективы развития.</w:t>
      </w:r>
    </w:p>
    <w:p>
      <w:pPr>
        <w:spacing w:before="0" w:after="160" w:line="360" w:lineRule="auto"/>
        <w:ind w:firstLine="708"/>
        <w:jc w:val="both"/>
        <w:rPr>
          <w:rFonts w:ascii="Times New Roman" w:hAnsi="Times New Roman" w:cs="Times New Roman"/>
          <w:sz w:val="28"/>
          <w:szCs w:val="28"/>
        </w:rPr>
      </w:pPr>
      <w:r>
        <w:rPr>
          <w:rFonts w:ascii="Times New Roman" w:hAnsi="Times New Roman" w:cs="Times New Roman"/>
          <w:sz w:val="28"/>
          <w:szCs w:val="28"/>
        </w:rPr>
        <w:t xml:space="preserve">В заключении подведены итоги исследования. Информатизация музеев Республики Татарстан представляла собой длительный и неоднородный, но внутренне связный процесс, в котором сочетались технические нововведения, административные решения и профессиональные инициативы музейного сообщества. Информатизация приобрела многоуровневый характер, охватив электронный учёт, каталогизацию, интеграцию с федеральными ресурсами, публичные интернет-представительства и новые каналы коммуникации с аудиторией. Одновременно зафиксированы устойчивые ограничения: неравномерность ресурсного обеспечения, дефицит кадров, различия в технической оснащённости крупных государственных и малых муниципальных музеев, зависимость части учреждений от внешней методической поддержки. Информатизация музеев Республики Татарстан рассматривается как часть истории региональной культурной политики и музейного дела конца XX — первой четверти XXI века.</w:t>
      </w:r>
    </w:p>
    <w:p>
      <w:pPr/>
      <w:r>
        <w:br w:type="page"/>
      </w:r>
    </w:p>
    <w:p>
      <w:pPr>
        <w:spacing w:before="0" w:after="160" w:line="360" w:lineRule="auto"/>
        <w:ind/>
        <w:jc w:val="center"/>
        <w:rPr>
          <w:rFonts w:ascii="Times New Roman" w:hAnsi="Times New Roman" w:cs="Times New Roman"/>
          <w:b/>
          <w:bCs/>
          <w:sz w:val="28"/>
          <w:szCs w:val="28"/>
        </w:rPr>
      </w:pPr>
      <w:r>
        <w:rPr>
          <w:rFonts w:ascii="Times New Roman" w:hAnsi="Times New Roman" w:cs="Times New Roman"/>
          <w:b/>
          <w:bCs/>
          <w:sz w:val="28"/>
          <w:szCs w:val="28"/>
        </w:rPr>
        <w:t xml:space="preserve">Основные положения диссертации отражены в следующих публикациях автора</w:t>
      </w:r>
    </w:p>
    <w:p>
      <w:pPr>
        <w:spacing w:line="360" w:lineRule="auto"/>
      </w:pPr>
    </w:p>
    <w:p>
      <w:pPr>
        <w:spacing w:before="0" w:after="160" w:line="360" w:lineRule="auto"/>
        <w:ind/>
        <w:jc w:val="both"/>
        <w:rPr>
          <w:rFonts w:ascii="Times New Roman" w:hAnsi="Times New Roman" w:cs="Times New Roman"/>
          <w:b/>
          <w:bCs/>
          <w:sz w:val="28"/>
          <w:szCs w:val="28"/>
        </w:rPr>
      </w:pPr>
      <w:r>
        <w:rPr>
          <w:rFonts w:ascii="Times New Roman" w:hAnsi="Times New Roman" w:cs="Times New Roman"/>
          <w:b/>
          <w:bCs/>
          <w:sz w:val="28"/>
          <w:szCs w:val="28"/>
        </w:rPr>
        <w:t xml:space="preserve">Статьи в рецензируемых научных изданиях, рекомендованных ВАК при Министерстве науки и высшего образования Российской Федерации:</w:t>
      </w:r>
    </w:p>
    <w:p>
      <w:pPr>
        <w:spacing w:before="0" w:after="160" w:line="360" w:lineRule="auto"/>
        <w:ind w:firstLine="708"/>
        <w:jc w:val="both"/>
        <w:rPr>
          <w:rFonts w:ascii="Times New Roman" w:hAnsi="Times New Roman" w:cs="Times New Roman"/>
          <w:sz w:val="28"/>
          <w:szCs w:val="28"/>
        </w:rPr>
      </w:pPr>
      <w:r>
        <w:rPr>
          <w:rFonts w:ascii="Times New Roman" w:hAnsi="Times New Roman" w:cs="Times New Roman"/>
          <w:sz w:val="28"/>
          <w:szCs w:val="28"/>
        </w:rPr>
        <w:t xml:space="preserve">1. Глухов, В. А. Опыт информатизации музеев на примере Национального музея Республики Татарстан / В. А. Глухов // Вестник Казанского государственного университета культуры и искусств. — 2024. — № 4. — С. 80–85.</w:t>
      </w:r>
    </w:p>
    <w:p>
      <w:pPr>
        <w:spacing w:before="0" w:after="160" w:line="360" w:lineRule="auto"/>
        <w:ind w:firstLine="708"/>
        <w:jc w:val="both"/>
        <w:rPr>
          <w:rFonts w:ascii="Times New Roman" w:hAnsi="Times New Roman" w:cs="Times New Roman"/>
          <w:sz w:val="28"/>
          <w:szCs w:val="28"/>
        </w:rPr>
      </w:pPr>
      <w:r>
        <w:rPr>
          <w:rFonts w:ascii="Times New Roman" w:hAnsi="Times New Roman" w:cs="Times New Roman"/>
          <w:sz w:val="28"/>
          <w:szCs w:val="28"/>
        </w:rPr>
        <w:t xml:space="preserve">2. Глухов, В. А. Развитие музейной культуры средствами цифровых мультимедиа технологий / В. А. Глухов, П. П. Терехов // Вестник Казанского государственного университета культуры и искусств. — 2022. — № 2. — С. 17–20.</w:t>
      </w:r>
    </w:p>
    <w:p>
      <w:pPr>
        <w:spacing w:before="0" w:after="160" w:line="360" w:lineRule="auto"/>
        <w:ind w:firstLine="708"/>
        <w:jc w:val="both"/>
        <w:rPr>
          <w:rFonts w:ascii="Times New Roman" w:hAnsi="Times New Roman" w:cs="Times New Roman"/>
          <w:sz w:val="28"/>
          <w:szCs w:val="28"/>
        </w:rPr>
      </w:pPr>
      <w:r>
        <w:rPr>
          <w:rFonts w:ascii="Times New Roman" w:hAnsi="Times New Roman" w:cs="Times New Roman"/>
          <w:sz w:val="28"/>
          <w:szCs w:val="28"/>
        </w:rPr>
        <w:t xml:space="preserve">3. Глухов, В. А. Информационные технологии в учётно-хранительской деятельности музеев: региональный опыт / В. А. Глухов // Сервис плюс. — № 3 (в печати).</w:t>
      </w:r>
    </w:p>
    <w:p>
      <w:pPr>
        <w:spacing w:line="360" w:lineRule="auto"/>
      </w:pPr>
    </w:p>
    <w:p>
      <w:pPr>
        <w:spacing w:before="0" w:after="160" w:line="360" w:lineRule="auto"/>
        <w:ind/>
        <w:jc w:val="both"/>
        <w:rPr>
          <w:rFonts w:ascii="Times New Roman" w:hAnsi="Times New Roman" w:cs="Times New Roman"/>
          <w:b/>
          <w:bCs/>
          <w:sz w:val="28"/>
          <w:szCs w:val="28"/>
        </w:rPr>
      </w:pPr>
      <w:r>
        <w:rPr>
          <w:rFonts w:ascii="Times New Roman" w:hAnsi="Times New Roman" w:cs="Times New Roman"/>
          <w:b/>
          <w:bCs/>
          <w:sz w:val="28"/>
          <w:szCs w:val="28"/>
        </w:rPr>
        <w:t xml:space="preserve">В других изданиях:</w:t>
      </w:r>
    </w:p>
    <w:p>
      <w:pPr>
        <w:spacing w:before="0" w:after="160" w:line="360" w:lineRule="auto"/>
        <w:ind w:firstLine="708"/>
        <w:jc w:val="both"/>
        <w:rPr>
          <w:rFonts w:ascii="Times New Roman" w:hAnsi="Times New Roman" w:cs="Times New Roman"/>
          <w:sz w:val="28"/>
          <w:szCs w:val="28"/>
        </w:rPr>
      </w:pPr>
      <w:r>
        <w:rPr>
          <w:rFonts w:ascii="Times New Roman" w:hAnsi="Times New Roman" w:cs="Times New Roman"/>
          <w:sz w:val="28"/>
          <w:szCs w:val="28"/>
        </w:rPr>
        <w:t xml:space="preserve">4. Глухов, В. А. Внедрение систем управления музейной деятельностью в России / В. А. Глухов // Наука, культура, образование XXI века: междисциплинарный подход : материалы Международного культурологического форума. — Казань, 2026. — С. 133–135.</w:t>
      </w:r>
    </w:p>
    <w:p>
      <w:pPr>
        <w:spacing w:before="0" w:after="160" w:line="360" w:lineRule="auto"/>
        <w:ind w:firstLine="708"/>
        <w:jc w:val="both"/>
        <w:rPr>
          <w:rFonts w:ascii="Times New Roman" w:hAnsi="Times New Roman" w:cs="Times New Roman"/>
          <w:sz w:val="28"/>
          <w:szCs w:val="28"/>
        </w:rPr>
      </w:pPr>
      <w:r>
        <w:rPr>
          <w:rFonts w:ascii="Times New Roman" w:hAnsi="Times New Roman" w:cs="Times New Roman"/>
          <w:sz w:val="28"/>
          <w:szCs w:val="28"/>
        </w:rPr>
        <w:t xml:space="preserve">5. Глухов, В. А. Исторические аспекты создания первых компьютерных систем в музеях / В. А. Глухов // Молодёжь. Наука. Культура : материалы студенческой научно-практической конференции в рамках Недели молодёжной науки. — Казань, 2025. — С. 13–15.</w:t>
      </w:r>
    </w:p>
    <w:p>
      <w:pPr>
        <w:spacing w:before="0" w:after="160" w:line="360" w:lineRule="auto"/>
        <w:ind w:firstLine="708"/>
        <w:jc w:val="both"/>
        <w:rPr>
          <w:rFonts w:ascii="Times New Roman" w:hAnsi="Times New Roman" w:cs="Times New Roman"/>
          <w:sz w:val="28"/>
          <w:szCs w:val="28"/>
        </w:rPr>
      </w:pPr>
      <w:r>
        <w:rPr>
          <w:rFonts w:ascii="Times New Roman" w:hAnsi="Times New Roman" w:cs="Times New Roman"/>
          <w:sz w:val="28"/>
          <w:szCs w:val="28"/>
        </w:rPr>
        <w:t xml:space="preserve">6. Глухов, В. А. Цифровые технологии в музейной деятельности / В. А. Глухов // Международный форум Kazan Digital Week — 2025 : сборник материалов. — Казань, 2025. — С. 1727–1731.</w:t>
      </w:r>
    </w:p>
    <w:p>
      <w:pPr>
        <w:spacing w:before="0" w:after="160" w:line="360" w:lineRule="auto"/>
        <w:ind w:firstLine="708"/>
        <w:jc w:val="both"/>
        <w:rPr>
          <w:rFonts w:ascii="Times New Roman" w:hAnsi="Times New Roman" w:cs="Times New Roman"/>
          <w:sz w:val="28"/>
          <w:szCs w:val="28"/>
        </w:rPr>
      </w:pPr>
      <w:r>
        <w:rPr>
          <w:rFonts w:ascii="Times New Roman" w:hAnsi="Times New Roman" w:cs="Times New Roman"/>
          <w:sz w:val="28"/>
          <w:szCs w:val="28"/>
        </w:rPr>
        <w:t xml:space="preserve">7. Глухов, В. А. Интерактивные научно-познавательные программы в музее / В. А. Глухов // Внедрение мультимедийных и интерактивных технологий в музейные пространства: отечественные и зарубежные практики : учебно-методическое пособие. — Казань, 2023. — С. 107–116.</w:t>
      </w:r>
    </w:p>
    <w:p>
      <w:pPr>
        <w:spacing w:before="0" w:after="160" w:line="360" w:lineRule="auto"/>
        <w:ind w:firstLine="708"/>
        <w:jc w:val="both"/>
        <w:rPr>
          <w:rFonts w:ascii="Times New Roman" w:hAnsi="Times New Roman" w:cs="Times New Roman"/>
          <w:sz w:val="28"/>
          <w:szCs w:val="28"/>
        </w:rPr>
      </w:pPr>
      <w:r>
        <w:rPr>
          <w:rFonts w:ascii="Times New Roman" w:hAnsi="Times New Roman" w:cs="Times New Roman"/>
          <w:sz w:val="28"/>
          <w:szCs w:val="28"/>
        </w:rPr>
        <w:t xml:space="preserve">8. Глухов, В. А. Интерактивность музейного экспозиционного и выставочного пространства: коммуникационные возможности современных мультимедийных технологий / В. А. Глухов // Внедрение мультимедийных и интерактивных технологий в музейные пространства: отечественные и зарубежные практики : учебно-методическое пособие. — Казань, 2023. — С. 45–62.</w:t>
      </w:r>
    </w:p>
    <w:sectPr>
      <w:pgSz w:w="16838" w:h="11906" w:orient="landscape"/>
      <w:pgMar w:top="1021" w:right="851" w:bottom="1021" w:left="1134" w:header="567" w:footer="567" w:gutter="0"/>
    </w:sectPr>
  </w:body>
</w:document>
</file>

<file path=word/settings.xml><?xml version="1.0" encoding="utf-8"?>
<w:settings xmlns:w="http://schemas.openxmlformats.org/wordprocessingml/2006/main">
  <w:mirrorMargins/>
  <w:bookFoldPrinting/>
</w:settings>
</file>

<file path=word/_rels/document.xml.rels><?xml version="1.0" encoding="UTF-8" standalone="yes"?><Relationships xmlns="http://schemas.openxmlformats.org/package/2006/relationships"><Relationship Id="rId1" Type="http://schemas.openxmlformats.org/officeDocument/2006/relationships/settings" Target="settings.xml"/></Relationships>
</file>