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60" w:lineRule="auto"/>
        <w:ind/>
        <w:jc w:val="center"/>
        <w:rPr>
          <w:rFonts w:ascii="Times New Roman" w:hAnsi="Times New Roman" w:cs="Times New Roman"/>
          <w:sz w:val="28"/>
          <w:szCs w:val="28"/>
        </w:rPr>
      </w:pPr>
      <w:r>
        <w:rPr>
          <w:rFonts w:ascii="Times New Roman" w:hAnsi="Times New Roman" w:cs="Times New Roman"/>
          <w:sz w:val="28"/>
          <w:szCs w:val="28"/>
        </w:rPr>
        <w:t xml:space="preserve">Министерство науки и высшего образования Российской Федерации</w:t>
      </w:r>
    </w:p>
    <w:p>
      <w:pPr>
        <w:spacing w:before="0" w:after="160" w:line="360" w:lineRule="auto"/>
        <w:ind/>
        <w:jc w:val="center"/>
        <w:rPr>
          <w:rFonts w:ascii="Times New Roman" w:hAnsi="Times New Roman" w:cs="Times New Roman"/>
          <w:sz w:val="28"/>
          <w:szCs w:val="28"/>
        </w:rPr>
      </w:pPr>
      <w:r>
        <w:rPr>
          <w:rFonts w:ascii="Times New Roman" w:hAnsi="Times New Roman" w:cs="Times New Roman"/>
          <w:sz w:val="28"/>
          <w:szCs w:val="28"/>
        </w:rPr>
        <w:t xml:space="preserve">Федеральное государственное бюджетное образовательное учреждение высшего образования</w:t>
      </w:r>
    </w:p>
    <w:p>
      <w:pPr>
        <w:spacing w:before="0" w:after="160" w:line="360" w:lineRule="auto"/>
        <w:ind/>
        <w:jc w:val="center"/>
        <w:rPr>
          <w:rFonts w:ascii="Times New Roman" w:hAnsi="Times New Roman" w:cs="Times New Roman"/>
          <w:sz w:val="28"/>
          <w:szCs w:val="28"/>
        </w:rPr>
      </w:pPr>
      <w:r>
        <w:rPr>
          <w:rFonts w:ascii="Times New Roman" w:hAnsi="Times New Roman" w:cs="Times New Roman"/>
          <w:sz w:val="28"/>
          <w:szCs w:val="28"/>
        </w:rPr>
        <w:t xml:space="preserve">«Казанский государственный институт культуры»</w:t>
      </w:r>
    </w:p>
    <w:p>
      <w:pPr>
        <w:spacing w:line="360" w:lineRule="auto"/>
      </w:pPr>
    </w:p>
    <w:p>
      <w:pPr>
        <w:spacing w:line="360" w:lineRule="auto"/>
      </w:pPr>
    </w:p>
    <w:p>
      <w:pPr>
        <w:spacing w:before="0" w:after="160" w:line="360" w:lineRule="auto"/>
        <w:ind/>
        <w:jc w:val="right"/>
        <w:rPr>
          <w:rFonts w:ascii="Times New Roman" w:hAnsi="Times New Roman" w:cs="Times New Roman"/>
          <w:sz w:val="28"/>
          <w:szCs w:val="28"/>
        </w:rPr>
      </w:pPr>
      <w:r>
        <w:rPr>
          <w:rFonts w:ascii="Times New Roman" w:hAnsi="Times New Roman" w:cs="Times New Roman"/>
          <w:sz w:val="28"/>
          <w:szCs w:val="28"/>
        </w:rPr>
        <w:t xml:space="preserve">На правах рукописи</w:t>
      </w:r>
    </w:p>
    <w:p>
      <w:pPr>
        <w:spacing w:line="360" w:lineRule="auto"/>
      </w:pPr>
    </w:p>
    <w:p>
      <w:pPr>
        <w:spacing w:line="360" w:lineRule="auto"/>
      </w:pPr>
    </w:p>
    <w:p>
      <w:pPr>
        <w:spacing w:before="0" w:after="160" w:line="360" w:lineRule="auto"/>
        <w:ind/>
        <w:jc w:val="center"/>
        <w:rPr>
          <w:rFonts w:ascii="Times New Roman" w:hAnsi="Times New Roman" w:cs="Times New Roman"/>
          <w:b/>
          <w:bCs/>
          <w:sz w:val="28"/>
          <w:szCs w:val="28"/>
        </w:rPr>
      </w:pPr>
      <w:r>
        <w:rPr>
          <w:rFonts w:ascii="Times New Roman" w:hAnsi="Times New Roman" w:cs="Times New Roman"/>
          <w:b/>
          <w:bCs/>
          <w:sz w:val="28"/>
          <w:szCs w:val="28"/>
        </w:rPr>
        <w:t xml:space="preserve">ГЛУХОВ Владислав Андреевич</w:t>
      </w:r>
    </w:p>
    <w:p>
      <w:pPr>
        <w:spacing w:line="360" w:lineRule="auto"/>
      </w:pPr>
    </w:p>
    <w:p>
      <w:pPr>
        <w:spacing w:before="0" w:after="160" w:line="360" w:lineRule="auto"/>
        <w:ind/>
        <w:jc w:val="center"/>
        <w:rPr>
          <w:rFonts w:ascii="Times New Roman" w:hAnsi="Times New Roman" w:cs="Times New Roman"/>
          <w:b/>
          <w:bCs/>
          <w:sz w:val="30"/>
          <w:szCs w:val="30"/>
        </w:rPr>
      </w:pPr>
      <w:r>
        <w:rPr>
          <w:rFonts w:ascii="Times New Roman" w:hAnsi="Times New Roman" w:cs="Times New Roman"/>
          <w:b/>
          <w:bCs/>
          <w:sz w:val="30"/>
          <w:szCs w:val="30"/>
        </w:rPr>
        <w:t xml:space="preserve">ИСТОРИЯ ИНФОРМАТИЗАЦИИ МУЗЕЕВ РЕСПУБЛИКИ ТАТАРСТАН</w:t>
      </w:r>
    </w:p>
    <w:p>
      <w:pPr>
        <w:spacing w:line="360" w:lineRule="auto"/>
      </w:pPr>
    </w:p>
    <w:p>
      <w:pPr>
        <w:spacing w:line="360" w:lineRule="auto"/>
      </w:pPr>
    </w:p>
    <w:p>
      <w:pPr>
        <w:spacing w:before="0" w:after="160" w:line="360" w:lineRule="auto"/>
        <w:ind/>
        <w:jc w:val="center"/>
        <w:rPr>
          <w:rFonts w:ascii="Times New Roman" w:hAnsi="Times New Roman" w:cs="Times New Roman"/>
          <w:sz w:val="28"/>
          <w:szCs w:val="28"/>
        </w:rPr>
      </w:pPr>
      <w:r>
        <w:rPr>
          <w:rFonts w:ascii="Times New Roman" w:hAnsi="Times New Roman" w:cs="Times New Roman"/>
          <w:sz w:val="28"/>
          <w:szCs w:val="28"/>
        </w:rPr>
        <w:t xml:space="preserve">Специальность 5.10.1 — Теория и история культуры, искусства</w:t>
      </w:r>
    </w:p>
    <w:p>
      <w:pPr>
        <w:spacing w:line="360" w:lineRule="auto"/>
      </w:pPr>
    </w:p>
    <w:p>
      <w:pPr>
        <w:spacing w:line="360" w:lineRule="auto"/>
      </w:pPr>
    </w:p>
    <w:p>
      <w:pPr>
        <w:spacing w:before="0" w:after="160" w:line="360" w:lineRule="auto"/>
        <w:ind/>
        <w:jc w:val="center"/>
        <w:rPr>
          <w:rFonts w:ascii="Times New Roman" w:hAnsi="Times New Roman" w:cs="Times New Roman"/>
          <w:b/>
          <w:bCs/>
          <w:sz w:val="28"/>
          <w:szCs w:val="28"/>
        </w:rPr>
      </w:pPr>
      <w:r>
        <w:rPr>
          <w:rFonts w:ascii="Times New Roman" w:hAnsi="Times New Roman" w:cs="Times New Roman"/>
          <w:b/>
          <w:bCs/>
          <w:sz w:val="28"/>
          <w:szCs w:val="28"/>
        </w:rPr>
        <w:t xml:space="preserve">Автореферат</w:t>
      </w:r>
    </w:p>
    <w:p>
      <w:pPr>
        <w:spacing w:before="0" w:after="160" w:line="360" w:lineRule="auto"/>
        <w:ind/>
        <w:jc w:val="center"/>
        <w:rPr>
          <w:rFonts w:ascii="Times New Roman" w:hAnsi="Times New Roman" w:cs="Times New Roman"/>
          <w:sz w:val="28"/>
          <w:szCs w:val="28"/>
        </w:rPr>
      </w:pPr>
      <w:r>
        <w:rPr>
          <w:rFonts w:ascii="Times New Roman" w:hAnsi="Times New Roman" w:cs="Times New Roman"/>
          <w:sz w:val="28"/>
          <w:szCs w:val="28"/>
        </w:rPr>
        <w:t xml:space="preserve">диссертации на соискание учёной степени</w:t>
      </w:r>
    </w:p>
    <w:p>
      <w:pPr>
        <w:spacing w:before="0" w:after="160" w:line="360" w:lineRule="auto"/>
        <w:ind/>
        <w:jc w:val="center"/>
        <w:rPr>
          <w:rFonts w:ascii="Times New Roman" w:hAnsi="Times New Roman" w:cs="Times New Roman"/>
          <w:sz w:val="28"/>
          <w:szCs w:val="28"/>
        </w:rPr>
      </w:pPr>
      <w:r>
        <w:rPr>
          <w:rFonts w:ascii="Times New Roman" w:hAnsi="Times New Roman" w:cs="Times New Roman"/>
          <w:sz w:val="28"/>
          <w:szCs w:val="28"/>
        </w:rPr>
        <w:t xml:space="preserve">кандидата исторических наук</w:t>
      </w:r>
    </w:p>
    <w:p>
      <w:pPr>
        <w:spacing w:line="360" w:lineRule="auto"/>
      </w:pPr>
    </w:p>
    <w:p>
      <w:pPr>
        <w:spacing w:line="360" w:lineRule="auto"/>
      </w:pPr>
    </w:p>
    <w:p>
      <w:pPr>
        <w:spacing w:line="360" w:lineRule="auto"/>
      </w:pPr>
    </w:p>
    <w:p>
      <w:pPr>
        <w:spacing w:before="0" w:after="160" w:line="360" w:lineRule="auto"/>
        <w:ind/>
        <w:jc w:val="center"/>
        <w:rPr>
          <w:rFonts w:ascii="Times New Roman" w:hAnsi="Times New Roman" w:cs="Times New Roman"/>
          <w:sz w:val="28"/>
          <w:szCs w:val="28"/>
        </w:rPr>
      </w:pPr>
      <w:r>
        <w:rPr>
          <w:rFonts w:ascii="Times New Roman" w:hAnsi="Times New Roman" w:cs="Times New Roman"/>
          <w:sz w:val="28"/>
          <w:szCs w:val="28"/>
        </w:rPr>
        <w:t xml:space="preserve">Казань — 2026</w:t>
      </w:r>
    </w:p>
    <w:p>
      <w:pPr/>
      <w:r>
        <w:br w:type="page"/>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Работа выполнена на кафедре культурного наследия и туризма федерального государственного бюджетного образовательного учреждения высшего образования «Казанский государственный институт культуры».</w:t>
      </w:r>
    </w:p>
    <w:p>
      <w:pPr>
        <w:spacing w:line="360" w:lineRule="auto"/>
      </w:pPr>
    </w:p>
    <w:p>
      <w:pPr>
        <w:spacing w:before="0" w:after="16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Научный руководитель:</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доктор исторических наук, профессор Руденко Константин Александрович.</w:t>
      </w:r>
    </w:p>
    <w:p>
      <w:pPr>
        <w:spacing w:line="360" w:lineRule="auto"/>
      </w:pPr>
    </w:p>
    <w:p>
      <w:pPr>
        <w:spacing w:before="0" w:after="16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Официальные оппоненты:</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___________________________________________________________________ (заполняется при назначении оппонентов).</w:t>
      </w:r>
    </w:p>
    <w:p>
      <w:pPr>
        <w:spacing w:line="360" w:lineRule="auto"/>
      </w:pPr>
    </w:p>
    <w:p>
      <w:pPr>
        <w:spacing w:before="0" w:after="16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Ведущая организация:</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___________________________________________________________________ (заполняется при назначении ведущей организации).</w:t>
      </w:r>
    </w:p>
    <w:p>
      <w:pPr>
        <w:spacing w:line="360" w:lineRule="auto"/>
      </w:pP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Защита состоится «____» __________ 2026 г. в ____ часов на заседании диссертационного совета ____________ при ФГБОУ ВО «Казанский государственный институт культуры» по адресу: ____________________________________________.</w:t>
      </w:r>
    </w:p>
    <w:p>
      <w:pPr>
        <w:spacing w:line="360" w:lineRule="auto"/>
      </w:pP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 диссертацией можно ознакомиться в научной библиотеке и на официальном сайте ФГБОУ ВО «Казанский государственный институт культуры».</w:t>
      </w:r>
    </w:p>
    <w:p>
      <w:pPr>
        <w:spacing w:line="360" w:lineRule="auto"/>
      </w:pP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Автореферат разослан «____» __________ 2026 г.</w:t>
      </w:r>
    </w:p>
    <w:p>
      <w:pPr>
        <w:spacing w:line="360" w:lineRule="auto"/>
      </w:pPr>
    </w:p>
    <w:p>
      <w:pPr>
        <w:spacing w:line="360" w:lineRule="auto"/>
      </w:pP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Учёный секретарь</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диссертационного совета                                                       ____________________</w:t>
      </w:r>
    </w:p>
    <w:p>
      <w:pPr/>
      <w:r>
        <w:br w:type="page"/>
      </w:r>
    </w:p>
    <w:p>
      <w:pPr>
        <w:spacing w:before="0" w:after="160" w:line="360" w:lineRule="auto"/>
        <w:ind/>
        <w:jc w:val="center"/>
        <w:rPr>
          <w:rFonts w:ascii="Times New Roman" w:hAnsi="Times New Roman" w:cs="Times New Roman"/>
          <w:b/>
          <w:bCs/>
          <w:sz w:val="28"/>
          <w:szCs w:val="28"/>
        </w:rPr>
      </w:pPr>
      <w:r>
        <w:rPr>
          <w:rFonts w:ascii="Times New Roman" w:hAnsi="Times New Roman" w:cs="Times New Roman"/>
          <w:b/>
          <w:bCs/>
          <w:sz w:val="28"/>
          <w:szCs w:val="28"/>
        </w:rPr>
        <w:t xml:space="preserve">ОБЩАЯ ХАРАКТЕРИСТИКА РАБОТЫ</w:t>
      </w:r>
    </w:p>
    <w:p>
      <w:pPr>
        <w:spacing w:line="360" w:lineRule="auto"/>
      </w:pP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Актуальность темы исследования. Конец XX — начало XXI века стали периодом глубокого изменения повседневной работы культурных институтов. Для музеев информатизация — планомерное внедрение вычислительной техники, телекоммуникационных систем, баз данных и электронных ресурсов — превратилась в один из значимых факторов развития учётно-фондовой, научной, экспозиционной и коммуникационной деятельности. В российских музеях этот процесс развивался неравномерно, а его региональное измерение до настоящего времени изучено недостаточно. Между тем именно на региональном уровне информатизация обретает конкретные институциональные формы, и без её изучения общая картина модернизации отечественного музейного дела остаётся неполной.</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Республика Татарстан представляет собой показательный случай для такого исследования. Регион располагает разветвлённой музейной сетью и значимым историко-культурным наследием, включая крупные музеи и музеи-заповедники, связанные с памятниками федерального и международного значения. Одновременно с 2000-х годов в республике последовательно реализовывалась собственная политика информационного развития — программы «Электронный Татарстан» и «Цифровой Татарстан». Сочетание развитой музейной инфраструктуры, региональной культурной политики и устойчивой повестки в сфере информационных технологий делает Татарстан продуктивной площадкой для анализа музейной информатизации.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Самостоятельность татарстанского опыта связана с несколькими обстоятельствами: особым конституционно-правовым статусом республики и договорной моделью разграничения полномочий 1990-х годов; равным статусом русского и татарского языков, закреплённым региональным законодательством и обусловившим задачу двуязычного представления культурного наследия; созданием и деятельностью Центра информационных технологий Республики Татарстан, обеспечившего организационную и инфраструктурную поддержку музейных проектов. Значительная часть документов, связанных с внедрением КАМИС, созданием региональных каталогов и виртуальных ресурсов, остаётся мало введённой в научный оборот, а пандемия COVID-19 показала, что готовность музеев к дистанционной работе зависит от ранее накопленной информационной инфраструктуры. Всё это определяет научную и практическую актуальность темы.</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Степень научной разработанности темы. Историография темы неоднородна. Макротеоретический контекст задают труды по теории информационного общества — в отечественной традиции работы Р. С. Гиляревского и А. И. Ракитова, в зарубежной — М. Кастельса, Ф. Уэбстера, Д. Белла и Э. Тоффлера. Собственно музейное измерение раскрыто в исследованиях А. В. Лебедева, Т. Ю. Юреневой, А. В. Воронина и других авторов, рассматривающих музей как информационную систему. Международный контекст цифровой гуманитаристики представлен работами Д. М. Берри и С. Хокки. Региональный историко-культурный фон обеспечивают труды И. К. Загидуллина, Л. Р. Габдрафиковой, Р. Р. Салихова, монография Г. Р. Назиповой о Казанском городском музее, а также работы К. А. Руденко по музейному делу Татарстана.</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Анализ литературы показывает, что при наличии значительного массива работ по смежным темам специализированного исследования, посвящённого информатизации музеев Республики Татарстан как целостному историческому процессу, до настоящего времени не предпринималось. Отдельные сюжеты освещались фрагментарно — в публикациях практиков, отчётах учреждений и ведомственных материалах, не образующих комплексной историко-аналитической реконструкции. Эта лакуна и составляет научную проблему диссертации.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Объект исследования — музейная сеть Республики Татарстан как совокупность государственных и муниципальных музейных учреждений, вовлечённых в процессы информатизации.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Предмет исследования — исторический процесс информатизации музеев Республики Татарстан: его этапы, движущие силы, нормативно-правовые, организационные и технологические условия, а также результаты с начала 1990-х годов до современного этапа.</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Хронологические и территориальные рамки исследования. Хронологические рамки охватывают период с начала 1990-х годов до 2026 года. Нижняя граница связана с формированием новых политико-правовых и технологических условий после распада СССР, распространением персональных компьютеров и началом регионального курса на информационное развитие; верхняя — с завершением программного периода «Цифрового Татарстана» и необходимостью оценить переход от преимущественно инфраструктурной информатизации к современным цифровым практикам. Территориальные рамки определяются административными границами республики; в центре анализа — Министерство культуры РТ, Центр информационных технологий РТ, Национальный музей РТ, Музей-заповедник «Казанский Кремль», Елабужский и Болгарский музеи-заповедники, а также муниципальные музеи.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Цель и задачи исследования. Цель работы — реконструировать историю информатизации музейной сети Республики Татарстан как системного регионального процесса, выявить его этапы, институциональные механизмы, специфику и результаты.</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Для достижения цели решён комплекс задач: проанализировать историографию и источниковую базу темы; уточнить соотношение понятий «информатизация», «цифровизация» и «оцифровка» применительно к музейной сфере; реконструировать нормативно-правовые и организационные условия информатизации музеев Татарстана; изучить внедрение и распространение КАМИС; охарактеризовать создание региональных электронных каталогов и публичных цифровых ресурсов; проанализировать участие музеев республики в Государственном каталоге Музейного фонда Российской Федерации; оценить современные цифровые практики и перспективы дальнейшего развития.</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Методология и методы исследования. Методологическую основу работы составляет сочетание историко-системного, сравнительно-исторического, источниковедческого и статистического методов. Историко-системный подход позволяет рассматривать информатизацию как взаимосвязанное развитие нормативных документов, организационных структур, технологических решений и профессиональных практик. Сравнительно-исторический метод используется для сопоставления татарстанского опыта с федеральными и международными тенденциями. При работе с интервью применяются методы устной истории: свидетельства непосредственных участников процесса использовались при обязательном сопоставлении с документальными источниками и статистикой, что обеспечивает обоснованность выводов. Теоретическими опорами служат концепции информационного общества, теория музейной коммуникации и подходы цифровой гуманитаристики.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Источниковая база исследования объединяет шесть групп источников. Первая — нормативные и программные документы федерального и регионального уровня (Федеральный закон «О Музейном фонде Российской Федерации и музеях в Российской Федерации», концепции информатизации сферы культуры, государственная программа «Информационное общество», программы «Электронный Татарстан» и «Цифровой Татарстан»). Вторая — делопроизводственные и архивные материалы музеев, Министерства культуры РТ и ЦИТ РТ (акты внедрения КАМИС, годовые отчёты, документы о централизованном хранении баз данных). Третья — материалы профессиональной периодики и конференций. Четвёртая — статистические материалы, включая формы федерального статистического наблюдения. Пятая — материалы устной истории (интервью с сотрудниками музеев, Министерства культуры РТ и ЦИТ РТ). Шестая — техническая документация информационных систем, включая руководства пользователя КАМИС.</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Научная новизна исследования состоит в том, что история информатизации музейной сети Республики Татарстан рассматривается как самостоятельный исторический процесс, ранее не становившийся предметом специального исследования. Предложена пятиэтапная периодизация процесса; введён в научный оборот и систематизирован корпус архивных и устно-исторических источников; выявлены и описаны региональные особенности татарстанской модели — двуязычный портал, координирующая роль ЦИТ РТ, централизованная серверная инфраструктура и сравнительно раннее распространение КАМИС. В работе последовательно разграничены понятия «оцифровка», «информатизация» и «цифровизация» применительно к музейной практике: оцифровка понимается как перевод конкретных объектов и документов в электронную форму; информатизация — как системный процесс внедрения вычислительной техники, баз данных и регламентов; цифровизация — как качественное преобразование профессиональных и коммуникационных практик.</w:t>
      </w:r>
    </w:p>
    <w:p>
      <w:pPr>
        <w:spacing w:before="0" w:after="160" w:line="360" w:lineRule="auto"/>
        <w:ind/>
        <w:jc w:val="center"/>
        <w:rPr>
          <w:rFonts w:ascii="Times New Roman" w:hAnsi="Times New Roman" w:cs="Times New Roman"/>
          <w:b/>
          <w:bCs/>
          <w:sz w:val="28"/>
          <w:szCs w:val="28"/>
        </w:rPr>
      </w:pPr>
      <w:r>
        <w:rPr>
          <w:rFonts w:ascii="Times New Roman" w:hAnsi="Times New Roman" w:cs="Times New Roman"/>
          <w:b/>
          <w:bCs/>
          <w:sz w:val="28"/>
          <w:szCs w:val="28"/>
        </w:rPr>
        <w:t xml:space="preserve">Положения, выносимые на защиту:</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1. Информатизация музеев Республики Татарстан представляет собой системный исторический процесс, логика которого определялась взаимодействием трёх сил: федеральной нормативно-правовой базы, региональной политики информационного развития и инициатив самих музейных учреждений. Это не сумма разрозненных технических нововведений, а целостное институциональное явление.</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 Авторская периодизация выделяет пять этапов развития информатизации музеев республики. Первый этап (начало 1990-х — 2001 г.) — предпосылки и начальная, несистемная компьютеризация. Второй (2002–2012 гг.) — формирование системной инфраструктуры на базе КАМИС и региональной координации. Третий (2013–2016 гг.) — переход к единому информационному пространству (Объединённый электронный каталог, 2014 г.; портал «Виртуальный музей Республики Татарстан», 2015 г.). Четвёртый (2017–2019 гг.) — углубление интеграции в Государственный каталог Музейного фонда Российской Федерации. Пятый (с 2020 г.) — ускорение дистанционных форм работы и цифровых коммуникаций. Границы этапов проведены по смене нормативных условий, технологической базы и институциональной организации.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3. Внедрение системы КАМИС-2000 в Национальном музее Республики Татарстан в 2002 году стало отправной точкой системной информатизации и сформировало технологическую и организационную модель учёта, научной обработки и документирования фондов, впоследствии распространённую на другие учреждения республики.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4. Центр информационных технологий Республики Татарстан выступил инфраструктурным координатором процесса: перевод баз данных муниципальных музеев на централизованный сервер создал условия для консолидации музейной информации на региональном уровне и снизил технологические барьеры для учреждений с ограниченными кадровыми и техническими возможностями.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5. Создание Объединённого электронного каталога и запуск портала «Виртуальный музей Республики Татарстан» обозначили переход от внутримузейной автоматизации к единому региональному информационному пространству. Двуязычная, русско-татарская модель портала была связана с нормами республиканского языкового законодательства и отражает специфику региона.</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6. Пандемия COVID-19 стала катализатором дистанционных форм работы, но не единственной их причиной: она ускорила освоение онлайн-форматов и одновременно выявила как сильные стороны ранее созданной инфраструктуры, так и лакуны в сфере цифрового контента и кадровых компетенций.</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7. Татарстанская модель информатизации музеев характеризуется специфическим сочетанием развитой региональной ИТ-инфраструктуры, двуязычной культурной политики и устойчивой межведомственной координации; это сочетание отличает татарстанский опыт от практики ряда других субъектов Федерации.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Теоретическая и практическая значимость исследования. Теоретическая значимость работы заключается в уточнении понятийного аппарата исследования музейной информатизации, в разграничении информатизации, цифровизации и оцифровки, а также в предложении модели анализа региональных практик цифрового развития музейной сферы. Практическая значимость связана с возможностью использования результатов при разработке программ цифровизации музейной отрасли, проектировании информационных систем и подготовке учебных курсов по музеологии, истории культуры и документоведению.</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Соответствие паспорту научной специальности. Диссертация соответствует паспорту научной специальности 5.10.1 — Теория и история культуры, искусства (исторические науки): работа посвящена историческому изучению культурных институтов и процессов, реконструкции истории музейного дела и информатизации культурной сферы региона в их историко-культурном контексте.</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Степень достоверности и апробация результатов. Достоверность результатов обеспечена широкой источниковой базой, сочетанием взаимодополняющих методов, а также верификацией свидетельств устной истории документальными источниками и статистикой. Основные положения исследования прошли апробацию на научных и профессиональных площадках, посвящённых музейному делу, цифровой культуре и информационным технологиям в гуманитарной сфере, в том числе на Международном форуме «Kazan Digital Week» (Казань, 2025), Международном культурологическом форуме «Наука, культура, образование XXI века» (Казань, 2026) и студенческой научно-практической конференции в рамках Недели молодёжной науки (Казань, 2025). По теме диссертации опубликовано восемь работ, в том числе три статьи в рецензируемых научных изданиях, рекомендованных ВАК при Минобрнауки России.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Структура диссертации соответствует логике исследования. Работа состоит из введения, трёх глав, разделённых на параграфы, заключения, списка использованных источников и литературы и приложений.</w:t>
      </w:r>
    </w:p>
    <w:p>
      <w:pPr/>
      <w:r>
        <w:br w:type="page"/>
      </w:r>
    </w:p>
    <w:p>
      <w:pPr>
        <w:spacing w:before="0" w:after="160" w:line="360" w:lineRule="auto"/>
        <w:ind/>
        <w:jc w:val="center"/>
        <w:rPr>
          <w:rFonts w:ascii="Times New Roman" w:hAnsi="Times New Roman" w:cs="Times New Roman"/>
          <w:b/>
          <w:bCs/>
          <w:sz w:val="28"/>
          <w:szCs w:val="28"/>
        </w:rPr>
      </w:pPr>
      <w:r>
        <w:rPr>
          <w:rFonts w:ascii="Times New Roman" w:hAnsi="Times New Roman" w:cs="Times New Roman"/>
          <w:b/>
          <w:bCs/>
          <w:sz w:val="28"/>
          <w:szCs w:val="28"/>
        </w:rPr>
        <w:t xml:space="preserve">ОСНОВНОЕ СОДЕРЖАНИЕ РАБОТЫ</w:t>
      </w:r>
    </w:p>
    <w:p>
      <w:pPr>
        <w:spacing w:line="360" w:lineRule="auto"/>
      </w:pP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Во введении обоснована актуальность темы, охарактеризована степень её научной разработанности, определены объект, предмет, хронологические и территориальные рамки, сформулированы цель и задачи, изложены методология и методы, источниковая база, научная новизна, положения, выносимые на защиту, теоретическая и практическая значимость, приведены сведения об апробации и структуре работы.</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Первая глава «Историография, источники и понятийный аппарат исследования» посвящена теоретическим и источниковедческим основаниям работы.</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параграфе 1.1 «Историография, источниковая база и методы исследования» проанализированы основные блоки литературы — труды по теории информационного общества, исследования музея как информационной системы, работы по цифровой гуманитаристике и региональная историография музейного дела Татарстана. Сделан вывод о фрагментарности изученности темы; охарактеризованы шесть групп источников и методы исследования.</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параграфе 1.2 «Информатизация и цифровизация: содержание понятий, структура процессов и их применение в музейной науке и практике» разграничены понятия «оцифровка», «информатизация» и «цифровизация»; описана структура информатизации, включающая технологический, организационный, информационный и коммуникационный компоненты.</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параграфе 1.3 «Нормативно-правовые и организационные условия информатизации учреждений культуры в Российской Федерации и Республике Татарстан» рассмотрены федеральная нормативно-правовая база, государственные программы информационного развития, программы «Электронный Татарстан» и «Цифровой Татарстан», а также организационная роль Министерства культуры РТ и Центра информационных технологий РТ.</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Вторая глава «Становление и развитие системы информатизации музеев Республики Татарстан (1990-е – 2016 гг.)» реконструирует формирование региональной системы информатизации.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параграфе 2.1 рассмотрены первые опыты применения информационных технологий в музеях республики и внедрение системы КАМИС-2000 в Национальном музее РТ в 2002 году, ставшее отправной точкой системной информатизации.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параграфе 2.2 проанализированы распространение КАМИС в музеях республики, региональный проект 2008 года, в рамках которого системой были дополнительно оснащены пять музейных учреждений, и перевод баз данных муниципальных музеев на централизованный сервер ЦИТ РТ (2012 г.).</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параграфе 2.3 охарактеризовано формирование единого информационного пространства: создание Объединённого электронного каталога (2014 г.) и запуск портала «Виртуальный музей Республики Татарстан» (2015 г.). По данным мониторинга, к 2015 году системой КАМИС было оснащено около тридцати музеев, в базах которых учитывалось порядка 420 тыс. предметов (более 250 тыс. из них приходилось на Национальный музей РТ); к 2016 году число оснащённых учреждений возросло до шестидесяти двух.</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Третья глава «Интеграция музеев Республики Татарстан в федеральные информационные системы и современные тенденции цифровизации (2017–2026 гг.)» раскрывает современный этап процесса.</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параграфе 3.1 рассмотрено участие музеев республики в Государственном каталоге Музейного фонда Российской Федерации и автоматизация учётных процессов; показана динамика наполнения каталога записями о предметах из татарстанских собраний.</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параграфе 3.2 проанализированы новые форматы цифрового взаимодействия с аудиторией: дистанционные формы работы в период пандемии COVID-19, освоение мессенджер-технологий (в том числе телеграм-ботов в практике Национального музея РТ) и актуальные тенденции цифровизации 2020–2026 годов.</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параграфе 3.3 обобщена региональная специфика татарстанской модели информатизации, подведены её итоги и намечены перспективы развития.</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заключении подведены итоги исследования, сформулированы основные выводы и намечены перспективы дальнейшей работы. Поставленные во введении задачи решены, что позволило достичь цели исследования — реконструировать историю информатизации музейной сети Республики Татарстан как системного регионального процесса, выявить его этапы, институциональные механизмы, специфику и результаты.</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Проведённое исследование показывает, что информатизация музеев Республики Татарстан представляет собой системный исторический процесс, логика которого определялась взаимодействием федеральной нормативно-правовой базы, региональной политики информационного развития и инициатив самих музейных учреждений, а не сводилась к сумме разрозненных технических нововведений.</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Ключевым результатом работы является периодизация процесса, в которой выделены пять этапов: предпосылки и начальная, несистемная компьютеризация (начало 1990-х — 2001 г.); формирование системной инфраструктуры на базе КАМИС и региональной координации (2002–2012 гг.); переход к единому информационному пространству (2013–2016 гг.); углубление интеграции в Государственный каталог Музейного фонда Российской Федерации (2017–2019 гг.); развитие дистанционных форм работы и цифровых коммуникаций (с 2020 г.). Границы этапов установлены по смене нормативных условий, технологической базы и институциональной организации.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Установлено, что внедрение системы КАМИС-2000 в Национальном музее Республики Татарстан в 2002 году стало отправной точкой системной информатизации и сформировало модель учёта и научной обработки фондов, впоследствии распространённую на другие учреждения республики. Охарактеризована координирующая роль Центра информационных технологий Республики Татарстан: перевод баз данных муниципальных музеев на централизованный сервер создал условия для консолидации музейной информации на региональном уровне и снизил технологические барьеры для учреждений с ограниченными кадровыми и техническими возможностями.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Показано, что создание Объединённого электронного каталога (2014 г.) и запуск портала «Виртуальный музей Республики Татарстан» (2015 г.) обозначили переход от внутримузейной автоматизации к единому региональному информационному пространству, а двуязычная, русско-татарская модель портала была связана с нормами республиканского языкового законодательства и отражает специфику региона. Анализ современного этапа показывает, что пандемия COVID-19 выступила катализатором дистанционных форм работы: она ускорила освоение онлайн-форматов и одновременно выявила как сильные стороны ранее созданной инфраструктуры, так и лакуны в сфере цифрового контента и кадровых компетенций.</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Совокупность полученных данных позволяет охарактеризовать татарстанскую модель информатизации музеев как сочетание развитой региональной ИТ-инфраструктуры, двуязычной культурной политики и устойчивой межведомственной координации; это сочетание отличает татарстанский опыт от практики ряда других субъектов Российской Федерации.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Научный вклад работы состоит в том, что история информатизации музейной сети Республики Татарстан реконструирована как самостоятельный исторический процесс, ранее не являвшийся предметом специального исследования: предложена пятиэтапная периодизация, в научный оборот введён и систематизирован корпус архивных и устно-исторических источников, последовательно разграничены понятия «оцифровка», «информатизация» и «цифровизация» применительно к музейной практике.</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Вместе с тем исследование фиксирует устойчивые ограничения процесса: неравномерность ресурсного обеспечения, дефицит профильных кадров, различия в технической оснащённости крупных государственных и малых муниципальных музеев, зависимость части учреждений от внешней методической поддержки.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Перспективы дальнейшего исследования связаны со сравнительным изучением информатизации музеев на материале других субъектов Российской Федерации, с анализом влияния цифровых практик на научную и экспозиционную деятельность музеев, а также с осмыслением новых технологий представления культурного наследия. История информатизации музеев Республики Татарстан рассматривается в работе как часть истории региональной культурной политики и музейного дела конца XX — первой четверти XXI века.</w:t>
      </w:r>
    </w:p>
    <w:p>
      <w:pPr/>
      <w:r>
        <w:br w:type="page"/>
      </w:r>
    </w:p>
    <w:p>
      <w:pPr>
        <w:spacing w:before="0" w:after="160" w:line="360" w:lineRule="auto"/>
        <w:ind/>
        <w:jc w:val="center"/>
        <w:rPr>
          <w:rFonts w:ascii="Times New Roman" w:hAnsi="Times New Roman" w:cs="Times New Roman"/>
          <w:b/>
          <w:bCs/>
          <w:sz w:val="28"/>
          <w:szCs w:val="28"/>
        </w:rPr>
      </w:pPr>
      <w:r>
        <w:rPr>
          <w:rFonts w:ascii="Times New Roman" w:hAnsi="Times New Roman" w:cs="Times New Roman"/>
          <w:b/>
          <w:bCs/>
          <w:sz w:val="28"/>
          <w:szCs w:val="28"/>
        </w:rPr>
        <w:t xml:space="preserve">Основные положения диссертации отражены в следующих публикациях автора</w:t>
      </w:r>
    </w:p>
    <w:p>
      <w:pPr>
        <w:spacing w:line="360" w:lineRule="auto"/>
      </w:pPr>
    </w:p>
    <w:p>
      <w:pPr>
        <w:spacing w:before="0" w:after="16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Статьи в рецензируемых научных изданиях, рекомендованных ВАК при Министерстве науки и высшего образования Российской Федерации:</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1. Глухов, В. А. Опыт информатизации музеев на примере Национального музея Республики Татарстан / В. А. Глухов // Вестник Казанского государственного университета культуры и искусств. — 2024. — № 4. — С. 80–85.</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2. Глухов, В. А. Развитие музейной культуры средствами цифровых мультимедиа технологий / В. А. Глухов, П. П. Терехов // Вестник Казанского государственного университета культуры и искусств. — 2022. — № 2. — С. 17–20.</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3. Глухов, В. А. Информационные технологии в учётно-хранительской деятельности музеев: региональный опыт / В. А. Глухов // Сервис плюс. — № 3 (в печати).</w:t>
      </w:r>
    </w:p>
    <w:p>
      <w:pPr>
        <w:spacing w:line="360" w:lineRule="auto"/>
      </w:pPr>
    </w:p>
    <w:p>
      <w:pPr>
        <w:spacing w:before="0" w:after="160"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В других изданиях:</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4. Глухов, В. А. Внедрение систем управления музейной деятельностью в России / В. А. Глухов // Наука, культура, образование XXI века: междисциплинарный подход : материалы Международного культурологического форума. — Казань, 2026. — С. 133–135.</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5. Глухов, В. А. Исторические аспекты создания первых компьютерных систем в музеях / В. А. Глухов // Молодёжь. Наука. Культура : материалы студенческой научно-практической конференции в рамках Недели молодёжной науки. — Казань, 2025. — С. 13–15.</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6. Глухов, В. А. Цифровые технологии в музейной деятельности / В. А. Глухов // Международный форум Kazan Digital Week — 2025 : сборник материалов. — Казань, 2025. — С. 1727–1731.</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7. Глухов, В. А. Интерактивные научно-познавательные программы в музее / В. А. Глухов // Внедрение мультимедийных и интерактивных технологий в музейные пространства: отечественные и зарубежные практики : учебно-методическое пособие. — Казань, 2023. — С. 107–116.</w:t>
      </w:r>
    </w:p>
    <w:p>
      <w:pPr>
        <w:spacing w:before="0" w:after="16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8. Глухов, В. А. Интерактивность музейного экспозиционного и выставочного пространства: коммуникационные возможности современных мультимедийных технологий / В. А. Глухов // Внедрение мультимедийных и интерактивных технологий в музейные пространства: отечественные и зарубежные практики : учебно-методическое пособие. — Казань, 2023. — С. 45–62.</w:t>
      </w:r>
    </w:p>
    <w:sectPr>
      <w:pgSz w:w="16838" w:h="11906" w:orient="landscape"/>
      <w:pgMar w:top="1021" w:right="851" w:bottom="1021" w:left="1134" w:header="567" w:footer="567" w:gutter="0"/>
    </w:sectPr>
  </w:body>
</w:document>
</file>

<file path=word/settings.xml><?xml version="1.0" encoding="utf-8"?>
<w:settings xmlns:w="http://schemas.openxmlformats.org/wordprocessingml/2006/main">
  <w:mirrorMargins/>
  <w:bookFoldPrinting/>
</w:settings>
</file>

<file path=word/_rels/document.xml.rels><?xml version="1.0" encoding="UTF-8" standalone="yes"?><Relationships xmlns="http://schemas.openxmlformats.org/package/2006/relationships"><Relationship Id="rId1" Type="http://schemas.openxmlformats.org/officeDocument/2006/relationships/settings" Target="settings.xml"/></Relationships>
</file>