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5276"/>
          <w:sz w:val="44"/>
          <w:szCs w:val="44"/>
        </w:rPr>
        <w:t xml:space="preserve">Clasificación de Enfermedades Cardíacas</w:t>
      </w:r>
    </w:p>
    <w:p>
      <w:pPr>
        <w:spacing w:after="60"/>
        <w:jc w:val="center"/>
      </w:pPr>
      <w:r>
        <w:rPr>
          <w:rFonts w:ascii="Arial" w:cs="Arial" w:eastAsia="Arial" w:hAnsi="Arial"/>
          <w:color w:val="717D7E"/>
          <w:sz w:val="22"/>
          <w:szCs w:val="22"/>
        </w:rPr>
        <w:t xml:space="preserve">Red Neuronal Artificial con PyTorch  |  Dataset UCI Heart Disease</w:t>
      </w:r>
    </w:p>
    <w:p>
      <w:pPr>
        <w:pBdr>
          <w:bottom w:val="single" w:color="1A5276" w:sz="8" w:space="1"/>
        </w:pBdr>
        <w:spacing w:after="400"/>
        <w:jc w:val="center"/>
      </w:pPr>
      <w:r>
        <w:t xml:space="preserve"/>
      </w:r>
    </w:p>
    <w:p>
      <w:pPr>
        <w:pStyle w:val="Heading1"/>
        <w:pBdr>
          <w:bottom w:val="single" w:color="1A5276" w:sz="6" w:space="1"/>
        </w:pBdr>
        <w:spacing w:after="160" w:before="340"/>
      </w:pPr>
      <w:r>
        <w:rPr>
          <w:b/>
          <w:bCs/>
          <w:color w:val="1A5276"/>
        </w:rPr>
        <w:t xml:space="preserve">Descripción del Proyecto</w:t>
      </w:r>
    </w:p>
    <w:p>
      <w:pPr>
        <w:spacing w:after="100"/>
      </w:pPr>
      <w:r>
        <w:t xml:space="preserve">Este proyecto implementa una red neuronal artificial (ANN) para clasificar pacientes según su riesgo de padecer una enfermedad cardíaca, utilizando el reconocido dataset UCI Heart Disease. El modelo realiza clasificación binaria: presencia (1) o ausencia (0) de enfermedad, a partir de 14 atributos clínicos por paciente.</w:t>
      </w:r>
    </w:p>
    <w:p>
      <w:pPr>
        <w:pStyle w:val="Heading1"/>
        <w:pBdr>
          <w:bottom w:val="single" w:color="1A5276" w:sz="6" w:space="1"/>
        </w:pBdr>
        <w:spacing w:after="160" w:before="340"/>
      </w:pPr>
      <w:r>
        <w:rPr>
          <w:b/>
          <w:bCs/>
          <w:color w:val="1A5276"/>
        </w:rPr>
        <w:t xml:space="preserve">Dataset</w:t>
      </w:r>
    </w:p>
    <w:p>
      <w:pPr>
        <w:spacing w:after="100"/>
      </w:pPr>
      <w:r>
        <w:rPr>
          <w:i/>
          <w:iCs/>
          <w:color w:val="717D7E"/>
        </w:rPr>
        <w:t xml:space="preserve">Fuente: UCI Machine Learning Repository — Heart Disease Database</w:t>
      </w:r>
    </w:p>
    <w:p>
      <w:pPr>
        <w:spacing w:after="100"/>
      </w:pPr>
      <w:r>
        <w:rPr>
          <w:sz w:val="22"/>
          <w:szCs w:val="22"/>
        </w:rPr>
        <w:t xml:space="preserve">Se utilizan cuatro archivos procesados, combinando un total de </w:t>
      </w:r>
      <w:r>
        <w:rPr>
          <w:b/>
          <w:bCs/>
          <w:sz w:val="22"/>
          <w:szCs w:val="22"/>
        </w:rPr>
        <w:t xml:space="preserve">920 pacientes</w:t>
      </w:r>
      <w:r>
        <w:rPr>
          <w:sz w:val="22"/>
          <w:szCs w:val="22"/>
        </w:rPr>
        <w:t xml:space="preserve"> de distintas instituciones:</w:t>
      </w:r>
    </w:p>
    <w:p>
      <w:pPr>
        <w:pStyle w:val="ListParagraph"/>
        <w:numPr>
          <w:ilvl w:val="0"/>
          <w:numId w:val="2"/>
        </w:numPr>
        <w:spacing w:after="80"/>
      </w:pPr>
      <w:r>
        <w:t xml:space="preserve">Cleveland Clinic Foundation  (303 registros)</w:t>
      </w:r>
    </w:p>
    <w:p>
      <w:pPr>
        <w:pStyle w:val="ListParagraph"/>
        <w:numPr>
          <w:ilvl w:val="0"/>
          <w:numId w:val="2"/>
        </w:numPr>
        <w:spacing w:after="80"/>
      </w:pPr>
      <w:r>
        <w:t xml:space="preserve">Hungarian Institute of Cardiology, Budapest  (294 registros)</w:t>
      </w:r>
    </w:p>
    <w:p>
      <w:pPr>
        <w:pStyle w:val="ListParagraph"/>
        <w:numPr>
          <w:ilvl w:val="0"/>
          <w:numId w:val="2"/>
        </w:numPr>
        <w:spacing w:after="80"/>
      </w:pPr>
      <w:r>
        <w:t xml:space="preserve">V.A. Medical Center, Long Beach, California  (200 registros)</w:t>
      </w:r>
    </w:p>
    <w:p>
      <w:pPr>
        <w:pStyle w:val="ListParagraph"/>
        <w:numPr>
          <w:ilvl w:val="0"/>
          <w:numId w:val="2"/>
        </w:numPr>
        <w:spacing w:after="80"/>
      </w:pPr>
      <w:r>
        <w:t xml:space="preserve">University Hospital, Zurich, Switzerland  (123 registros)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5276" w:val="clear"/>
            <w:tcMar>
              <w:top w:type="dxa" w:w="80"/>
              <w:left w:type="dxa" w:w="140"/>
              <w:bottom w:type="dxa" w:w="80"/>
              <w:right w:type="dxa" w:w="140"/>
            </w:tcMar>
          </w:tcPr>
          <w:p>
            <w:r>
              <w:rPr>
                <w:b/>
                <w:bCs/>
                <w:color w:val="FFFFFF"/>
                <w:sz w:val="20"/>
                <w:szCs w:val="20"/>
              </w:rPr>
              <w:t xml:space="preserve">Atributo</w:t>
            </w:r>
          </w:p>
        </w:tc>
        <w:tc>
          <w:tcPr>
            <w:tcW w:type="dxa" w:w="6860"/>
            <w:tcBorders>
              <w:top w:val="single" w:color="CCCCCC" w:sz="1"/>
              <w:left w:val="single" w:color="CCCCCC" w:sz="1"/>
              <w:bottom w:val="single" w:color="CCCCCC" w:sz="1"/>
              <w:right w:val="single" w:color="CCCCCC" w:sz="1"/>
            </w:tcBorders>
            <w:shd w:fill="1A5276" w:val="clear"/>
            <w:tcMar>
              <w:top w:type="dxa" w:w="80"/>
              <w:left w:type="dxa" w:w="140"/>
              <w:bottom w:type="dxa" w:w="80"/>
              <w:right w:type="dxa" w:w="140"/>
            </w:tcMar>
          </w:tcPr>
          <w:p>
            <w:r>
              <w:rPr>
                <w:b/>
                <w:bCs/>
                <w:color w:val="FFFFFF"/>
                <w:sz w:val="20"/>
                <w:szCs w:val="20"/>
              </w:rPr>
              <w:t xml:space="preserve">Descripción</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b/>
                <w:bCs/>
                <w:sz w:val="20"/>
                <w:szCs w:val="20"/>
              </w:rPr>
              <w:t xml:space="preserve">age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Edad en años</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b/>
                <w:bCs/>
                <w:sz w:val="20"/>
                <w:szCs w:val="20"/>
              </w:rPr>
              <w:t xml:space="preserve">sex</w:t>
            </w:r>
          </w:p>
        </w:tc>
        <w:tc>
          <w:tcPr>
            <w:tcW w:type="dxa" w:w="68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sz w:val="20"/>
                <w:szCs w:val="20"/>
              </w:rPr>
              <w:t xml:space="preserve">Sexo (1 = masculino, 0 = femenino)</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b/>
                <w:bCs/>
                <w:sz w:val="20"/>
                <w:szCs w:val="20"/>
              </w:rPr>
              <w:t xml:space="preserve">cp</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Tipo de dolor en el pecho (1–4)</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b/>
                <w:bCs/>
                <w:sz w:val="20"/>
                <w:szCs w:val="20"/>
              </w:rPr>
              <w:t xml:space="preserve">trestbps</w:t>
            </w:r>
          </w:p>
        </w:tc>
        <w:tc>
          <w:tcPr>
            <w:tcW w:type="dxa" w:w="68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sz w:val="20"/>
                <w:szCs w:val="20"/>
              </w:rPr>
              <w:t xml:space="preserve">Presión arterial en reposo (mmHg)</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b/>
                <w:bCs/>
                <w:sz w:val="20"/>
                <w:szCs w:val="20"/>
              </w:rPr>
              <w:t xml:space="preserve">chol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Colesterol sérico (mg/dl)</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b/>
                <w:bCs/>
                <w:sz w:val="20"/>
                <w:szCs w:val="20"/>
              </w:rPr>
              <w:t xml:space="preserve">fbs</w:t>
            </w:r>
          </w:p>
        </w:tc>
        <w:tc>
          <w:tcPr>
            <w:tcW w:type="dxa" w:w="68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sz w:val="20"/>
                <w:szCs w:val="20"/>
              </w:rPr>
              <w:t xml:space="preserve">Glucosa en ayunas &gt; 120 mg/dl (1 = sí)</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b/>
                <w:bCs/>
                <w:sz w:val="20"/>
                <w:szCs w:val="20"/>
              </w:rPr>
              <w:t xml:space="preserve">restecg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Resultados de ECG en reposo (0–2)</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b/>
                <w:bCs/>
                <w:sz w:val="20"/>
                <w:szCs w:val="20"/>
              </w:rPr>
              <w:t xml:space="preserve">thalach</w:t>
            </w:r>
          </w:p>
        </w:tc>
        <w:tc>
          <w:tcPr>
            <w:tcW w:type="dxa" w:w="68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sz w:val="20"/>
                <w:szCs w:val="20"/>
              </w:rPr>
              <w:t xml:space="preserve">Frecuencia cardíaca máxima alcanzada</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b/>
                <w:bCs/>
                <w:sz w:val="20"/>
                <w:szCs w:val="20"/>
              </w:rPr>
              <w:t xml:space="preserve">exang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Angina inducida por ejercicio (1 = sí)</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b/>
                <w:bCs/>
                <w:sz w:val="20"/>
                <w:szCs w:val="20"/>
              </w:rPr>
              <w:t xml:space="preserve">oldpeak</w:t>
            </w:r>
          </w:p>
        </w:tc>
        <w:tc>
          <w:tcPr>
            <w:tcW w:type="dxa" w:w="68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sz w:val="20"/>
                <w:szCs w:val="20"/>
              </w:rPr>
              <w:t xml:space="preserve">Depresión del segmento ST por ejercicio</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b/>
                <w:bCs/>
                <w:sz w:val="20"/>
                <w:szCs w:val="20"/>
              </w:rPr>
              <w:t xml:space="preserve">slope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Pendiente del segmento ST pico</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b/>
                <w:bCs/>
                <w:sz w:val="20"/>
                <w:szCs w:val="20"/>
              </w:rPr>
              <w:t xml:space="preserve">ca</w:t>
            </w:r>
          </w:p>
        </w:tc>
        <w:tc>
          <w:tcPr>
            <w:tcW w:type="dxa" w:w="68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sz w:val="20"/>
                <w:szCs w:val="20"/>
              </w:rPr>
              <w:t xml:space="preserve">Número de vasos principales (0–3)</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b/>
                <w:bCs/>
                <w:sz w:val="20"/>
                <w:szCs w:val="20"/>
              </w:rPr>
              <w:t xml:space="preserve">thal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3 = normal; 6 = defecto fijo; 7 = defecto reversible</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b/>
                <w:bCs/>
                <w:sz w:val="20"/>
                <w:szCs w:val="20"/>
              </w:rPr>
              <w:t xml:space="preserve">target</w:t>
            </w:r>
          </w:p>
        </w:tc>
        <w:tc>
          <w:tcPr>
            <w:tcW w:type="dxa" w:w="68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sz w:val="20"/>
                <w:szCs w:val="20"/>
              </w:rPr>
              <w:t xml:space="preserve">Variable objetivo: 0 = sin enfermedad, 1 = enfermedad</w:t>
            </w:r>
          </w:p>
        </w:tc>
      </w:tr>
    </w:tbl>
    <w:p>
      <w:pPr>
        <w:spacing w:after="200"/>
      </w:pPr>
    </w:p>
    <w:p>
      <w:pPr>
        <w:pStyle w:val="Heading1"/>
        <w:pBdr>
          <w:bottom w:val="single" w:color="1A5276" w:sz="6" w:space="1"/>
        </w:pBdr>
        <w:spacing w:after="160" w:before="340"/>
      </w:pPr>
      <w:r>
        <w:rPr>
          <w:b/>
          <w:bCs/>
          <w:color w:val="1A5276"/>
        </w:rPr>
        <w:t xml:space="preserve">Estructura del Notebook</w:t>
      </w:r>
    </w:p>
    <w:p>
      <w:pPr>
        <w:spacing w:after="100"/>
      </w:pPr>
      <w:r>
        <w:t xml:space="preserve">El notebook sigue el ciclo de vida completo de ciencia de datos:</w:t>
      </w:r>
    </w:p>
    <w:p>
      <w:pPr>
        <w:pStyle w:val="ListParagraph"/>
        <w:numPr>
          <w:ilvl w:val="0"/>
          <w:numId w:val="3"/>
        </w:numPr>
        <w:spacing w:after="80"/>
      </w:pPr>
      <w:r>
        <w:t xml:space="preserve">Importación de librerías (NumPy, Pandas, Matplotlib, Seaborn, Scikit-learn, PyTorch)</w:t>
      </w:r>
    </w:p>
    <w:p>
      <w:pPr>
        <w:pStyle w:val="ListParagraph"/>
        <w:numPr>
          <w:ilvl w:val="0"/>
          <w:numId w:val="3"/>
        </w:numPr>
        <w:spacing w:after="80"/>
      </w:pPr>
      <w:r>
        <w:t xml:space="preserve">Carga del dataset — archivo processed.cleveland.data como punto de partida</w:t>
      </w:r>
    </w:p>
    <w:p>
      <w:pPr>
        <w:pStyle w:val="ListParagraph"/>
        <w:numPr>
          <w:ilvl w:val="0"/>
          <w:numId w:val="3"/>
        </w:numPr>
        <w:spacing w:after="80"/>
      </w:pPr>
      <w:r>
        <w:t xml:space="preserve">Análisis Exploratorio de Datos (EDA) — 6 visualizaciones</w:t>
      </w:r>
    </w:p>
    <w:p>
      <w:pPr>
        <w:pStyle w:val="ListParagraph"/>
        <w:numPr>
          <w:ilvl w:val="0"/>
          <w:numId w:val="3"/>
        </w:numPr>
        <w:spacing w:after="80"/>
      </w:pPr>
      <w:r>
        <w:t xml:space="preserve">Ingeniería de características — imputación, binarización y codificación</w:t>
      </w:r>
    </w:p>
    <w:p>
      <w:pPr>
        <w:pStyle w:val="ListParagraph"/>
        <w:numPr>
          <w:ilvl w:val="0"/>
          <w:numId w:val="3"/>
        </w:numPr>
        <w:spacing w:after="80"/>
      </w:pPr>
      <w:r>
        <w:t xml:space="preserve">División del dataset — 80% entrenamiento / 20% prueba (estratificado)</w:t>
      </w:r>
    </w:p>
    <w:p>
      <w:pPr>
        <w:pStyle w:val="ListParagraph"/>
        <w:numPr>
          <w:ilvl w:val="0"/>
          <w:numId w:val="3"/>
        </w:numPr>
        <w:spacing w:after="80"/>
      </w:pPr>
      <w:r>
        <w:t xml:space="preserve">Inicialización de la red neuronal — arquitectura feed-forward</w:t>
      </w:r>
    </w:p>
    <w:p>
      <w:pPr>
        <w:pStyle w:val="ListParagraph"/>
        <w:numPr>
          <w:ilvl w:val="0"/>
          <w:numId w:val="3"/>
        </w:numPr>
        <w:spacing w:after="80"/>
      </w:pPr>
      <w:r>
        <w:t xml:space="preserve">Entrenamiento — 150 épocas con Adam y ReduceLROnPlateau</w:t>
      </w:r>
    </w:p>
    <w:p>
      <w:pPr>
        <w:pStyle w:val="ListParagraph"/>
        <w:numPr>
          <w:ilvl w:val="0"/>
          <w:numId w:val="3"/>
        </w:numPr>
        <w:spacing w:after="80"/>
      </w:pPr>
      <w:r>
        <w:t xml:space="preserve">Predicciones y evaluación — matriz de confusión, ROC-AUC</w:t>
      </w:r>
    </w:p>
    <w:p>
      <w:pPr>
        <w:pStyle w:val="ListParagraph"/>
        <w:numPr>
          <w:ilvl w:val="0"/>
          <w:numId w:val="3"/>
        </w:numPr>
        <w:spacing w:after="80"/>
      </w:pPr>
      <w:r>
        <w:t xml:space="preserve">Conclusiones y próximos pasos</w:t>
      </w:r>
    </w:p>
    <w:p>
      <w:pPr>
        <w:spacing w:after="120"/>
      </w:pPr>
    </w:p>
    <w:p>
      <w:pPr>
        <w:pStyle w:val="Heading1"/>
        <w:pBdr>
          <w:bottom w:val="single" w:color="1A5276" w:sz="6" w:space="1"/>
        </w:pBdr>
        <w:spacing w:after="160" w:before="340"/>
      </w:pPr>
      <w:r>
        <w:rPr>
          <w:b/>
          <w:bCs/>
          <w:color w:val="1A5276"/>
        </w:rPr>
        <w:t xml:space="preserve">Arquitectura de la Red Neuronal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A5276" w:val="clear"/>
            <w:tcMar>
              <w:top w:type="dxa" w:w="80"/>
              <w:left w:type="dxa" w:w="140"/>
              <w:bottom w:type="dxa" w:w="80"/>
              <w:right w:type="dxa" w:w="140"/>
            </w:tcMar>
          </w:tcPr>
          <w:p>
            <w:r>
              <w:rPr>
                <w:b/>
                <w:bCs/>
                <w:color w:val="FFFFFF"/>
                <w:sz w:val="20"/>
                <w:szCs w:val="20"/>
              </w:rPr>
              <w:t xml:space="preserve">Capa</w:t>
            </w:r>
          </w:p>
        </w:tc>
        <w:tc>
          <w:tcPr>
            <w:tcW w:type="dxa" w:w="2500"/>
            <w:tcBorders>
              <w:top w:val="single" w:color="CCCCCC" w:sz="1"/>
              <w:left w:val="single" w:color="CCCCCC" w:sz="1"/>
              <w:bottom w:val="single" w:color="CCCCCC" w:sz="1"/>
              <w:right w:val="single" w:color="CCCCCC" w:sz="1"/>
            </w:tcBorders>
            <w:shd w:fill="1A5276" w:val="clear"/>
            <w:tcMar>
              <w:top w:type="dxa" w:w="80"/>
              <w:left w:type="dxa" w:w="140"/>
              <w:bottom w:type="dxa" w:w="80"/>
              <w:right w:type="dxa" w:w="140"/>
            </w:tcMar>
          </w:tcPr>
          <w:p>
            <w:r>
              <w:rPr>
                <w:b/>
                <w:bCs/>
                <w:color w:val="FFFFFF"/>
                <w:sz w:val="20"/>
                <w:szCs w:val="20"/>
              </w:rPr>
              <w:t xml:space="preserve">Neuronas</w:t>
            </w:r>
          </w:p>
        </w:tc>
        <w:tc>
          <w:tcPr>
            <w:tcW w:type="dxa" w:w="4360"/>
            <w:tcBorders>
              <w:top w:val="single" w:color="CCCCCC" w:sz="1"/>
              <w:left w:val="single" w:color="CCCCCC" w:sz="1"/>
              <w:bottom w:val="single" w:color="CCCCCC" w:sz="1"/>
              <w:right w:val="single" w:color="CCCCCC" w:sz="1"/>
            </w:tcBorders>
            <w:shd w:fill="1A5276" w:val="clear"/>
            <w:tcMar>
              <w:top w:type="dxa" w:w="80"/>
              <w:left w:type="dxa" w:w="140"/>
              <w:bottom w:type="dxa" w:w="80"/>
              <w:right w:type="dxa" w:w="140"/>
            </w:tcMar>
          </w:tcPr>
          <w:p>
            <w:r>
              <w:rPr>
                <w:b/>
                <w:bCs/>
                <w:color w:val="FFFFFF"/>
                <w:sz w:val="20"/>
                <w:szCs w:val="20"/>
              </w:rPr>
              <w:t xml:space="preserve">Activación / Notas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Entrada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n_features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sz w:val="20"/>
                <w:szCs w:val="20"/>
              </w:rPr>
              <w:t xml:space="preserve">Oculta 1</w:t>
            </w:r>
          </w:p>
        </w:tc>
        <w:tc>
          <w:tcPr>
            <w:tcW w:type="dxa" w:w="25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sz w:val="20"/>
                <w:szCs w:val="20"/>
              </w:rPr>
              <w:t xml:space="preserve">64</w:t>
            </w:r>
          </w:p>
        </w:tc>
        <w:tc>
          <w:tcPr>
            <w:tcW w:type="dxa" w:w="43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sz w:val="20"/>
                <w:szCs w:val="20"/>
              </w:rPr>
              <w:t xml:space="preserve">ReLU + Dropout(0.3)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Oculta 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32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ReLU + Dropout(0.3)</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sz w:val="20"/>
                <w:szCs w:val="20"/>
              </w:rPr>
              <w:t xml:space="preserve">Oculta 3</w:t>
            </w:r>
          </w:p>
        </w:tc>
        <w:tc>
          <w:tcPr>
            <w:tcW w:type="dxa" w:w="25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sz w:val="20"/>
                <w:szCs w:val="20"/>
              </w:rPr>
              <w:t xml:space="preserve">16</w:t>
            </w:r>
          </w:p>
        </w:tc>
        <w:tc>
          <w:tcPr>
            <w:tcW w:type="dxa" w:w="43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sz w:val="20"/>
                <w:szCs w:val="20"/>
              </w:rPr>
              <w:t xml:space="preserve">ReLU</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Salida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Sigmoid (clasificación binaria)</w:t>
            </w:r>
          </w:p>
        </w:tc>
      </w:tr>
    </w:tbl>
    <w:p>
      <w:pPr>
        <w:spacing w:after="160"/>
      </w:pPr>
    </w:p>
    <w:p>
      <w:pPr>
        <w:spacing w:after="100"/>
      </w:pPr>
      <w:r>
        <w:rPr>
          <w:i/>
          <w:iCs/>
          <w:color w:val="717D7E"/>
        </w:rPr>
        <w:t xml:space="preserve">Optimizador: Adam  |  Función de pérdida: BCE Loss  |  Épocas: 150  |  LR: 0.001</w:t>
      </w:r>
    </w:p>
    <w:p>
      <w:pPr>
        <w:spacing w:after="200"/>
      </w:pPr>
    </w:p>
    <w:p>
      <w:pPr>
        <w:pStyle w:val="Heading1"/>
        <w:pBdr>
          <w:bottom w:val="single" w:color="1A5276" w:sz="6" w:space="1"/>
        </w:pBdr>
        <w:spacing w:after="160" w:before="340"/>
      </w:pPr>
      <w:r>
        <w:rPr>
          <w:b/>
          <w:bCs/>
          <w:color w:val="1A5276"/>
        </w:rPr>
        <w:t xml:space="preserve">Resultados Esperados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276" w:val="clear"/>
            <w:tcMar>
              <w:top w:type="dxa" w:w="80"/>
              <w:left w:type="dxa" w:w="140"/>
              <w:bottom w:type="dxa" w:w="80"/>
              <w:right w:type="dxa" w:w="140"/>
            </w:tcMar>
          </w:tcPr>
          <w:p>
            <w:r>
              <w:rPr>
                <w:b/>
                <w:bCs/>
                <w:color w:val="FFFFFF"/>
                <w:sz w:val="20"/>
                <w:szCs w:val="20"/>
              </w:rPr>
              <w:t xml:space="preserve">Métrica</w:t>
            </w:r>
          </w:p>
        </w:tc>
        <w:tc>
          <w:tcPr>
            <w:tcW w:type="dxa" w:w="4680"/>
            <w:tcBorders>
              <w:top w:val="single" w:color="CCCCCC" w:sz="1"/>
              <w:left w:val="single" w:color="CCCCCC" w:sz="1"/>
              <w:bottom w:val="single" w:color="CCCCCC" w:sz="1"/>
              <w:right w:val="single" w:color="CCCCCC" w:sz="1"/>
            </w:tcBorders>
            <w:shd w:fill="1A5276" w:val="clear"/>
            <w:tcMar>
              <w:top w:type="dxa" w:w="80"/>
              <w:left w:type="dxa" w:w="140"/>
              <w:bottom w:type="dxa" w:w="80"/>
              <w:right w:type="dxa" w:w="140"/>
            </w:tcMar>
          </w:tcPr>
          <w:p>
            <w:r>
              <w:rPr>
                <w:b/>
                <w:bCs/>
                <w:color w:val="FFFFFF"/>
                <w:sz w:val="20"/>
                <w:szCs w:val="20"/>
              </w:rPr>
              <w:t xml:space="preserve">Valor aproximado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Exactitud (Accuracy)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bCs/>
                <w:color w:val="1A5276"/>
                <w:sz w:val="20"/>
                <w:szCs w:val="20"/>
              </w:rPr>
              <w:t xml:space="preserve">82 – 85%</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sz w:val="20"/>
                <w:szCs w:val="20"/>
              </w:rPr>
              <w:t xml:space="preserve">ROC-AUC</w:t>
            </w:r>
          </w:p>
        </w:tc>
        <w:tc>
          <w:tcPr>
            <w:tcW w:type="dxa" w:w="468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b/>
                <w:bCs/>
                <w:color w:val="1A5276"/>
                <w:sz w:val="20"/>
                <w:szCs w:val="20"/>
              </w:rPr>
              <w:t xml:space="preserve">0.88 – 0.92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Precisión (Disease)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bCs/>
                <w:color w:val="1A5276"/>
                <w:sz w:val="20"/>
                <w:szCs w:val="20"/>
              </w:rPr>
              <w:t xml:space="preserve">~0.83</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sz w:val="20"/>
                <w:szCs w:val="20"/>
              </w:rPr>
              <w:t xml:space="preserve">Recall (Disease)</w:t>
            </w:r>
          </w:p>
        </w:tc>
        <w:tc>
          <w:tcPr>
            <w:tcW w:type="dxa" w:w="468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b/>
                <w:bCs/>
                <w:color w:val="1A5276"/>
                <w:sz w:val="20"/>
                <w:szCs w:val="20"/>
              </w:rPr>
              <w:t xml:space="preserve">~0.85</w:t>
            </w:r>
          </w:p>
        </w:tc>
      </w:tr>
    </w:tbl>
    <w:p>
      <w:pPr>
        <w:spacing w:after="200"/>
      </w:pPr>
    </w:p>
    <w:p>
      <w:pPr>
        <w:pStyle w:val="Heading1"/>
        <w:pBdr>
          <w:bottom w:val="single" w:color="1A5276" w:sz="6" w:space="1"/>
        </w:pBdr>
        <w:spacing w:after="160" w:before="340"/>
      </w:pPr>
      <w:r>
        <w:rPr>
          <w:b/>
          <w:bCs/>
          <w:color w:val="1A5276"/>
        </w:rPr>
        <w:t xml:space="preserve">Requisitos</w:t>
      </w:r>
    </w:p>
    <w:p>
      <w:pPr>
        <w:pStyle w:val="Heading2"/>
        <w:spacing w:after="100" w:before="240"/>
      </w:pPr>
      <w:r>
        <w:rPr>
          <w:b/>
          <w:bCs/>
          <w:color w:val="2E4053"/>
        </w:rPr>
        <w:t xml:space="preserve">Librerías Python</w:t>
      </w:r>
    </w:p>
    <w:p>
      <w:pPr>
        <w:pStyle w:val="ListParagraph"/>
        <w:numPr>
          <w:ilvl w:val="0"/>
          <w:numId w:val="2"/>
        </w:numPr>
        <w:spacing w:after="80"/>
      </w:pPr>
      <w:r>
        <w:t xml:space="preserve">numpy, pandas</w:t>
      </w:r>
    </w:p>
    <w:p>
      <w:pPr>
        <w:pStyle w:val="ListParagraph"/>
        <w:numPr>
          <w:ilvl w:val="0"/>
          <w:numId w:val="2"/>
        </w:numPr>
        <w:spacing w:after="80"/>
      </w:pPr>
      <w:r>
        <w:t xml:space="preserve">matplotlib, seaborn</w:t>
      </w:r>
    </w:p>
    <w:p>
      <w:pPr>
        <w:pStyle w:val="ListParagraph"/>
        <w:numPr>
          <w:ilvl w:val="0"/>
          <w:numId w:val="2"/>
        </w:numPr>
        <w:spacing w:after="80"/>
      </w:pPr>
      <w:r>
        <w:t xml:space="preserve">scikit-learn</w:t>
      </w:r>
    </w:p>
    <w:p>
      <w:pPr>
        <w:pStyle w:val="ListParagraph"/>
        <w:numPr>
          <w:ilvl w:val="0"/>
          <w:numId w:val="2"/>
        </w:numPr>
        <w:spacing w:after="80"/>
      </w:pPr>
      <w:r>
        <w:t xml:space="preserve">torch (PyTorch)</w:t>
      </w:r>
    </w:p>
    <w:p>
      <w:pPr>
        <w:spacing w:after="120"/>
      </w:pPr>
    </w:p>
    <w:p>
      <w:pPr>
        <w:pStyle w:val="Heading2"/>
        <w:spacing w:after="100" w:before="240"/>
      </w:pPr>
      <w:r>
        <w:rPr>
          <w:b/>
          <w:bCs/>
          <w:color w:val="2E4053"/>
        </w:rPr>
        <w:t xml:space="preserve">Instalación rápida</w:t>
      </w:r>
    </w:p>
    <w:p>
      <w:pPr>
        <w:pBdr>
          <w:left w:val="single" w:color="1A5276" w:sz="12" w:space="6"/>
        </w:pBdr>
        <w:shd w:fill="F2F3F4" w:val="clear"/>
        <w:spacing w:after="120"/>
      </w:pPr>
      <w:r>
        <w:rPr>
          <w:rFonts w:ascii="Courier New" w:cs="Courier New" w:eastAsia="Courier New" w:hAnsi="Courier New"/>
          <w:sz w:val="20"/>
          <w:szCs w:val="20"/>
        </w:rPr>
        <w:t xml:space="preserve">pip install numpy pandas matplotlib seaborn scikit-learn torch</w:t>
      </w:r>
    </w:p>
    <w:p>
      <w:pPr>
        <w:pStyle w:val="Heading1"/>
        <w:pBdr>
          <w:bottom w:val="single" w:color="1A5276" w:sz="6" w:space="1"/>
        </w:pBdr>
        <w:spacing w:after="160" w:before="340"/>
      </w:pPr>
      <w:r>
        <w:rPr>
          <w:b/>
          <w:bCs/>
          <w:color w:val="1A5276"/>
        </w:rPr>
        <w:t xml:space="preserve">Cómo Ejecutar</w:t>
      </w:r>
    </w:p>
    <w:p>
      <w:pPr>
        <w:pStyle w:val="ListParagraph"/>
        <w:numPr>
          <w:ilvl w:val="0"/>
          <w:numId w:val="3"/>
        </w:numPr>
        <w:spacing w:after="80"/>
      </w:pPr>
      <w:r>
        <w:t xml:space="preserve">Descomprimir heart_disease_dataset.zip en la misma carpeta que el notebook.</w:t>
      </w:r>
    </w:p>
    <w:p>
      <w:pPr>
        <w:pStyle w:val="ListParagraph"/>
        <w:numPr>
          <w:ilvl w:val="0"/>
          <w:numId w:val="3"/>
        </w:numPr>
        <w:spacing w:after="80"/>
      </w:pPr>
      <w:r>
        <w:t xml:space="preserve">Instalar las dependencias listadas arriba.</w:t>
      </w:r>
    </w:p>
    <w:p>
      <w:pPr>
        <w:pStyle w:val="ListParagraph"/>
        <w:numPr>
          <w:ilvl w:val="0"/>
          <w:numId w:val="3"/>
        </w:numPr>
        <w:spacing w:after="80"/>
      </w:pPr>
      <w:r>
        <w:t xml:space="preserve">Abrir heart_disease_classification.ipynb en Jupyter Notebook o JupyterLab.</w:t>
      </w:r>
    </w:p>
    <w:p>
      <w:pPr>
        <w:pStyle w:val="ListParagraph"/>
        <w:numPr>
          <w:ilvl w:val="0"/>
          <w:numId w:val="3"/>
        </w:numPr>
        <w:spacing w:after="80"/>
      </w:pPr>
      <w:r>
        <w:t xml:space="preserve">Ejecutar todas las celdas en orden (Kernel &gt; Restart &amp; Run All).</w:t>
      </w:r>
    </w:p>
    <w:p>
      <w:pPr>
        <w:pStyle w:val="ListParagraph"/>
        <w:numPr>
          <w:ilvl w:val="0"/>
          <w:numId w:val="3"/>
        </w:numPr>
        <w:spacing w:after="80"/>
      </w:pPr>
      <w:r>
        <w:t xml:space="preserve">Los gráficos se guardan automáticamente como archivos .png en el directorio de trabajo.</w:t>
      </w:r>
    </w:p>
    <w:p>
      <w:pPr>
        <w:spacing w:after="200"/>
      </w:pPr>
    </w:p>
    <w:p>
      <w:pPr>
        <w:pBdr>
          <w:top w:val="single" w:color="1A5276" w:sz="4" w:space="4"/>
        </w:pBdr>
        <w:spacing w:after="60" w:before="200"/>
        <w:jc w:val="center"/>
      </w:pPr>
      <w:r>
        <w:rPr>
          <w:i/>
          <w:iCs/>
          <w:color w:val="717D7E"/>
          <w:sz w:val="18"/>
          <w:szCs w:val="18"/>
        </w:rPr>
        <w:t xml:space="preserve">Proyecto académico — Clasificación de Enfermedades Cardíacas</w:t>
      </w:r>
    </w:p>
    <w:p>
      <w:pPr>
        <w:spacing w:after="0"/>
        <w:jc w:val="center"/>
      </w:pPr>
      <w:r>
        <w:rPr>
          <w:color w:val="717D7E"/>
          <w:sz w:val="18"/>
          <w:szCs w:val="18"/>
        </w:rPr>
        <w:t xml:space="preserve">Dataset: UCI Machine Learning Repository  |  Modelo: ANN con PyTorch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sz w:val="32"/>
      <w:szCs w:val="32"/>
    </w:rPr>
  </w:style>
  <w:style w:type="paragraph" w:styleId="Heading2">
    <w:name w:val="Heading 2"/>
    <w:basedOn w:val="Normal"/>
    <w:next w:val="Normal"/>
    <w:qFormat/>
    <w:pPr>
      <w:spacing w:after="10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2026-05-20T23:45:44.677Z</dcterms:created>
  <dcterms:modified xsi:type="dcterms:W3CDTF">2026-05-20T23:45:44.677Z</dcterms:modified>
</cp:coreProperties>
</file>

<file path=docProps/custom.xml><?xml version="1.0" encoding="utf-8"?>
<Properties xmlns="http://schemas.openxmlformats.org/officeDocument/2006/custom-properties" xmlns:vt="http://schemas.openxmlformats.org/officeDocument/2006/docPropsVTypes"/>
</file>