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jc w:val="center"/>
      </w:pPr>
      <w:r>
        <w:rPr>
          <w:b/>
          <w:bCs/>
          <w:color w:val="12233A"/>
          <w:sz w:val="26"/>
          <w:szCs w:val="26"/>
        </w:rPr>
        <w:t xml:space="preserve">PONTIFICIA UNIVERSIDAD CATÓLICA DEL PERÚ</w:t>
      </w:r>
    </w:p>
    <w:p>
      <w:pPr>
        <w:spacing w:after="600"/>
        <w:jc w:val="center"/>
      </w:pPr>
      <w:r>
        <w:rPr>
          <w:color w:val="444444"/>
          <w:sz w:val="22"/>
          <w:szCs w:val="22"/>
        </w:rPr>
        <w:t xml:space="preserve">Facultad de Ciencias e Ingeniería</w:t>
      </w:r>
    </w:p>
    <w:p>
      <w:pPr>
        <w:spacing w:before="800"/>
      </w:pPr>
    </w:p>
    <w:p>
      <w:pPr>
        <w:spacing w:after="200"/>
        <w:jc w:val="center"/>
      </w:pPr>
      <w:r>
        <w:rPr>
          <w:b/>
          <w:bCs/>
          <w:color w:val="1E3A5C"/>
          <w:sz w:val="40"/>
          <w:szCs w:val="40"/>
        </w:rPr>
        <w:t xml:space="preserve">Documento de Arquitectura de Software</w:t>
      </w:r>
    </w:p>
    <w:p>
      <w:pPr>
        <w:spacing w:after="100"/>
        <w:jc w:val="center"/>
      </w:pPr>
      <w:r>
        <w:rPr>
          <w:color w:val="12233A"/>
          <w:sz w:val="28"/>
          <w:szCs w:val="28"/>
        </w:rPr>
        <w:t xml:space="preserve">Sistema PaqRap — Arquitectura Monolítica Modular</w:t>
      </w:r>
    </w:p>
    <w:p>
      <w:pPr>
        <w:spacing w:after="800"/>
        <w:jc w:val="center"/>
      </w:pPr>
      <w:r>
        <w:rPr>
          <w:i/>
          <w:iCs/>
          <w:color w:val="444444"/>
          <w:sz w:val="20"/>
          <w:szCs w:val="20"/>
        </w:rPr>
        <w:t xml:space="preserve">63.dis.arquitectura.software.v01</w:t>
      </w:r>
    </w:p>
    <w:p>
      <w:pPr>
        <w:spacing w:before="1200"/>
      </w:pPr>
    </w:p>
    <w:p>
      <w:pPr>
        <w:jc w:val="center"/>
      </w:pPr>
      <w:r>
        <w:rPr>
          <w:sz w:val="22"/>
          <w:szCs w:val="22"/>
        </w:rPr>
        <w:t xml:space="preserve">1INF54 — Desarrollo de Proyectos en Informática 1</w:t>
      </w:r>
    </w:p>
    <w:p>
      <w:pPr>
        <w:spacing w:after="40"/>
        <w:jc w:val="center"/>
      </w:pPr>
      <w:r>
        <w:rPr>
          <w:sz w:val="22"/>
          <w:szCs w:val="22"/>
        </w:rPr>
        <w:t xml:space="preserve">Periodo 2026-2</w:t>
      </w:r>
    </w:p>
    <w:p>
      <w:pPr>
        <w:spacing w:after="400"/>
        <w:jc w:val="center"/>
      </w:pPr>
      <w:r>
        <w:rPr>
          <w:b/>
          <w:bCs/>
          <w:sz w:val="22"/>
          <w:szCs w:val="22"/>
        </w:rPr>
        <w:t xml:space="preserve">Equipo Eq9i — H0983</w:t>
      </w:r>
    </w:p>
    <w:p>
      <w:pPr>
        <w:jc w:val="center"/>
      </w:pPr>
      <w:r>
        <w:rPr>
          <w:b/>
          <w:bCs/>
          <w:sz w:val="20"/>
          <w:szCs w:val="20"/>
        </w:rPr>
        <w:t xml:space="preserve">Integrantes:</w:t>
      </w:r>
    </w:p>
    <w:p>
      <w:pPr>
        <w:jc w:val="center"/>
      </w:pPr>
      <w:r>
        <w:rPr>
          <w:sz w:val="20"/>
          <w:szCs w:val="20"/>
        </w:rPr>
        <w:t xml:space="preserve">Cuyo Alata, Jafeth</w:t>
      </w:r>
    </w:p>
    <w:p>
      <w:pPr>
        <w:jc w:val="center"/>
      </w:pPr>
      <w:r>
        <w:rPr>
          <w:sz w:val="20"/>
          <w:szCs w:val="20"/>
        </w:rPr>
        <w:t xml:space="preserve">Lau Lu, Oscar</w:t>
      </w:r>
    </w:p>
    <w:p>
      <w:pPr>
        <w:spacing w:after="800"/>
        <w:jc w:val="center"/>
      </w:pPr>
      <w:r>
        <w:rPr>
          <w:sz w:val="20"/>
          <w:szCs w:val="20"/>
        </w:rPr>
        <w:t xml:space="preserve">Polino Rojas, Merari</w:t>
      </w:r>
    </w:p>
    <w:p>
      <w:pPr>
        <w:spacing w:before="1600"/>
      </w:pPr>
    </w:p>
    <w:p>
      <w:pPr>
        <w:jc w:val="center"/>
      </w:pPr>
      <w:r>
        <w:rPr>
          <w:color w:val="444444"/>
          <w:sz w:val="20"/>
          <w:szCs w:val="20"/>
        </w:rPr>
        <w:t xml:space="preserve">Lima, 22 de septiembre de 2026</w:t>
      </w:r>
    </w:p>
    <w:p>
      <w:r>
        <w:br w:type="page"/>
      </w:r>
    </w:p>
    <w:p>
      <w:pPr>
        <w:pStyle w:val="Heading1"/>
        <w:spacing w:after="200" w:before="360"/>
      </w:pPr>
      <w:r>
        <w:rPr>
          <w:b/>
          <w:bCs/>
          <w:color w:val="1E3A5C"/>
          <w:sz w:val="30"/>
          <w:szCs w:val="30"/>
        </w:rPr>
        <w:t xml:space="preserve">Historial de versiones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500"/>
        <w:gridCol w:w="1000"/>
        <w:gridCol w:w="6100"/>
        <w:gridCol w:w="1600"/>
      </w:tblGrid>
      <w:tr>
        <w:trPr>
          <w:tblHeader/>
        </w:trPr>
        <w:tc>
          <w:tcPr>
            <w:tcW w:type="dxa" w:w="1500"/>
            <w:shd w:fill="E4E4E4" w:color="auto" w:val="clear"/>
            <w:tcMar>
              <w:top w:type="dxa" w:w="80"/>
              <w:left w:type="dxa" w:w="100"/>
              <w:bottom w:type="dxa" w:w="80"/>
              <w:right w:type="dxa" w:w="100"/>
            </w:tcMar>
            <w:vAlign w:val="center"/>
          </w:tcPr>
          <w:p>
            <w:pPr>
              <w:jc w:val="center"/>
            </w:pPr>
            <w:r>
              <w:rPr>
                <w:b/>
                <w:bCs/>
                <w:color w:val="000000"/>
                <w:sz w:val="20"/>
                <w:szCs w:val="20"/>
              </w:rPr>
              <w:t xml:space="preserve">Fecha</w:t>
            </w:r>
          </w:p>
        </w:tc>
        <w:tc>
          <w:tcPr>
            <w:tcW w:type="dxa" w:w="1000"/>
            <w:shd w:fill="E4E4E4" w:color="auto" w:val="clear"/>
            <w:tcMar>
              <w:top w:type="dxa" w:w="80"/>
              <w:left w:type="dxa" w:w="100"/>
              <w:bottom w:type="dxa" w:w="80"/>
              <w:right w:type="dxa" w:w="100"/>
            </w:tcMar>
            <w:vAlign w:val="center"/>
          </w:tcPr>
          <w:p>
            <w:pPr>
              <w:jc w:val="center"/>
            </w:pPr>
            <w:r>
              <w:rPr>
                <w:b/>
                <w:bCs/>
                <w:color w:val="000000"/>
                <w:sz w:val="20"/>
                <w:szCs w:val="20"/>
              </w:rPr>
              <w:t xml:space="preserve">Versión</w:t>
            </w:r>
          </w:p>
        </w:tc>
        <w:tc>
          <w:tcPr>
            <w:tcW w:type="dxa" w:w="6100"/>
            <w:shd w:fill="E4E4E4" w:color="auto" w:val="clear"/>
            <w:tcMar>
              <w:top w:type="dxa" w:w="80"/>
              <w:left w:type="dxa" w:w="100"/>
              <w:bottom w:type="dxa" w:w="80"/>
              <w:right w:type="dxa" w:w="100"/>
            </w:tcMar>
            <w:vAlign w:val="center"/>
          </w:tcPr>
          <w:p>
            <w:pPr>
              <w:jc w:val="center"/>
            </w:pPr>
            <w:r>
              <w:rPr>
                <w:b/>
                <w:bCs/>
                <w:color w:val="000000"/>
                <w:sz w:val="20"/>
                <w:szCs w:val="20"/>
              </w:rPr>
              <w:t xml:space="preserve">Descripción</w:t>
            </w:r>
          </w:p>
        </w:tc>
        <w:tc>
          <w:tcPr>
            <w:tcW w:type="dxa" w:w="1600"/>
            <w:shd w:fill="E4E4E4" w:color="auto" w:val="clear"/>
            <w:tcMar>
              <w:top w:type="dxa" w:w="80"/>
              <w:left w:type="dxa" w:w="100"/>
              <w:bottom w:type="dxa" w:w="80"/>
              <w:right w:type="dxa" w:w="100"/>
            </w:tcMar>
            <w:vAlign w:val="center"/>
          </w:tcPr>
          <w:p>
            <w:pPr>
              <w:jc w:val="center"/>
            </w:pPr>
            <w:r>
              <w:rPr>
                <w:b/>
                <w:bCs/>
                <w:color w:val="000000"/>
                <w:sz w:val="20"/>
                <w:szCs w:val="20"/>
              </w:rPr>
              <w:t xml:space="preserve">Autor</w:t>
            </w:r>
          </w:p>
        </w:tc>
      </w:tr>
      <w:tr>
        <w:trPr>
          <w:cantSplit/>
        </w:trPr>
        <w:tc>
          <w:tcPr>
            <w:tcW w:type="dxa" w:w="1500"/>
            <w:tcMar>
              <w:top w:type="dxa" w:w="80"/>
              <w:left w:type="dxa" w:w="100"/>
              <w:bottom w:type="dxa" w:w="80"/>
              <w:right w:type="dxa" w:w="100"/>
            </w:tcMar>
            <w:vAlign w:val="center"/>
          </w:tcPr>
          <w:p>
            <w:pPr>
              <w:jc w:val="left"/>
            </w:pPr>
            <w:r>
              <w:rPr>
                <w:b w:val="false"/>
                <w:bCs w:val="false"/>
                <w:color w:val="000000"/>
                <w:sz w:val="19"/>
                <w:szCs w:val="19"/>
              </w:rPr>
              <w:t xml:space="preserve">22/09/2026</w:t>
            </w:r>
          </w:p>
        </w:tc>
        <w:tc>
          <w:tcPr>
            <w:tcW w:type="dxa" w:w="1000"/>
            <w:tcMar>
              <w:top w:type="dxa" w:w="80"/>
              <w:left w:type="dxa" w:w="100"/>
              <w:bottom w:type="dxa" w:w="80"/>
              <w:right w:type="dxa" w:w="100"/>
            </w:tcMar>
            <w:vAlign w:val="center"/>
          </w:tcPr>
          <w:p>
            <w:pPr>
              <w:jc w:val="left"/>
            </w:pPr>
            <w:r>
              <w:rPr>
                <w:b w:val="false"/>
                <w:bCs w:val="false"/>
                <w:color w:val="000000"/>
                <w:sz w:val="19"/>
                <w:szCs w:val="19"/>
              </w:rPr>
              <w:t xml:space="preserve">0.1</w:t>
            </w:r>
          </w:p>
        </w:tc>
        <w:tc>
          <w:tcPr>
            <w:tcW w:type="dxa" w:w="6100"/>
            <w:tcMar>
              <w:top w:type="dxa" w:w="80"/>
              <w:left w:type="dxa" w:w="100"/>
              <w:bottom w:type="dxa" w:w="80"/>
              <w:right w:type="dxa" w:w="100"/>
            </w:tcMar>
            <w:vAlign w:val="center"/>
          </w:tcPr>
          <w:p>
            <w:pPr>
              <w:jc w:val="left"/>
            </w:pPr>
            <w:r>
              <w:rPr>
                <w:b w:val="false"/>
                <w:bCs w:val="false"/>
                <w:color w:val="000000"/>
                <w:sz w:val="19"/>
                <w:szCs w:val="19"/>
              </w:rPr>
              <w:t xml:space="preserve">Versión inicial: vistas de Contexto, Contenedores y Componentes (C4), estilo arquitectónico, decisiones de arquitectura, tácticas de calidad y trazabilidad con R1-R6, derivadas del Diagrama de Clases de Análisis v03 y de la decisión de usar un único algoritmo (ACO) en producción.</w:t>
            </w:r>
          </w:p>
        </w:tc>
        <w:tc>
          <w:tcPr>
            <w:tcW w:type="dxa" w:w="1600"/>
            <w:tcMar>
              <w:top w:type="dxa" w:w="80"/>
              <w:left w:type="dxa" w:w="100"/>
              <w:bottom w:type="dxa" w:w="80"/>
              <w:right w:type="dxa" w:w="100"/>
            </w:tcMar>
            <w:vAlign w:val="center"/>
          </w:tcPr>
          <w:p>
            <w:pPr>
              <w:jc w:val="left"/>
            </w:pPr>
            <w:r>
              <w:rPr>
                <w:b w:val="false"/>
                <w:bCs w:val="false"/>
                <w:color w:val="000000"/>
                <w:sz w:val="19"/>
                <w:szCs w:val="19"/>
              </w:rPr>
              <w:t xml:space="preserve">Jafeth Cuyo</w:t>
            </w:r>
          </w:p>
        </w:tc>
      </w:tr>
    </w:tbl>
    <w:p>
      <w:r>
        <w:br w:type="page"/>
      </w:r>
    </w:p>
    <w:p>
      <w:pPr>
        <w:pStyle w:val="Heading1"/>
        <w:spacing w:after="200" w:before="360"/>
      </w:pPr>
      <w:r>
        <w:rPr>
          <w:b/>
          <w:bCs/>
          <w:color w:val="1E3A5C"/>
          <w:sz w:val="30"/>
          <w:szCs w:val="30"/>
        </w:rPr>
        <w:t xml:space="preserve">Índice</w:t>
      </w:r>
    </w:p>
    <w:sdt>
      <w:sdtPr>
        <w:alias w:val="Índice"/>
      </w:sdtPr>
      <w:sdtContent>
        <w:p>
          <w:r>
            <w:fldChar w:fldCharType="begin" w:dirty="true"/>
            <w:instrText xml:space="preserve">TOC \h \o "1-3"</w:instrText>
            <w:fldChar w:fldCharType="separate"/>
          </w:r>
        </w:p>
        <w:p>
          <w:r>
            <w:fldChar w:fldCharType="end"/>
          </w:r>
        </w:p>
      </w:sdtContent>
    </w:sdt>
    <w:p>
      <w:pPr>
        <w:spacing w:after="160"/>
        <w:jc w:val="both"/>
      </w:pPr>
      <w:r>
        <w:rPr>
          <w:i/>
          <w:iCs/>
          <w:color w:val="444444"/>
          <w:sz w:val="18"/>
          <w:szCs w:val="18"/>
        </w:rPr>
        <w:t xml:space="preserve">(Haga clic derecho sobre el índice y seleccione "Actualizar campo" / "Update field" para generar la numeración de páginas al abrir el documento en Word.)</w:t>
      </w:r>
    </w:p>
    <w:p>
      <w:r>
        <w:br w:type="page"/>
      </w:r>
    </w:p>
    <w:p>
      <w:pPr>
        <w:pStyle w:val="Heading1"/>
        <w:spacing w:after="200" w:before="360"/>
      </w:pPr>
      <w:r>
        <w:rPr>
          <w:b/>
          <w:bCs/>
          <w:color w:val="1E3A5C"/>
          <w:sz w:val="30"/>
          <w:szCs w:val="30"/>
        </w:rPr>
        <w:t xml:space="preserve">1. Introducción</w:t>
      </w:r>
    </w:p>
    <w:p>
      <w:pPr>
        <w:pStyle w:val="Heading2"/>
        <w:spacing w:after="160" w:before="260"/>
      </w:pPr>
      <w:r>
        <w:rPr>
          <w:b/>
          <w:bCs/>
          <w:color w:val="12233A"/>
          <w:sz w:val="25"/>
          <w:szCs w:val="25"/>
        </w:rPr>
        <w:t xml:space="preserve">1.1 Propósito</w:t>
      </w:r>
    </w:p>
    <w:p>
      <w:pPr>
        <w:spacing w:after="160"/>
        <w:jc w:val="both"/>
      </w:pPr>
      <w:r>
        <w:rPr>
          <w:sz w:val="22"/>
          <w:szCs w:val="22"/>
        </w:rPr>
        <w:t xml:space="preserve">Este documento describe la arquitectura de software del sistema PaqRap a nivel de contexto, contenedores y componentes, siguiendo el modelo C4, con el objetivo de guiar la implementación del Planificador, el Visualizador y el Motor de Simulación descritos en el Documento de Visión y en el Diagrama de Clases de Análisis v03 (61.dis.diagrama.clases.v03). También documenta las decisiones de arquitectura tomadas y su justificación, para sustentarlas ante el curso.</w:t>
      </w:r>
    </w:p>
    <w:p>
      <w:pPr>
        <w:pStyle w:val="Heading2"/>
        <w:spacing w:after="160" w:before="260"/>
      </w:pPr>
      <w:r>
        <w:rPr>
          <w:b/>
          <w:bCs/>
          <w:color w:val="12233A"/>
          <w:sz w:val="25"/>
          <w:szCs w:val="25"/>
        </w:rPr>
        <w:t xml:space="preserve">1.2 Alcance</w:t>
      </w:r>
    </w:p>
    <w:p>
      <w:pPr>
        <w:spacing w:after="160"/>
        <w:jc w:val="both"/>
      </w:pPr>
      <w:r>
        <w:rPr>
          <w:sz w:val="22"/>
          <w:szCs w:val="22"/>
        </w:rPr>
        <w:t xml:space="preserve">Cubre el software productivo del sistema: registro de pedidos, planificación y replanificación de rutas mediante el algoritmo ACO, visualización en tiempo real multi-dispositivo, y simulación de los 3 escenarios de evaluación (día a día, 5D, colapso logístico). No cubre la infraestructura de experimentación numérica usada para comparar ACO frente a ALNS (ver ISA v02, 21.dis.selec.algoritmos.v02): esa comparación es un proceso de investigación previo, ya cerrado, y externo al sistema que aquí se describe.</w:t>
      </w:r>
    </w:p>
    <w:p>
      <w:pPr>
        <w:pStyle w:val="Heading2"/>
        <w:spacing w:after="160" w:before="260"/>
      </w:pPr>
      <w:r>
        <w:rPr>
          <w:b/>
          <w:bCs/>
          <w:color w:val="12233A"/>
          <w:sz w:val="25"/>
          <w:szCs w:val="25"/>
        </w:rPr>
        <w:t xml:space="preserve">1.3 Definiciones y siglas</w:t>
      </w:r>
    </w:p>
    <w:p>
      <w:pPr>
        <w:pStyle w:val="ListParagraph"/>
        <w:numPr>
          <w:ilvl w:val="0"/>
          <w:numId w:val="2"/>
        </w:numPr>
        <w:spacing w:after="100"/>
        <w:jc w:val="both"/>
      </w:pPr>
      <w:r>
        <w:rPr>
          <w:sz w:val="22"/>
          <w:szCs w:val="22"/>
        </w:rPr>
        <w:t xml:space="preserve">C4: modelo de documentación de arquitectura de software en 4 niveles (Contexto, Contenedores, Componentes, Código); este documento cubre los 3 primeros.</w:t>
      </w:r>
    </w:p>
    <w:p>
      <w:pPr>
        <w:pStyle w:val="ListParagraph"/>
        <w:numPr>
          <w:ilvl w:val="0"/>
          <w:numId w:val="2"/>
        </w:numPr>
        <w:spacing w:after="100"/>
        <w:jc w:val="both"/>
      </w:pPr>
      <w:r>
        <w:rPr>
          <w:sz w:val="22"/>
          <w:szCs w:val="22"/>
        </w:rPr>
        <w:t xml:space="preserve">ACO: Ant Colony Optimization — Optimización por Colonia de Hormigas, el algoritmo metaheurístico seleccionado para producción.</w:t>
      </w:r>
    </w:p>
    <w:p>
      <w:pPr>
        <w:pStyle w:val="ListParagraph"/>
        <w:numPr>
          <w:ilvl w:val="0"/>
          <w:numId w:val="2"/>
        </w:numPr>
        <w:spacing w:after="100"/>
        <w:jc w:val="both"/>
      </w:pPr>
      <w:r>
        <w:rPr>
          <w:sz w:val="22"/>
          <w:szCs w:val="22"/>
        </w:rPr>
        <w:t xml:space="preserve">NFR: Non-Functional Requirement — requisito no funcional.</w:t>
      </w:r>
    </w:p>
    <w:p>
      <w:pPr>
        <w:pStyle w:val="ListParagraph"/>
        <w:numPr>
          <w:ilvl w:val="0"/>
          <w:numId w:val="2"/>
        </w:numPr>
        <w:spacing w:after="100"/>
        <w:jc w:val="both"/>
      </w:pPr>
      <w:r>
        <w:rPr>
          <w:sz w:val="22"/>
          <w:szCs w:val="22"/>
        </w:rPr>
        <w:t xml:space="preserve">JVM: Java Virtual Machine, entorno de ejecución del monolito.</w:t>
      </w:r>
    </w:p>
    <w:p>
      <w:pPr>
        <w:pStyle w:val="ListParagraph"/>
        <w:numPr>
          <w:ilvl w:val="0"/>
          <w:numId w:val="2"/>
        </w:numPr>
        <w:spacing w:after="100"/>
        <w:jc w:val="both"/>
      </w:pPr>
      <w:r>
        <w:rPr>
          <w:sz w:val="22"/>
          <w:szCs w:val="22"/>
        </w:rPr>
        <w:t xml:space="preserve">REST / WebSocket: protocolos de comunicación entre el cliente web y la aplicación (peticiones puntuales y estado en tiempo real, respectivamente).</w:t>
      </w:r>
    </w:p>
    <w:p>
      <w:pPr>
        <w:spacing w:after="120"/>
      </w:pPr>
    </w:p>
    <w:p>
      <w:pPr>
        <w:pStyle w:val="Heading1"/>
        <w:spacing w:after="200" w:before="360"/>
      </w:pPr>
      <w:r>
        <w:rPr>
          <w:b/>
          <w:bCs/>
          <w:color w:val="1E3A5C"/>
          <w:sz w:val="30"/>
          <w:szCs w:val="30"/>
        </w:rPr>
        <w:t xml:space="preserve">2. Restricciones y factores arquitectónicos</w:t>
      </w:r>
    </w:p>
    <w:p>
      <w:pPr>
        <w:pStyle w:val="Heading2"/>
        <w:spacing w:after="160" w:before="260"/>
      </w:pPr>
      <w:r>
        <w:rPr>
          <w:b/>
          <w:bCs/>
          <w:color w:val="12233A"/>
          <w:sz w:val="25"/>
          <w:szCs w:val="25"/>
        </w:rPr>
        <w:t xml:space="preserve">2.1 Requisitos no funcionales clave y su impacto en la arquitectura</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3400"/>
        <w:gridCol w:w="6800"/>
      </w:tblGrid>
      <w:tr>
        <w:trPr>
          <w:tblHeader/>
        </w:trPr>
        <w:tc>
          <w:tcPr>
            <w:tcW w:type="dxa" w:w="3400"/>
            <w:shd w:fill="E4E4E4" w:color="auto" w:val="clear"/>
            <w:tcMar>
              <w:top w:type="dxa" w:w="80"/>
              <w:left w:type="dxa" w:w="100"/>
              <w:bottom w:type="dxa" w:w="80"/>
              <w:right w:type="dxa" w:w="100"/>
            </w:tcMar>
            <w:vAlign w:val="center"/>
          </w:tcPr>
          <w:p>
            <w:pPr>
              <w:jc w:val="center"/>
            </w:pPr>
            <w:r>
              <w:rPr>
                <w:b/>
                <w:bCs/>
                <w:color w:val="000000"/>
                <w:sz w:val="20"/>
                <w:szCs w:val="20"/>
              </w:rPr>
              <w:t xml:space="preserve">Requisito no funcional</w:t>
            </w:r>
          </w:p>
        </w:tc>
        <w:tc>
          <w:tcPr>
            <w:tcW w:type="dxa" w:w="6800"/>
            <w:shd w:fill="E4E4E4" w:color="auto" w:val="clear"/>
            <w:tcMar>
              <w:top w:type="dxa" w:w="80"/>
              <w:left w:type="dxa" w:w="100"/>
              <w:bottom w:type="dxa" w:w="80"/>
              <w:right w:type="dxa" w:w="100"/>
            </w:tcMar>
            <w:vAlign w:val="center"/>
          </w:tcPr>
          <w:p>
            <w:pPr>
              <w:jc w:val="center"/>
            </w:pPr>
            <w:r>
              <w:rPr>
                <w:b/>
                <w:bCs/>
                <w:color w:val="000000"/>
                <w:sz w:val="20"/>
                <w:szCs w:val="20"/>
              </w:rPr>
              <w:t xml:space="preserve">Impacto en la arquitectura</w:t>
            </w:r>
          </w:p>
        </w:tc>
      </w:tr>
      <w:tr>
        <w:trPr>
          <w:cantSplit/>
        </w:trPr>
        <w:tc>
          <w:tcPr>
            <w:tcW w:type="dxa" w:w="3400"/>
            <w:tcMar>
              <w:top w:type="dxa" w:w="80"/>
              <w:left w:type="dxa" w:w="100"/>
              <w:bottom w:type="dxa" w:w="80"/>
              <w:right w:type="dxa" w:w="100"/>
            </w:tcMar>
            <w:vAlign w:val="center"/>
          </w:tcPr>
          <w:p>
            <w:pPr>
              <w:jc w:val="left"/>
            </w:pPr>
            <w:r>
              <w:rPr>
                <w:b w:val="false"/>
                <w:bCs w:val="false"/>
                <w:color w:val="000000"/>
                <w:sz w:val="19"/>
                <w:szCs w:val="19"/>
              </w:rPr>
              <w:t xml:space="preserve">El ciclo de planificación debe cerrar en ≤ 60 s.</w:t>
            </w:r>
          </w:p>
        </w:tc>
        <w:tc>
          <w:tcPr>
            <w:tcW w:type="dxa" w:w="6800"/>
            <w:tcMar>
              <w:top w:type="dxa" w:w="80"/>
              <w:left w:type="dxa" w:w="100"/>
              <w:bottom w:type="dxa" w:w="80"/>
              <w:right w:type="dxa" w:w="100"/>
            </w:tcMar>
            <w:vAlign w:val="center"/>
          </w:tcPr>
          <w:p>
            <w:pPr>
              <w:jc w:val="left"/>
            </w:pPr>
            <w:r>
              <w:rPr>
                <w:b w:val="false"/>
                <w:bCs w:val="false"/>
                <w:color w:val="000000"/>
                <w:sz w:val="19"/>
                <w:szCs w:val="19"/>
              </w:rPr>
              <w:t xml:space="preserve">AlgoritmoACO debe ejecutarse de forma síncrona y acotada por presupuesto de tiempo, sin operaciones de E/S bloqueantes dentro del ciclo (ver sección 9, táctica T-01).</w:t>
            </w:r>
          </w:p>
        </w:tc>
      </w:tr>
      <w:tr>
        <w:trPr>
          <w:cantSplit/>
        </w:trPr>
        <w:tc>
          <w:tcPr>
            <w:tcW w:type="dxa" w:w="3400"/>
            <w:tcMar>
              <w:top w:type="dxa" w:w="80"/>
              <w:left w:type="dxa" w:w="100"/>
              <w:bottom w:type="dxa" w:w="80"/>
              <w:right w:type="dxa" w:w="100"/>
            </w:tcMar>
            <w:vAlign w:val="center"/>
          </w:tcPr>
          <w:p>
            <w:pPr>
              <w:jc w:val="left"/>
            </w:pPr>
            <w:r>
              <w:rPr>
                <w:b w:val="false"/>
                <w:bCs w:val="false"/>
                <w:color w:val="000000"/>
                <w:sz w:val="19"/>
                <w:szCs w:val="19"/>
              </w:rPr>
              <w:t xml:space="preserve">La simulación 5D completa debe ejecutarse entre 30 y 60 min.</w:t>
            </w:r>
          </w:p>
        </w:tc>
        <w:tc>
          <w:tcPr>
            <w:tcW w:type="dxa" w:w="6800"/>
            <w:tcMar>
              <w:top w:type="dxa" w:w="80"/>
              <w:left w:type="dxa" w:w="100"/>
              <w:bottom w:type="dxa" w:w="80"/>
              <w:right w:type="dxa" w:w="100"/>
            </w:tcMar>
            <w:vAlign w:val="center"/>
          </w:tcPr>
          <w:p>
            <w:pPr>
              <w:jc w:val="left"/>
            </w:pPr>
            <w:r>
              <w:rPr>
                <w:b w:val="false"/>
                <w:bCs w:val="false"/>
                <w:color w:val="000000"/>
                <w:sz w:val="19"/>
                <w:szCs w:val="19"/>
              </w:rPr>
              <w:t xml:space="preserve">MotorSimulacion debe poder correr en modo acelerado, desacoplado de la interfaz gráfica, sin depender de que haya un usuario interactuando.</w:t>
            </w:r>
          </w:p>
        </w:tc>
      </w:tr>
      <w:tr>
        <w:trPr>
          <w:cantSplit/>
        </w:trPr>
        <w:tc>
          <w:tcPr>
            <w:tcW w:type="dxa" w:w="3400"/>
            <w:tcMar>
              <w:top w:type="dxa" w:w="80"/>
              <w:left w:type="dxa" w:w="100"/>
              <w:bottom w:type="dxa" w:w="80"/>
              <w:right w:type="dxa" w:w="100"/>
            </w:tcMar>
            <w:vAlign w:val="center"/>
          </w:tcPr>
          <w:p>
            <w:pPr>
              <w:jc w:val="left"/>
            </w:pPr>
            <w:r>
              <w:rPr>
                <w:b w:val="false"/>
                <w:bCs w:val="false"/>
                <w:color w:val="000000"/>
                <w:sz w:val="19"/>
                <w:szCs w:val="19"/>
              </w:rPr>
              <w:t xml:space="preserve">Visualización en tiempo real desde múltiples dispositivos conectados simultáneamente (R5).</w:t>
            </w:r>
          </w:p>
        </w:tc>
        <w:tc>
          <w:tcPr>
            <w:tcW w:type="dxa" w:w="6800"/>
            <w:tcMar>
              <w:top w:type="dxa" w:w="80"/>
              <w:left w:type="dxa" w:w="100"/>
              <w:bottom w:type="dxa" w:w="80"/>
              <w:right w:type="dxa" w:w="100"/>
            </w:tcMar>
            <w:vAlign w:val="center"/>
          </w:tcPr>
          <w:p>
            <w:pPr>
              <w:jc w:val="left"/>
            </w:pPr>
            <w:r>
              <w:rPr>
                <w:b w:val="false"/>
                <w:bCs w:val="false"/>
                <w:color w:val="000000"/>
                <w:sz w:val="19"/>
                <w:szCs w:val="19"/>
              </w:rPr>
              <w:t xml:space="preserve">Se necesita un mecanismo de push de estado (no polling) y un único punto que publique el estado para evitar inconsistencias entre dispositivos (ver AD-03 y T-02).</w:t>
            </w:r>
          </w:p>
        </w:tc>
      </w:tr>
      <w:tr>
        <w:trPr>
          <w:cantSplit/>
        </w:trPr>
        <w:tc>
          <w:tcPr>
            <w:tcW w:type="dxa" w:w="3400"/>
            <w:tcMar>
              <w:top w:type="dxa" w:w="80"/>
              <w:left w:type="dxa" w:w="100"/>
              <w:bottom w:type="dxa" w:w="80"/>
              <w:right w:type="dxa" w:w="100"/>
            </w:tcMar>
            <w:vAlign w:val="center"/>
          </w:tcPr>
          <w:p>
            <w:pPr>
              <w:jc w:val="left"/>
            </w:pPr>
            <w:r>
              <w:rPr>
                <w:b w:val="false"/>
                <w:bCs w:val="false"/>
                <w:color w:val="000000"/>
                <w:sz w:val="19"/>
                <w:szCs w:val="19"/>
              </w:rPr>
              <w:t xml:space="preserve">Debe ejecutarse en los equipos del laboratorio de Ingeniería Informática.</w:t>
            </w:r>
          </w:p>
        </w:tc>
        <w:tc>
          <w:tcPr>
            <w:tcW w:type="dxa" w:w="6800"/>
            <w:tcMar>
              <w:top w:type="dxa" w:w="80"/>
              <w:left w:type="dxa" w:w="100"/>
              <w:bottom w:type="dxa" w:w="80"/>
              <w:right w:type="dxa" w:w="100"/>
            </w:tcMar>
            <w:vAlign w:val="center"/>
          </w:tcPr>
          <w:p>
            <w:pPr>
              <w:jc w:val="left"/>
            </w:pPr>
            <w:r>
              <w:rPr>
                <w:b w:val="false"/>
                <w:bCs w:val="false"/>
                <w:color w:val="000000"/>
                <w:sz w:val="19"/>
                <w:szCs w:val="19"/>
              </w:rPr>
              <w:t xml:space="preserve">Sin dependencia de infraestructura en la nube; despliegue como un proceso Java único, instalación local sencilla (ver AD-01 y sección 10).</w:t>
            </w:r>
          </w:p>
        </w:tc>
      </w:tr>
      <w:tr>
        <w:trPr>
          <w:cantSplit/>
        </w:trPr>
        <w:tc>
          <w:tcPr>
            <w:tcW w:type="dxa" w:w="3400"/>
            <w:tcMar>
              <w:top w:type="dxa" w:w="80"/>
              <w:left w:type="dxa" w:w="100"/>
              <w:bottom w:type="dxa" w:w="80"/>
              <w:right w:type="dxa" w:w="100"/>
            </w:tcMar>
            <w:vAlign w:val="center"/>
          </w:tcPr>
          <w:p>
            <w:pPr>
              <w:jc w:val="left"/>
            </w:pPr>
            <w:r>
              <w:rPr>
                <w:b w:val="false"/>
                <w:bCs w:val="false"/>
                <w:color w:val="000000"/>
                <w:sz w:val="19"/>
                <w:szCs w:val="19"/>
              </w:rPr>
              <w:t xml:space="preserve">El Planificador debe estar implementado en Java (requisito del curso).</w:t>
            </w:r>
          </w:p>
        </w:tc>
        <w:tc>
          <w:tcPr>
            <w:tcW w:type="dxa" w:w="6800"/>
            <w:tcMar>
              <w:top w:type="dxa" w:w="80"/>
              <w:left w:type="dxa" w:w="100"/>
              <w:bottom w:type="dxa" w:w="80"/>
              <w:right w:type="dxa" w:w="100"/>
            </w:tcMar>
            <w:vAlign w:val="center"/>
          </w:tcPr>
          <w:p>
            <w:pPr>
              <w:jc w:val="left"/>
            </w:pPr>
            <w:r>
              <w:rPr>
                <w:b w:val="false"/>
                <w:bCs w:val="false"/>
                <w:color w:val="000000"/>
                <w:sz w:val="19"/>
                <w:szCs w:val="19"/>
              </w:rPr>
              <w:t xml:space="preserve">Determina el lenguaje de la capa de aplicación/dominio y condiciona el framework elegido para la capa de presentación.</w:t>
            </w:r>
          </w:p>
        </w:tc>
      </w:tr>
      <w:tr>
        <w:trPr>
          <w:cantSplit/>
        </w:trPr>
        <w:tc>
          <w:tcPr>
            <w:tcW w:type="dxa" w:w="3400"/>
            <w:tcMar>
              <w:top w:type="dxa" w:w="80"/>
              <w:left w:type="dxa" w:w="100"/>
              <w:bottom w:type="dxa" w:w="80"/>
              <w:right w:type="dxa" w:w="100"/>
            </w:tcMar>
            <w:vAlign w:val="center"/>
          </w:tcPr>
          <w:p>
            <w:pPr>
              <w:jc w:val="left"/>
            </w:pPr>
            <w:r>
              <w:rPr>
                <w:b w:val="false"/>
                <w:bCs w:val="false"/>
                <w:color w:val="000000"/>
                <w:sz w:val="19"/>
                <w:szCs w:val="19"/>
              </w:rPr>
              <w:t xml:space="preserve">Política de negocio: 100% de pedidos en plazo (no es una garantía técnica absoluta ante escenarios extremos).</w:t>
            </w:r>
          </w:p>
        </w:tc>
        <w:tc>
          <w:tcPr>
            <w:tcW w:type="dxa" w:w="6800"/>
            <w:tcMar>
              <w:top w:type="dxa" w:w="80"/>
              <w:left w:type="dxa" w:w="100"/>
              <w:bottom w:type="dxa" w:w="80"/>
              <w:right w:type="dxa" w:w="100"/>
            </w:tcMar>
            <w:vAlign w:val="center"/>
          </w:tcPr>
          <w:p>
            <w:pPr>
              <w:jc w:val="left"/>
            </w:pPr>
            <w:r>
              <w:rPr>
                <w:b w:val="false"/>
                <w:bCs w:val="false"/>
                <w:color w:val="000000"/>
                <w:sz w:val="19"/>
                <w:szCs w:val="19"/>
              </w:rPr>
              <w:t xml:space="preserve">El sistema debe reportar explícitamente cuándo un pedido se vuelve infactible, en vez de fallar silenciosamente (riesgo RT-03 del CGR del equipo).</w:t>
            </w:r>
          </w:p>
        </w:tc>
      </w:tr>
    </w:tbl>
    <w:p>
      <w:pPr>
        <w:pStyle w:val="Heading2"/>
        <w:spacing w:after="160" w:before="260"/>
      </w:pPr>
      <w:r>
        <w:rPr>
          <w:b/>
          <w:bCs/>
          <w:color w:val="12233A"/>
          <w:sz w:val="25"/>
          <w:szCs w:val="25"/>
        </w:rPr>
        <w:t xml:space="preserve">2.2 Restricciones tecnológicas y de despliegue</w:t>
      </w:r>
    </w:p>
    <w:p>
      <w:pPr>
        <w:pStyle w:val="ListParagraph"/>
        <w:numPr>
          <w:ilvl w:val="0"/>
          <w:numId w:val="2"/>
        </w:numPr>
        <w:spacing w:after="100"/>
        <w:jc w:val="both"/>
      </w:pPr>
      <w:r>
        <w:rPr>
          <w:sz w:val="22"/>
          <w:szCs w:val="22"/>
        </w:rPr>
        <w:t xml:space="preserve">Despliegue en una sola máquina (o en la red local del laboratorio): no se requiere alta disponibilidad ni escalamiento horizontal, dado que es un proyecto de un semestre, no un sistema en producción real.</w:t>
      </w:r>
    </w:p>
    <w:p>
      <w:pPr>
        <w:pStyle w:val="ListParagraph"/>
        <w:numPr>
          <w:ilvl w:val="0"/>
          <w:numId w:val="2"/>
        </w:numPr>
        <w:spacing w:after="100"/>
        <w:jc w:val="both"/>
      </w:pPr>
      <w:r>
        <w:rPr>
          <w:sz w:val="22"/>
          <w:szCs w:val="22"/>
        </w:rPr>
        <w:t xml:space="preserve">Persistencia en PostgreSQL (ver 62.dis.base.datos.postgresql.v01), por ser un dominio fuertemente relacional y transaccional (pedidos, rutas, inventario).</w:t>
      </w:r>
    </w:p>
    <w:p>
      <w:pPr>
        <w:pStyle w:val="ListParagraph"/>
        <w:numPr>
          <w:ilvl w:val="0"/>
          <w:numId w:val="2"/>
        </w:numPr>
        <w:spacing w:after="100"/>
        <w:jc w:val="both"/>
      </w:pPr>
      <w:r>
        <w:rPr>
          <w:sz w:val="22"/>
          <w:szCs w:val="22"/>
        </w:rPr>
        <w:t xml:space="preserve">Sin integraciones con sistemas externos reales: los únicos insumos externos son los archivos periódicos de bloqueos, mantenimiento y averías, cargados por lote.</w:t>
      </w:r>
    </w:p>
    <w:p>
      <w:pPr>
        <w:spacing w:after="120"/>
      </w:pPr>
    </w:p>
    <w:p>
      <w:pPr>
        <w:pStyle w:val="Heading1"/>
        <w:spacing w:after="200" w:before="360"/>
      </w:pPr>
      <w:r>
        <w:rPr>
          <w:b/>
          <w:bCs/>
          <w:color w:val="1E3A5C"/>
          <w:sz w:val="30"/>
          <w:szCs w:val="30"/>
        </w:rPr>
        <w:t xml:space="preserve">3. Vista de Contexto (C4 — Nivel 1)</w:t>
      </w:r>
    </w:p>
    <w:p>
      <w:pPr>
        <w:spacing w:after="160"/>
        <w:jc w:val="both"/>
      </w:pPr>
      <w:r>
        <w:rPr>
          <w:sz w:val="22"/>
          <w:szCs w:val="22"/>
        </w:rPr>
        <w:t xml:space="preserve">El sistema PaqRap interactúa con dos tipos de usuario humano y con archivos de operación externos. No existen sistemas externos con los que se integre en tiempo real: los archivos de bloqueos, mantenimiento y averías se cargan periódicamente por lote a través de CargadorArchivos.</w:t>
      </w:r>
    </w:p>
    <w:p>
      <w:pPr>
        <w:spacing w:after="240" w:before="120"/>
        <w:jc w:val="center"/>
      </w:pPr>
      <w:r>
        <w:drawing>
          <wp:inline distT="0" distB="0" distL="0" distR="0">
            <wp:extent cx="5120640" cy="489389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20640" cy="4893896"/>
                    </a:xfrm>
                    <a:prstGeom prst="rect">
                      <a:avLst/>
                    </a:prstGeom>
                  </pic:spPr>
                </pic:pic>
              </a:graphicData>
            </a:graphic>
          </wp:inline>
        </w:drawing>
      </w:r>
    </w:p>
    <w:p>
      <w:pPr>
        <w:spacing w:after="300"/>
        <w:jc w:val="center"/>
      </w:pPr>
      <w:r>
        <w:rPr>
          <w:i/>
          <w:iCs/>
          <w:color w:val="444444"/>
          <w:sz w:val="19"/>
          <w:szCs w:val="19"/>
        </w:rPr>
        <w:t xml:space="preserve">Figura 1. Diagrama de Contexto — actores y límites del sistema PaqRap.</w:t>
      </w:r>
    </w:p>
    <w:p>
      <w:pPr>
        <w:pStyle w:val="Heading1"/>
        <w:spacing w:after="200" w:before="360"/>
      </w:pPr>
      <w:r>
        <w:rPr>
          <w:b/>
          <w:bCs/>
          <w:color w:val="1E3A5C"/>
          <w:sz w:val="30"/>
          <w:szCs w:val="30"/>
        </w:rPr>
        <w:t xml:space="preserve">4. Estilo arquitectónico: monolito modular en capas</w:t>
      </w:r>
    </w:p>
    <w:p>
      <w:pPr>
        <w:pStyle w:val="Heading2"/>
        <w:spacing w:after="160" w:before="260"/>
      </w:pPr>
      <w:r>
        <w:rPr>
          <w:b/>
          <w:bCs/>
          <w:color w:val="12233A"/>
          <w:sz w:val="25"/>
          <w:szCs w:val="25"/>
        </w:rPr>
        <w:t xml:space="preserve">4.1 Justificación</w:t>
      </w:r>
    </w:p>
    <w:p>
      <w:pPr>
        <w:spacing w:after="160"/>
        <w:jc w:val="both"/>
      </w:pPr>
      <w:r>
        <w:rPr>
          <w:sz w:val="22"/>
          <w:szCs w:val="22"/>
        </w:rPr>
        <w:t xml:space="preserve">Se eligió un monolito modular en capas, en lugar de una arquitectura de microservicios, por las condiciones concretas del proyecto:</w:t>
      </w:r>
    </w:p>
    <w:p>
      <w:pPr>
        <w:pStyle w:val="ListParagraph"/>
        <w:numPr>
          <w:ilvl w:val="0"/>
          <w:numId w:val="2"/>
        </w:numPr>
        <w:spacing w:after="100"/>
        <w:jc w:val="both"/>
      </w:pPr>
      <w:r>
        <w:rPr>
          <w:sz w:val="22"/>
          <w:szCs w:val="22"/>
        </w:rPr>
        <w:t xml:space="preserve">Equipo de 3 personas y alcance de un solo semestre: coordinar el despliegue y la comunicación entre varios servicios independientes agregaría complejidad operativa sin un beneficio real a esta escala.</w:t>
      </w:r>
    </w:p>
    <w:p>
      <w:pPr>
        <w:pStyle w:val="ListParagraph"/>
        <w:numPr>
          <w:ilvl w:val="0"/>
          <w:numId w:val="2"/>
        </w:numPr>
        <w:spacing w:after="100"/>
        <w:jc w:val="both"/>
      </w:pPr>
      <w:r>
        <w:rPr>
          <w:sz w:val="22"/>
          <w:szCs w:val="22"/>
        </w:rPr>
        <w:t xml:space="preserve">No hay necesidad de escalar un módulo de forma independiente de los demás (p. ej. la Planificación de Rutas no recibe una carga que justifique separarla en un servicio aparte).</w:t>
      </w:r>
    </w:p>
    <w:p>
      <w:pPr>
        <w:pStyle w:val="ListParagraph"/>
        <w:numPr>
          <w:ilvl w:val="0"/>
          <w:numId w:val="2"/>
        </w:numPr>
        <w:spacing w:after="100"/>
        <w:jc w:val="both"/>
      </w:pPr>
      <w:r>
        <w:rPr>
          <w:sz w:val="22"/>
          <w:szCs w:val="22"/>
        </w:rPr>
        <w:t xml:space="preserve">El sistema debe poder instalarse y ejecutarse en los equipos del laboratorio: un solo proceso Java es más simple de desplegar que un conjunto de servicios coordinados.</w:t>
      </w:r>
    </w:p>
    <w:p>
      <w:pPr>
        <w:pStyle w:val="ListParagraph"/>
        <w:numPr>
          <w:ilvl w:val="0"/>
          <w:numId w:val="2"/>
        </w:numPr>
        <w:spacing w:after="100"/>
        <w:jc w:val="both"/>
      </w:pPr>
      <w:r>
        <w:rPr>
          <w:sz w:val="22"/>
          <w:szCs w:val="22"/>
        </w:rPr>
        <w:t xml:space="preserve">Las transacciones de negocio (p. ej. registrar una entrega parcial y actualizar el estado del pedido y de la ruta) se mantienen simples al no cruzar límites de proceso.</w:t>
      </w:r>
    </w:p>
    <w:p>
      <w:pPr>
        <w:spacing w:after="160"/>
        <w:jc w:val="both"/>
      </w:pPr>
      <w:r>
        <w:rPr>
          <w:sz w:val="22"/>
          <w:szCs w:val="22"/>
        </w:rPr>
        <w:t xml:space="preserve">Internamente, sin embargo, la aplicación se organiza en módulos de bajo acoplamiento alineados 1 a 1 con los 6 paquetes del Diagrama de Clases de Análisis v03 (sección 6). Esto facilita el trabajo en paralelo del equipo durante el curso y deja un camino de evolución hacia servicios independientes si el sistema creciera más allá de este proyecto.</w:t>
      </w:r>
    </w:p>
    <w:p>
      <w:pPr>
        <w:spacing w:after="160"/>
        <w:jc w:val="both"/>
      </w:pPr>
      <w:r>
        <w:rPr>
          <w:sz w:val="22"/>
          <w:szCs w:val="22"/>
        </w:rPr>
        <w:t xml:space="preserve">Riesgo aceptado conscientemente: al correr todo en un solo proceso, un error no aislado en un módulo (p. ej. el Motor de Simulación) puede afectar la disponibilidad del resto de la aplicación. Se mitiga con límites de módulo explícitos y manejo de errores por módulo (ver sección 9).</w:t>
      </w:r>
    </w:p>
    <w:p>
      <w:pPr>
        <w:pStyle w:val="Heading1"/>
        <w:spacing w:after="200" w:before="360"/>
      </w:pPr>
      <w:r>
        <w:rPr>
          <w:b/>
          <w:bCs/>
          <w:color w:val="1E3A5C"/>
          <w:sz w:val="30"/>
          <w:szCs w:val="30"/>
        </w:rPr>
        <w:t xml:space="preserve">5. Vista de Contenedores (C4 — Nivel 2)</w:t>
      </w:r>
    </w:p>
    <w:p>
      <w:pPr>
        <w:spacing w:after="160"/>
        <w:jc w:val="both"/>
      </w:pPr>
      <w:r>
        <w:rPr>
          <w:sz w:val="22"/>
          <w:szCs w:val="22"/>
        </w:rPr>
        <w:t xml:space="preserve">El sistema se compone de dos contenedores desplegables — la Aplicación PaqRap (el monolito Java) y la base de datos PostgreSQL — más el Cliente Web que corre en el navegador de cada dispositivo conectado. La comunicación entre el Cliente Web y la Aplicación combina REST (para acciones puntuales, como registrar un pedido) con WebSocket (para recibir el estado del mapa y las alertas en tiempo real, sin necesidad de refrescar o hacer polling).</w:t>
      </w:r>
    </w:p>
    <w:p>
      <w:pPr>
        <w:spacing w:after="240" w:before="120"/>
        <w:jc w:val="center"/>
      </w:pPr>
      <w:r>
        <w:drawing>
          <wp:inline distT="0" distB="0" distL="0" distR="0">
            <wp:extent cx="4572000" cy="591807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5918071"/>
                    </a:xfrm>
                    <a:prstGeom prst="rect">
                      <a:avLst/>
                    </a:prstGeom>
                  </pic:spPr>
                </pic:pic>
              </a:graphicData>
            </a:graphic>
          </wp:inline>
        </w:drawing>
      </w:r>
    </w:p>
    <w:p>
      <w:pPr>
        <w:spacing w:after="300"/>
        <w:jc w:val="center"/>
      </w:pPr>
      <w:r>
        <w:rPr>
          <w:i/>
          <w:iCs/>
          <w:color w:val="444444"/>
          <w:sz w:val="19"/>
          <w:szCs w:val="19"/>
        </w:rPr>
        <w:t xml:space="preserve">Figura 2. Diagrama de Contenedores — Aplicación PaqRap, Cliente Web y Base de Datos.</w:t>
      </w:r>
    </w:p>
    <w:p>
      <w:r>
        <w:br w:type="page"/>
      </w:r>
    </w:p>
    <w:p>
      <w:pPr>
        <w:pStyle w:val="Heading1"/>
        <w:spacing w:after="200" w:before="360"/>
      </w:pPr>
      <w:r>
        <w:rPr>
          <w:b/>
          <w:bCs/>
          <w:color w:val="1E3A5C"/>
          <w:sz w:val="30"/>
          <w:szCs w:val="30"/>
        </w:rPr>
        <w:t xml:space="preserve">6. Vista de Componentes (C4 — Nivel 3)</w:t>
      </w:r>
    </w:p>
    <w:p>
      <w:pPr>
        <w:spacing w:after="160"/>
        <w:jc w:val="both"/>
      </w:pPr>
      <w:r>
        <w:rPr>
          <w:sz w:val="22"/>
          <w:szCs w:val="22"/>
        </w:rPr>
        <w:t xml:space="preserve">Dentro de la Aplicación PaqRap, los componentes de la capa de Aplicación/Dominio corresponden uno a uno con los 6 paquetes del Diagrama de Clases de Análisis v03, de modo que la arquitectura y el modelo de análisis queden trazables entre sí.</w:t>
      </w:r>
    </w:p>
    <w:p>
      <w:pPr>
        <w:spacing w:after="240" w:before="120"/>
        <w:jc w:val="center"/>
      </w:pPr>
      <w:r>
        <w:drawing>
          <wp:inline distT="0" distB="0" distL="0" distR="0">
            <wp:extent cx="5760720" cy="647908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0720" cy="6479083"/>
                    </a:xfrm>
                    <a:prstGeom prst="rect">
                      <a:avLst/>
                    </a:prstGeom>
                  </pic:spPr>
                </pic:pic>
              </a:graphicData>
            </a:graphic>
          </wp:inline>
        </w:drawing>
      </w:r>
    </w:p>
    <w:p>
      <w:pPr>
        <w:spacing w:after="300"/>
        <w:jc w:val="center"/>
      </w:pPr>
      <w:r>
        <w:rPr>
          <w:i/>
          <w:iCs/>
          <w:color w:val="444444"/>
          <w:sz w:val="19"/>
          <w:szCs w:val="19"/>
        </w:rPr>
        <w:t xml:space="preserve">Figura 3. Diagrama de Componentes — módulos internos de la Aplicación PaqRap.</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400"/>
      </w:tblGrid>
      <w:tr>
        <w:trPr>
          <w:tblHeader/>
        </w:trPr>
        <w:tc>
          <w:tcPr>
            <w:tcW w:type="dxa" w:w="2200"/>
            <w:shd w:fill="E4E4E4" w:color="auto" w:val="clear"/>
            <w:tcMar>
              <w:top w:type="dxa" w:w="80"/>
              <w:left w:type="dxa" w:w="100"/>
              <w:bottom w:type="dxa" w:w="80"/>
              <w:right w:type="dxa" w:w="100"/>
            </w:tcMar>
            <w:vAlign w:val="center"/>
          </w:tcPr>
          <w:p>
            <w:pPr>
              <w:jc w:val="center"/>
            </w:pPr>
            <w:r>
              <w:rPr>
                <w:b/>
                <w:bCs/>
                <w:color w:val="000000"/>
                <w:sz w:val="20"/>
                <w:szCs w:val="20"/>
              </w:rPr>
              <w:t xml:space="preserve">Componente</w:t>
            </w:r>
          </w:p>
        </w:tc>
        <w:tc>
          <w:tcPr>
            <w:tcW w:type="dxa" w:w="3600"/>
            <w:shd w:fill="E4E4E4" w:color="auto" w:val="clear"/>
            <w:tcMar>
              <w:top w:type="dxa" w:w="80"/>
              <w:left w:type="dxa" w:w="100"/>
              <w:bottom w:type="dxa" w:w="80"/>
              <w:right w:type="dxa" w:w="100"/>
            </w:tcMar>
            <w:vAlign w:val="center"/>
          </w:tcPr>
          <w:p>
            <w:pPr>
              <w:jc w:val="center"/>
            </w:pPr>
            <w:r>
              <w:rPr>
                <w:b/>
                <w:bCs/>
                <w:color w:val="000000"/>
                <w:sz w:val="20"/>
                <w:szCs w:val="20"/>
              </w:rPr>
              <w:t xml:space="preserve">Corresponde a (diagrama de clases v03)</w:t>
            </w:r>
          </w:p>
        </w:tc>
        <w:tc>
          <w:tcPr>
            <w:tcW w:type="dxa" w:w="3400"/>
            <w:shd w:fill="E4E4E4" w:color="auto" w:val="clear"/>
            <w:tcMar>
              <w:top w:type="dxa" w:w="80"/>
              <w:left w:type="dxa" w:w="100"/>
              <w:bottom w:type="dxa" w:w="80"/>
              <w:right w:type="dxa" w:w="100"/>
            </w:tcMar>
            <w:vAlign w:val="center"/>
          </w:tcPr>
          <w:p>
            <w:pPr>
              <w:jc w:val="center"/>
            </w:pPr>
            <w:r>
              <w:rPr>
                <w:b/>
                <w:bCs/>
                <w:color w:val="000000"/>
                <w:sz w:val="20"/>
                <w:szCs w:val="20"/>
              </w:rPr>
              <w:t xml:space="preserve">Responsabilidad principal</w:t>
            </w:r>
          </w:p>
        </w:tc>
      </w:tr>
      <w:tr>
        <w:trPr>
          <w:cantSplit/>
        </w:trPr>
        <w:tc>
          <w:tcPr>
            <w:tcW w:type="dxa" w:w="2200"/>
            <w:tcMar>
              <w:top w:type="dxa" w:w="80"/>
              <w:left w:type="dxa" w:w="100"/>
              <w:bottom w:type="dxa" w:w="80"/>
              <w:right w:type="dxa" w:w="100"/>
            </w:tcMar>
            <w:vAlign w:val="center"/>
          </w:tcPr>
          <w:p>
            <w:pPr>
              <w:jc w:val="left"/>
            </w:pPr>
            <w:r>
              <w:rPr>
                <w:b w:val="false"/>
                <w:bCs w:val="false"/>
                <w:color w:val="000000"/>
                <w:sz w:val="19"/>
                <w:szCs w:val="19"/>
              </w:rPr>
              <w:t xml:space="preserve">Gestión de Pedidos</w:t>
            </w:r>
          </w:p>
        </w:tc>
        <w:tc>
          <w:tcPr>
            <w:tcW w:type="dxa" w:w="3600"/>
            <w:tcMar>
              <w:top w:type="dxa" w:w="80"/>
              <w:left w:type="dxa" w:w="100"/>
              <w:bottom w:type="dxa" w:w="80"/>
              <w:right w:type="dxa" w:w="100"/>
            </w:tcMar>
            <w:vAlign w:val="center"/>
          </w:tcPr>
          <w:p>
            <w:pPr>
              <w:jc w:val="left"/>
            </w:pPr>
            <w:r>
              <w:rPr>
                <w:b w:val="false"/>
                <w:bCs w:val="false"/>
                <w:color w:val="000000"/>
                <w:sz w:val="19"/>
                <w:szCs w:val="19"/>
              </w:rPr>
              <w:t xml:space="preserve">Paquete "Gestión de Pedidos"</w:t>
            </w:r>
          </w:p>
        </w:tc>
        <w:tc>
          <w:tcPr>
            <w:tcW w:type="dxa" w:w="3400"/>
            <w:tcMar>
              <w:top w:type="dxa" w:w="80"/>
              <w:left w:type="dxa" w:w="100"/>
              <w:bottom w:type="dxa" w:w="80"/>
              <w:right w:type="dxa" w:w="100"/>
            </w:tcMar>
            <w:vAlign w:val="center"/>
          </w:tcPr>
          <w:p>
            <w:pPr>
              <w:jc w:val="left"/>
            </w:pPr>
            <w:r>
              <w:rPr>
                <w:b w:val="false"/>
                <w:bCs w:val="false"/>
                <w:color w:val="000000"/>
                <w:sz w:val="19"/>
                <w:szCs w:val="19"/>
              </w:rPr>
              <w:t xml:space="preserve">Registrar pedidos, calcular plazos y holgura, clasificar criticidad (R3).</w:t>
            </w:r>
          </w:p>
        </w:tc>
      </w:tr>
      <w:tr>
        <w:trPr>
          <w:cantSplit/>
        </w:trPr>
        <w:tc>
          <w:tcPr>
            <w:tcW w:type="dxa" w:w="2200"/>
            <w:tcMar>
              <w:top w:type="dxa" w:w="80"/>
              <w:left w:type="dxa" w:w="100"/>
              <w:bottom w:type="dxa" w:w="80"/>
              <w:right w:type="dxa" w:w="100"/>
            </w:tcMar>
            <w:vAlign w:val="center"/>
          </w:tcPr>
          <w:p>
            <w:pPr>
              <w:jc w:val="left"/>
            </w:pPr>
            <w:r>
              <w:rPr>
                <w:b w:val="false"/>
                <w:bCs w:val="false"/>
                <w:color w:val="000000"/>
                <w:sz w:val="19"/>
                <w:szCs w:val="19"/>
              </w:rPr>
              <w:t xml:space="preserve">Red Vial y Geografía</w:t>
            </w:r>
          </w:p>
        </w:tc>
        <w:tc>
          <w:tcPr>
            <w:tcW w:type="dxa" w:w="3600"/>
            <w:tcMar>
              <w:top w:type="dxa" w:w="80"/>
              <w:left w:type="dxa" w:w="100"/>
              <w:bottom w:type="dxa" w:w="80"/>
              <w:right w:type="dxa" w:w="100"/>
            </w:tcMar>
            <w:vAlign w:val="center"/>
          </w:tcPr>
          <w:p>
            <w:pPr>
              <w:jc w:val="left"/>
            </w:pPr>
            <w:r>
              <w:rPr>
                <w:b w:val="false"/>
                <w:bCs w:val="false"/>
                <w:color w:val="000000"/>
                <w:sz w:val="19"/>
                <w:szCs w:val="19"/>
              </w:rPr>
              <w:t xml:space="preserve">Paquete "Red Vial y Geografía"</w:t>
            </w:r>
          </w:p>
        </w:tc>
        <w:tc>
          <w:tcPr>
            <w:tcW w:type="dxa" w:w="3400"/>
            <w:tcMar>
              <w:top w:type="dxa" w:w="80"/>
              <w:left w:type="dxa" w:w="100"/>
              <w:bottom w:type="dxa" w:w="80"/>
              <w:right w:type="dxa" w:w="100"/>
            </w:tcMar>
            <w:vAlign w:val="center"/>
          </w:tcPr>
          <w:p>
            <w:pPr>
              <w:jc w:val="left"/>
            </w:pPr>
            <w:r>
              <w:rPr>
                <w:b w:val="false"/>
                <w:bCs w:val="false"/>
                <w:color w:val="000000"/>
                <w:sz w:val="19"/>
                <w:szCs w:val="19"/>
              </w:rPr>
              <w:t xml:space="preserve">Modelar la retícula, calcular rutas mínimas, gestionar bloqueos.</w:t>
            </w:r>
          </w:p>
        </w:tc>
      </w:tr>
      <w:tr>
        <w:trPr>
          <w:cantSplit/>
        </w:trPr>
        <w:tc>
          <w:tcPr>
            <w:tcW w:type="dxa" w:w="2200"/>
            <w:tcMar>
              <w:top w:type="dxa" w:w="80"/>
              <w:left w:type="dxa" w:w="100"/>
              <w:bottom w:type="dxa" w:w="80"/>
              <w:right w:type="dxa" w:w="100"/>
            </w:tcMar>
            <w:vAlign w:val="center"/>
          </w:tcPr>
          <w:p>
            <w:pPr>
              <w:jc w:val="left"/>
            </w:pPr>
            <w:r>
              <w:rPr>
                <w:b w:val="false"/>
                <w:bCs w:val="false"/>
                <w:color w:val="000000"/>
                <w:sz w:val="19"/>
                <w:szCs w:val="19"/>
              </w:rPr>
              <w:t xml:space="preserve">Gestión de Flota</w:t>
            </w:r>
          </w:p>
        </w:tc>
        <w:tc>
          <w:tcPr>
            <w:tcW w:type="dxa" w:w="3600"/>
            <w:tcMar>
              <w:top w:type="dxa" w:w="80"/>
              <w:left w:type="dxa" w:w="100"/>
              <w:bottom w:type="dxa" w:w="80"/>
              <w:right w:type="dxa" w:w="100"/>
            </w:tcMar>
            <w:vAlign w:val="center"/>
          </w:tcPr>
          <w:p>
            <w:pPr>
              <w:jc w:val="left"/>
            </w:pPr>
            <w:r>
              <w:rPr>
                <w:b w:val="false"/>
                <w:bCs w:val="false"/>
                <w:color w:val="000000"/>
                <w:sz w:val="19"/>
                <w:szCs w:val="19"/>
              </w:rPr>
              <w:t xml:space="preserve">Paquete "Gestión de Flota"</w:t>
            </w:r>
          </w:p>
        </w:tc>
        <w:tc>
          <w:tcPr>
            <w:tcW w:type="dxa" w:w="3400"/>
            <w:tcMar>
              <w:top w:type="dxa" w:w="80"/>
              <w:left w:type="dxa" w:w="100"/>
              <w:bottom w:type="dxa" w:w="80"/>
              <w:right w:type="dxa" w:w="100"/>
            </w:tcMar>
            <w:vAlign w:val="center"/>
          </w:tcPr>
          <w:p>
            <w:pPr>
              <w:jc w:val="left"/>
            </w:pPr>
            <w:r>
              <w:rPr>
                <w:b w:val="false"/>
                <w:bCs w:val="false"/>
                <w:color w:val="000000"/>
                <w:sz w:val="19"/>
                <w:szCs w:val="19"/>
              </w:rPr>
              <w:t xml:space="preserve">Estado de unidades, turnos, averías, trasvases, mantenimiento (R4).</w:t>
            </w:r>
          </w:p>
        </w:tc>
      </w:tr>
      <w:tr>
        <w:trPr>
          <w:cantSplit/>
        </w:trPr>
        <w:tc>
          <w:tcPr>
            <w:tcW w:type="dxa" w:w="2200"/>
            <w:tcMar>
              <w:top w:type="dxa" w:w="80"/>
              <w:left w:type="dxa" w:w="100"/>
              <w:bottom w:type="dxa" w:w="80"/>
              <w:right w:type="dxa" w:w="100"/>
            </w:tcMar>
            <w:vAlign w:val="center"/>
          </w:tcPr>
          <w:p>
            <w:pPr>
              <w:jc w:val="left"/>
            </w:pPr>
            <w:r>
              <w:rPr>
                <w:b w:val="false"/>
                <w:bCs w:val="false"/>
                <w:color w:val="000000"/>
                <w:sz w:val="19"/>
                <w:szCs w:val="19"/>
              </w:rPr>
              <w:t xml:space="preserve">Almacenes e Inventario</w:t>
            </w:r>
          </w:p>
        </w:tc>
        <w:tc>
          <w:tcPr>
            <w:tcW w:type="dxa" w:w="3600"/>
            <w:tcMar>
              <w:top w:type="dxa" w:w="80"/>
              <w:left w:type="dxa" w:w="100"/>
              <w:bottom w:type="dxa" w:w="80"/>
              <w:right w:type="dxa" w:w="100"/>
            </w:tcMar>
            <w:vAlign w:val="center"/>
          </w:tcPr>
          <w:p>
            <w:pPr>
              <w:jc w:val="left"/>
            </w:pPr>
            <w:r>
              <w:rPr>
                <w:b w:val="false"/>
                <w:bCs w:val="false"/>
                <w:color w:val="000000"/>
                <w:sz w:val="19"/>
                <w:szCs w:val="19"/>
              </w:rPr>
              <w:t xml:space="preserve">Paquete "Almacenes e Inventario"</w:t>
            </w:r>
          </w:p>
        </w:tc>
        <w:tc>
          <w:tcPr>
            <w:tcW w:type="dxa" w:w="3400"/>
            <w:tcMar>
              <w:top w:type="dxa" w:w="80"/>
              <w:left w:type="dxa" w:w="100"/>
              <w:bottom w:type="dxa" w:w="80"/>
              <w:right w:type="dxa" w:w="100"/>
            </w:tcMar>
            <w:vAlign w:val="center"/>
          </w:tcPr>
          <w:p>
            <w:pPr>
              <w:jc w:val="left"/>
            </w:pPr>
            <w:r>
              <w:rPr>
                <w:b w:val="false"/>
                <w:bCs w:val="false"/>
                <w:color w:val="000000"/>
                <w:sz w:val="19"/>
                <w:szCs w:val="19"/>
              </w:rPr>
              <w:t xml:space="preserve">Stock del almacén central e intermedios, movimientos, recarga diaria (R2).</w:t>
            </w:r>
          </w:p>
        </w:tc>
      </w:tr>
      <w:tr>
        <w:trPr>
          <w:cantSplit/>
        </w:trPr>
        <w:tc>
          <w:tcPr>
            <w:tcW w:type="dxa" w:w="2200"/>
            <w:tcMar>
              <w:top w:type="dxa" w:w="80"/>
              <w:left w:type="dxa" w:w="100"/>
              <w:bottom w:type="dxa" w:w="80"/>
              <w:right w:type="dxa" w:w="100"/>
            </w:tcMar>
            <w:vAlign w:val="center"/>
          </w:tcPr>
          <w:p>
            <w:pPr>
              <w:jc w:val="left"/>
            </w:pPr>
            <w:r>
              <w:rPr>
                <w:b w:val="false"/>
                <w:bCs w:val="false"/>
                <w:color w:val="000000"/>
                <w:sz w:val="19"/>
                <w:szCs w:val="19"/>
              </w:rPr>
              <w:t xml:space="preserve">Planificación de Rutas</w:t>
            </w:r>
          </w:p>
        </w:tc>
        <w:tc>
          <w:tcPr>
            <w:tcW w:type="dxa" w:w="3600"/>
            <w:tcMar>
              <w:top w:type="dxa" w:w="80"/>
              <w:left w:type="dxa" w:w="100"/>
              <w:bottom w:type="dxa" w:w="80"/>
              <w:right w:type="dxa" w:w="100"/>
            </w:tcMar>
            <w:vAlign w:val="center"/>
          </w:tcPr>
          <w:p>
            <w:pPr>
              <w:jc w:val="left"/>
            </w:pPr>
            <w:r>
              <w:rPr>
                <w:b w:val="false"/>
                <w:bCs w:val="false"/>
                <w:color w:val="000000"/>
                <w:sz w:val="19"/>
                <w:szCs w:val="19"/>
              </w:rPr>
              <w:t xml:space="preserve">Paquete "Planificación de Rutas" (Planificador + AlgoritmoACO)</w:t>
            </w:r>
          </w:p>
        </w:tc>
        <w:tc>
          <w:tcPr>
            <w:tcW w:type="dxa" w:w="3400"/>
            <w:tcMar>
              <w:top w:type="dxa" w:w="80"/>
              <w:left w:type="dxa" w:w="100"/>
              <w:bottom w:type="dxa" w:w="80"/>
              <w:right w:type="dxa" w:w="100"/>
            </w:tcMar>
            <w:vAlign w:val="center"/>
          </w:tcPr>
          <w:p>
            <w:pPr>
              <w:jc w:val="left"/>
            </w:pPr>
            <w:r>
              <w:rPr>
                <w:b w:val="false"/>
                <w:bCs w:val="false"/>
                <w:color w:val="000000"/>
                <w:sz w:val="19"/>
                <w:szCs w:val="19"/>
              </w:rPr>
              <w:t xml:space="preserve">Ejecutar el ciclo de planificación/replanificación con ACO (R1).</w:t>
            </w:r>
          </w:p>
        </w:tc>
      </w:tr>
      <w:tr>
        <w:trPr>
          <w:cantSplit/>
        </w:trPr>
        <w:tc>
          <w:tcPr>
            <w:tcW w:type="dxa" w:w="2200"/>
            <w:tcMar>
              <w:top w:type="dxa" w:w="80"/>
              <w:left w:type="dxa" w:w="100"/>
              <w:bottom w:type="dxa" w:w="80"/>
              <w:right w:type="dxa" w:w="100"/>
            </w:tcMar>
            <w:vAlign w:val="center"/>
          </w:tcPr>
          <w:p>
            <w:pPr>
              <w:jc w:val="left"/>
            </w:pPr>
            <w:r>
              <w:rPr>
                <w:b w:val="false"/>
                <w:bCs w:val="false"/>
                <w:color w:val="000000"/>
                <w:sz w:val="19"/>
                <w:szCs w:val="19"/>
              </w:rPr>
              <w:t xml:space="preserve">Simulación, Monitoreo y Reportes</w:t>
            </w:r>
          </w:p>
        </w:tc>
        <w:tc>
          <w:tcPr>
            <w:tcW w:type="dxa" w:w="3600"/>
            <w:tcMar>
              <w:top w:type="dxa" w:w="80"/>
              <w:left w:type="dxa" w:w="100"/>
              <w:bottom w:type="dxa" w:w="80"/>
              <w:right w:type="dxa" w:w="100"/>
            </w:tcMar>
            <w:vAlign w:val="center"/>
          </w:tcPr>
          <w:p>
            <w:pPr>
              <w:jc w:val="left"/>
            </w:pPr>
            <w:r>
              <w:rPr>
                <w:b w:val="false"/>
                <w:bCs w:val="false"/>
                <w:color w:val="000000"/>
                <w:sz w:val="19"/>
                <w:szCs w:val="19"/>
              </w:rPr>
              <w:t xml:space="preserve">Paquete "Simulación, Monitoreo y Reportes" (MotorSimulacion + Visualizador)</w:t>
            </w:r>
          </w:p>
        </w:tc>
        <w:tc>
          <w:tcPr>
            <w:tcW w:type="dxa" w:w="3400"/>
            <w:tcMar>
              <w:top w:type="dxa" w:w="80"/>
              <w:left w:type="dxa" w:w="100"/>
              <w:bottom w:type="dxa" w:w="80"/>
              <w:right w:type="dxa" w:w="100"/>
            </w:tcMar>
            <w:vAlign w:val="center"/>
          </w:tcPr>
          <w:p>
            <w:pPr>
              <w:jc w:val="left"/>
            </w:pPr>
            <w:r>
              <w:rPr>
                <w:b w:val="false"/>
                <w:bCs w:val="false"/>
                <w:color w:val="000000"/>
                <w:sz w:val="19"/>
                <w:szCs w:val="19"/>
              </w:rPr>
              <w:t xml:space="preserve">Orquestar los 3 escenarios, publicar estado en tiempo real, calcular KPIs (R5, R6).</w:t>
            </w:r>
          </w:p>
        </w:tc>
      </w:tr>
    </w:tbl>
    <w:p>
      <w:pPr>
        <w:pStyle w:val="Heading1"/>
        <w:spacing w:after="200" w:before="360"/>
      </w:pPr>
      <w:r>
        <w:rPr>
          <w:b/>
          <w:bCs/>
          <w:color w:val="1E3A5C"/>
          <w:sz w:val="30"/>
          <w:szCs w:val="30"/>
        </w:rPr>
        <w:t xml:space="preserve">7. Capas internas del monolito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4800"/>
        <w:gridCol w:w="2400"/>
      </w:tblGrid>
      <w:tr>
        <w:trPr>
          <w:tblHeader/>
        </w:trPr>
        <w:tc>
          <w:tcPr>
            <w:tcW w:type="dxa" w:w="2000"/>
            <w:shd w:fill="E4E4E4" w:color="auto" w:val="clear"/>
            <w:tcMar>
              <w:top w:type="dxa" w:w="80"/>
              <w:left w:type="dxa" w:w="100"/>
              <w:bottom w:type="dxa" w:w="80"/>
              <w:right w:type="dxa" w:w="100"/>
            </w:tcMar>
            <w:vAlign w:val="center"/>
          </w:tcPr>
          <w:p>
            <w:pPr>
              <w:jc w:val="center"/>
            </w:pPr>
            <w:r>
              <w:rPr>
                <w:b/>
                <w:bCs/>
                <w:color w:val="000000"/>
                <w:sz w:val="20"/>
                <w:szCs w:val="20"/>
              </w:rPr>
              <w:t xml:space="preserve">Capa</w:t>
            </w:r>
          </w:p>
        </w:tc>
        <w:tc>
          <w:tcPr>
            <w:tcW w:type="dxa" w:w="4800"/>
            <w:shd w:fill="E4E4E4" w:color="auto" w:val="clear"/>
            <w:tcMar>
              <w:top w:type="dxa" w:w="80"/>
              <w:left w:type="dxa" w:w="100"/>
              <w:bottom w:type="dxa" w:w="80"/>
              <w:right w:type="dxa" w:w="100"/>
            </w:tcMar>
            <w:vAlign w:val="center"/>
          </w:tcPr>
          <w:p>
            <w:pPr>
              <w:jc w:val="center"/>
            </w:pPr>
            <w:r>
              <w:rPr>
                <w:b/>
                <w:bCs/>
                <w:color w:val="000000"/>
                <w:sz w:val="20"/>
                <w:szCs w:val="20"/>
              </w:rPr>
              <w:t xml:space="preserve">Responsabilidad</w:t>
            </w:r>
          </w:p>
        </w:tc>
        <w:tc>
          <w:tcPr>
            <w:tcW w:type="dxa" w:w="2400"/>
            <w:shd w:fill="E4E4E4" w:color="auto" w:val="clear"/>
            <w:tcMar>
              <w:top w:type="dxa" w:w="80"/>
              <w:left w:type="dxa" w:w="100"/>
              <w:bottom w:type="dxa" w:w="80"/>
              <w:right w:type="dxa" w:w="100"/>
            </w:tcMar>
            <w:vAlign w:val="center"/>
          </w:tcPr>
          <w:p>
            <w:pPr>
              <w:jc w:val="center"/>
            </w:pPr>
            <w:r>
              <w:rPr>
                <w:b/>
                <w:bCs/>
                <w:color w:val="000000"/>
                <w:sz w:val="20"/>
                <w:szCs w:val="20"/>
              </w:rPr>
              <w:t xml:space="preserve">Ejemplos</w:t>
            </w:r>
          </w:p>
        </w:tc>
      </w:tr>
      <w:tr>
        <w:trPr>
          <w:cantSplit/>
        </w:trPr>
        <w:tc>
          <w:tcPr>
            <w:tcW w:type="dxa" w:w="2000"/>
            <w:tcMar>
              <w:top w:type="dxa" w:w="80"/>
              <w:left w:type="dxa" w:w="100"/>
              <w:bottom w:type="dxa" w:w="80"/>
              <w:right w:type="dxa" w:w="100"/>
            </w:tcMar>
            <w:vAlign w:val="center"/>
          </w:tcPr>
          <w:p>
            <w:pPr>
              <w:jc w:val="left"/>
            </w:pPr>
            <w:r>
              <w:rPr>
                <w:b w:val="false"/>
                <w:bCs w:val="false"/>
                <w:color w:val="000000"/>
                <w:sz w:val="19"/>
                <w:szCs w:val="19"/>
              </w:rPr>
              <w:t xml:space="preserve">Presentación</w:t>
            </w:r>
          </w:p>
        </w:tc>
        <w:tc>
          <w:tcPr>
            <w:tcW w:type="dxa" w:w="4800"/>
            <w:tcMar>
              <w:top w:type="dxa" w:w="80"/>
              <w:left w:type="dxa" w:w="100"/>
              <w:bottom w:type="dxa" w:w="80"/>
              <w:right w:type="dxa" w:w="100"/>
            </w:tcMar>
            <w:vAlign w:val="center"/>
          </w:tcPr>
          <w:p>
            <w:pPr>
              <w:jc w:val="left"/>
            </w:pPr>
            <w:r>
              <w:rPr>
                <w:b w:val="false"/>
                <w:bCs w:val="false"/>
                <w:color w:val="000000"/>
                <w:sz w:val="19"/>
                <w:szCs w:val="19"/>
              </w:rPr>
              <w:t xml:space="preserve">Exponer los casos de uso como endpoints REST y como canal WebSocket; traducir entre DTOs y objetos de dominio. No contiene lógica de negocio.</w:t>
            </w:r>
          </w:p>
        </w:tc>
        <w:tc>
          <w:tcPr>
            <w:tcW w:type="dxa" w:w="2400"/>
            <w:tcMar>
              <w:top w:type="dxa" w:w="80"/>
              <w:left w:type="dxa" w:w="100"/>
              <w:bottom w:type="dxa" w:w="80"/>
              <w:right w:type="dxa" w:w="100"/>
            </w:tcMar>
            <w:vAlign w:val="center"/>
          </w:tcPr>
          <w:p>
            <w:pPr>
              <w:jc w:val="left"/>
            </w:pPr>
            <w:r>
              <w:rPr>
                <w:b w:val="false"/>
                <w:bCs w:val="false"/>
                <w:color w:val="000000"/>
                <w:sz w:val="19"/>
                <w:szCs w:val="19"/>
              </w:rPr>
              <w:t xml:space="preserve">Controladores REST, manejador de sesiones WebSocket por dispositivo conectado.</w:t>
            </w:r>
          </w:p>
        </w:tc>
      </w:tr>
      <w:tr>
        <w:trPr>
          <w:cantSplit/>
        </w:trPr>
        <w:tc>
          <w:tcPr>
            <w:tcW w:type="dxa" w:w="2000"/>
            <w:tcMar>
              <w:top w:type="dxa" w:w="80"/>
              <w:left w:type="dxa" w:w="100"/>
              <w:bottom w:type="dxa" w:w="80"/>
              <w:right w:type="dxa" w:w="100"/>
            </w:tcMar>
            <w:vAlign w:val="center"/>
          </w:tcPr>
          <w:p>
            <w:pPr>
              <w:jc w:val="left"/>
            </w:pPr>
            <w:r>
              <w:rPr>
                <w:b w:val="false"/>
                <w:bCs w:val="false"/>
                <w:color w:val="000000"/>
                <w:sz w:val="19"/>
                <w:szCs w:val="19"/>
              </w:rPr>
              <w:t xml:space="preserve">Aplicación / Dominio</w:t>
            </w:r>
          </w:p>
        </w:tc>
        <w:tc>
          <w:tcPr>
            <w:tcW w:type="dxa" w:w="4800"/>
            <w:tcMar>
              <w:top w:type="dxa" w:w="80"/>
              <w:left w:type="dxa" w:w="100"/>
              <w:bottom w:type="dxa" w:w="80"/>
              <w:right w:type="dxa" w:w="100"/>
            </w:tcMar>
            <w:vAlign w:val="center"/>
          </w:tcPr>
          <w:p>
            <w:pPr>
              <w:jc w:val="left"/>
            </w:pPr>
            <w:r>
              <w:rPr>
                <w:b w:val="false"/>
                <w:bCs w:val="false"/>
                <w:color w:val="000000"/>
                <w:sz w:val="19"/>
                <w:szCs w:val="19"/>
              </w:rPr>
              <w:t xml:space="preserve">Reglas de negocio del caso PaqRap: cálculo de holgura, criticidad, ejecución de ACO, replanificación ante bloqueos/averías, reglas de recarga y trasvase.</w:t>
            </w:r>
          </w:p>
        </w:tc>
        <w:tc>
          <w:tcPr>
            <w:tcW w:type="dxa" w:w="2400"/>
            <w:tcMar>
              <w:top w:type="dxa" w:w="80"/>
              <w:left w:type="dxa" w:w="100"/>
              <w:bottom w:type="dxa" w:w="80"/>
              <w:right w:type="dxa" w:w="100"/>
            </w:tcMar>
            <w:vAlign w:val="center"/>
          </w:tcPr>
          <w:p>
            <w:pPr>
              <w:jc w:val="left"/>
            </w:pPr>
            <w:r>
              <w:rPr>
                <w:b w:val="false"/>
                <w:bCs w:val="false"/>
                <w:color w:val="000000"/>
                <w:sz w:val="19"/>
                <w:szCs w:val="19"/>
              </w:rPr>
              <w:t xml:space="preserve">Los 6 módulos de la sección 6 (Pedido, Planificador, AlgoritmoACO, MotorSimulacion, etc.).</w:t>
            </w:r>
          </w:p>
        </w:tc>
      </w:tr>
      <w:tr>
        <w:trPr>
          <w:cantSplit/>
        </w:trPr>
        <w:tc>
          <w:tcPr>
            <w:tcW w:type="dxa" w:w="2000"/>
            <w:tcMar>
              <w:top w:type="dxa" w:w="80"/>
              <w:left w:type="dxa" w:w="100"/>
              <w:bottom w:type="dxa" w:w="80"/>
              <w:right w:type="dxa" w:w="100"/>
            </w:tcMar>
            <w:vAlign w:val="center"/>
          </w:tcPr>
          <w:p>
            <w:pPr>
              <w:jc w:val="left"/>
            </w:pPr>
            <w:r>
              <w:rPr>
                <w:b w:val="false"/>
                <w:bCs w:val="false"/>
                <w:color w:val="000000"/>
                <w:sz w:val="19"/>
                <w:szCs w:val="19"/>
              </w:rPr>
              <w:t xml:space="preserve">Acceso a Datos</w:t>
            </w:r>
          </w:p>
        </w:tc>
        <w:tc>
          <w:tcPr>
            <w:tcW w:type="dxa" w:w="4800"/>
            <w:tcMar>
              <w:top w:type="dxa" w:w="80"/>
              <w:left w:type="dxa" w:w="100"/>
              <w:bottom w:type="dxa" w:w="80"/>
              <w:right w:type="dxa" w:w="100"/>
            </w:tcMar>
            <w:vAlign w:val="center"/>
          </w:tcPr>
          <w:p>
            <w:pPr>
              <w:jc w:val="left"/>
            </w:pPr>
            <w:r>
              <w:rPr>
                <w:b w:val="false"/>
                <w:bCs w:val="false"/>
                <w:color w:val="000000"/>
                <w:sz w:val="19"/>
                <w:szCs w:val="19"/>
              </w:rPr>
              <w:t xml:space="preserve">Persistir y recuperar entidades desde PostgreSQL; traducir entre el modelo de dominio y las tablas de 62.dis.base.datos.postgresql.v01. Incluye la carga de archivos externos.</w:t>
            </w:r>
          </w:p>
        </w:tc>
        <w:tc>
          <w:tcPr>
            <w:tcW w:type="dxa" w:w="2400"/>
            <w:tcMar>
              <w:top w:type="dxa" w:w="80"/>
              <w:left w:type="dxa" w:w="100"/>
              <w:bottom w:type="dxa" w:w="80"/>
              <w:right w:type="dxa" w:w="100"/>
            </w:tcMar>
            <w:vAlign w:val="center"/>
          </w:tcPr>
          <w:p>
            <w:pPr>
              <w:jc w:val="left"/>
            </w:pPr>
            <w:r>
              <w:rPr>
                <w:b w:val="false"/>
                <w:bCs w:val="false"/>
                <w:color w:val="000000"/>
                <w:sz w:val="19"/>
                <w:szCs w:val="19"/>
              </w:rPr>
              <w:t xml:space="preserve">Repositorios (uno por agregado), CargadorArchivos.</w:t>
            </w:r>
          </w:p>
        </w:tc>
      </w:tr>
    </w:tbl>
    <w:p>
      <w:pPr>
        <w:spacing w:after="160"/>
        <w:jc w:val="both"/>
      </w:pPr>
      <w:r>
        <w:rPr>
          <w:sz w:val="22"/>
          <w:szCs w:val="22"/>
        </w:rPr>
        <w:t xml:space="preserve">Regla de dependencia: la capa de Presentación depende de la de Dominio, y esta de la de Acceso a Datos — nunca al revés. Esto mantiene la lógica de negocio (la más valiosa y la más evaluada por el curso) independiente del framework web y del motor de base de datos elegidos.</w:t>
      </w:r>
    </w:p>
    <w:p>
      <w:pPr>
        <w:pStyle w:val="Heading1"/>
        <w:spacing w:after="200" w:before="360"/>
      </w:pPr>
      <w:r>
        <w:rPr>
          <w:b/>
          <w:bCs/>
          <w:color w:val="1E3A5C"/>
          <w:sz w:val="30"/>
          <w:szCs w:val="30"/>
        </w:rPr>
        <w:t xml:space="preserve">8. Decisiones de arquitectura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00"/>
        <w:gridCol w:w="4200"/>
        <w:gridCol w:w="4100"/>
      </w:tblGrid>
      <w:tr>
        <w:trPr>
          <w:tblHeader/>
        </w:trPr>
        <w:tc>
          <w:tcPr>
            <w:tcW w:type="dxa" w:w="900"/>
            <w:shd w:fill="E4E4E4" w:color="auto" w:val="clear"/>
            <w:tcMar>
              <w:top w:type="dxa" w:w="80"/>
              <w:left w:type="dxa" w:w="100"/>
              <w:bottom w:type="dxa" w:w="80"/>
              <w:right w:type="dxa" w:w="100"/>
            </w:tcMar>
            <w:vAlign w:val="center"/>
          </w:tcPr>
          <w:p>
            <w:pPr>
              <w:jc w:val="center"/>
            </w:pPr>
            <w:r>
              <w:rPr>
                <w:b/>
                <w:bCs/>
                <w:color w:val="000000"/>
                <w:sz w:val="20"/>
                <w:szCs w:val="20"/>
              </w:rPr>
              <w:t xml:space="preserve">ID</w:t>
            </w:r>
          </w:p>
        </w:tc>
        <w:tc>
          <w:tcPr>
            <w:tcW w:type="dxa" w:w="4200"/>
            <w:shd w:fill="E4E4E4" w:color="auto" w:val="clear"/>
            <w:tcMar>
              <w:top w:type="dxa" w:w="80"/>
              <w:left w:type="dxa" w:w="100"/>
              <w:bottom w:type="dxa" w:w="80"/>
              <w:right w:type="dxa" w:w="100"/>
            </w:tcMar>
            <w:vAlign w:val="center"/>
          </w:tcPr>
          <w:p>
            <w:pPr>
              <w:jc w:val="center"/>
            </w:pPr>
            <w:r>
              <w:rPr>
                <w:b/>
                <w:bCs/>
                <w:color w:val="000000"/>
                <w:sz w:val="20"/>
                <w:szCs w:val="20"/>
              </w:rPr>
              <w:t xml:space="preserve">Decisión</w:t>
            </w:r>
          </w:p>
        </w:tc>
        <w:tc>
          <w:tcPr>
            <w:tcW w:type="dxa" w:w="4100"/>
            <w:shd w:fill="E4E4E4" w:color="auto" w:val="clear"/>
            <w:tcMar>
              <w:top w:type="dxa" w:w="80"/>
              <w:left w:type="dxa" w:w="100"/>
              <w:bottom w:type="dxa" w:w="80"/>
              <w:right w:type="dxa" w:w="100"/>
            </w:tcMar>
            <w:vAlign w:val="center"/>
          </w:tcPr>
          <w:p>
            <w:pPr>
              <w:jc w:val="center"/>
            </w:pPr>
            <w:r>
              <w:rPr>
                <w:b/>
                <w:bCs/>
                <w:color w:val="000000"/>
                <w:sz w:val="20"/>
                <w:szCs w:val="20"/>
              </w:rPr>
              <w:t xml:space="preserve">Justificación</w:t>
            </w:r>
          </w:p>
        </w:tc>
      </w:tr>
      <w:tr>
        <w:trPr>
          <w:cantSplit/>
        </w:trPr>
        <w:tc>
          <w:tcPr>
            <w:tcW w:type="dxa" w:w="900"/>
            <w:tcMar>
              <w:top w:type="dxa" w:w="80"/>
              <w:left w:type="dxa" w:w="100"/>
              <w:bottom w:type="dxa" w:w="80"/>
              <w:right w:type="dxa" w:w="100"/>
            </w:tcMar>
            <w:vAlign w:val="center"/>
          </w:tcPr>
          <w:p>
            <w:pPr>
              <w:jc w:val="left"/>
            </w:pPr>
            <w:r>
              <w:rPr>
                <w:b w:val="false"/>
                <w:bCs w:val="false"/>
                <w:color w:val="000000"/>
                <w:sz w:val="19"/>
                <w:szCs w:val="19"/>
              </w:rPr>
              <w:t xml:space="preserve">AD-01</w:t>
            </w:r>
          </w:p>
        </w:tc>
        <w:tc>
          <w:tcPr>
            <w:tcW w:type="dxa" w:w="4200"/>
            <w:tcMar>
              <w:top w:type="dxa" w:w="80"/>
              <w:left w:type="dxa" w:w="100"/>
              <w:bottom w:type="dxa" w:w="80"/>
              <w:right w:type="dxa" w:w="100"/>
            </w:tcMar>
            <w:vAlign w:val="center"/>
          </w:tcPr>
          <w:p>
            <w:pPr>
              <w:jc w:val="left"/>
            </w:pPr>
            <w:r>
              <w:rPr>
                <w:b w:val="false"/>
                <w:bCs w:val="false"/>
                <w:color w:val="000000"/>
                <w:sz w:val="19"/>
                <w:szCs w:val="19"/>
              </w:rPr>
              <w:t xml:space="preserve">Monolito modular en capas, no microservicios.</w:t>
            </w:r>
          </w:p>
        </w:tc>
        <w:tc>
          <w:tcPr>
            <w:tcW w:type="dxa" w:w="4100"/>
            <w:tcMar>
              <w:top w:type="dxa" w:w="80"/>
              <w:left w:type="dxa" w:w="100"/>
              <w:bottom w:type="dxa" w:w="80"/>
              <w:right w:type="dxa" w:w="100"/>
            </w:tcMar>
            <w:vAlign w:val="center"/>
          </w:tcPr>
          <w:p>
            <w:pPr>
              <w:jc w:val="left"/>
            </w:pPr>
            <w:r>
              <w:rPr>
                <w:b w:val="false"/>
                <w:bCs w:val="false"/>
                <w:color w:val="000000"/>
                <w:sz w:val="19"/>
                <w:szCs w:val="19"/>
              </w:rPr>
              <w:t xml:space="preserve">Ver sección 4.1: equipo pequeño, alcance de un semestre, despliegue en equipos de laboratorio sin infraestructura adicional.</w:t>
            </w:r>
          </w:p>
        </w:tc>
      </w:tr>
      <w:tr>
        <w:trPr>
          <w:cantSplit/>
        </w:trPr>
        <w:tc>
          <w:tcPr>
            <w:tcW w:type="dxa" w:w="900"/>
            <w:tcMar>
              <w:top w:type="dxa" w:w="80"/>
              <w:left w:type="dxa" w:w="100"/>
              <w:bottom w:type="dxa" w:w="80"/>
              <w:right w:type="dxa" w:w="100"/>
            </w:tcMar>
            <w:vAlign w:val="center"/>
          </w:tcPr>
          <w:p>
            <w:pPr>
              <w:jc w:val="left"/>
            </w:pPr>
            <w:r>
              <w:rPr>
                <w:b w:val="false"/>
                <w:bCs w:val="false"/>
                <w:color w:val="000000"/>
                <w:sz w:val="19"/>
                <w:szCs w:val="19"/>
              </w:rPr>
              <w:t xml:space="preserve">AD-02</w:t>
            </w:r>
          </w:p>
        </w:tc>
        <w:tc>
          <w:tcPr>
            <w:tcW w:type="dxa" w:w="4200"/>
            <w:tcMar>
              <w:top w:type="dxa" w:w="80"/>
              <w:left w:type="dxa" w:w="100"/>
              <w:bottom w:type="dxa" w:w="80"/>
              <w:right w:type="dxa" w:w="100"/>
            </w:tcMar>
            <w:vAlign w:val="center"/>
          </w:tcPr>
          <w:p>
            <w:pPr>
              <w:jc w:val="left"/>
            </w:pPr>
            <w:r>
              <w:rPr>
                <w:b w:val="false"/>
                <w:bCs w:val="false"/>
                <w:color w:val="000000"/>
                <w:sz w:val="19"/>
                <w:szCs w:val="19"/>
              </w:rPr>
              <w:t xml:space="preserve">Persistencia relacional en PostgreSQL.</w:t>
            </w:r>
          </w:p>
        </w:tc>
        <w:tc>
          <w:tcPr>
            <w:tcW w:type="dxa" w:w="4100"/>
            <w:tcMar>
              <w:top w:type="dxa" w:w="80"/>
              <w:left w:type="dxa" w:w="100"/>
              <w:bottom w:type="dxa" w:w="80"/>
              <w:right w:type="dxa" w:w="100"/>
            </w:tcMar>
            <w:vAlign w:val="center"/>
          </w:tcPr>
          <w:p>
            <w:pPr>
              <w:jc w:val="left"/>
            </w:pPr>
            <w:r>
              <w:rPr>
                <w:b w:val="false"/>
                <w:bCs w:val="false"/>
                <w:color w:val="000000"/>
                <w:sz w:val="19"/>
                <w:szCs w:val="19"/>
              </w:rPr>
              <w:t xml:space="preserve">El dominio es fuertemente transaccional y relacional (pedidos, inventario, rutas); ver 62.dis.base.datos.postgresql.v01.</w:t>
            </w:r>
          </w:p>
        </w:tc>
      </w:tr>
      <w:tr>
        <w:trPr>
          <w:cantSplit/>
        </w:trPr>
        <w:tc>
          <w:tcPr>
            <w:tcW w:type="dxa" w:w="900"/>
            <w:tcMar>
              <w:top w:type="dxa" w:w="80"/>
              <w:left w:type="dxa" w:w="100"/>
              <w:bottom w:type="dxa" w:w="80"/>
              <w:right w:type="dxa" w:w="100"/>
            </w:tcMar>
            <w:vAlign w:val="center"/>
          </w:tcPr>
          <w:p>
            <w:pPr>
              <w:jc w:val="left"/>
            </w:pPr>
            <w:r>
              <w:rPr>
                <w:b w:val="false"/>
                <w:bCs w:val="false"/>
                <w:color w:val="000000"/>
                <w:sz w:val="19"/>
                <w:szCs w:val="19"/>
              </w:rPr>
              <w:t xml:space="preserve">AD-03</w:t>
            </w:r>
          </w:p>
        </w:tc>
        <w:tc>
          <w:tcPr>
            <w:tcW w:type="dxa" w:w="4200"/>
            <w:tcMar>
              <w:top w:type="dxa" w:w="80"/>
              <w:left w:type="dxa" w:w="100"/>
              <w:bottom w:type="dxa" w:w="80"/>
              <w:right w:type="dxa" w:w="100"/>
            </w:tcMar>
            <w:vAlign w:val="center"/>
          </w:tcPr>
          <w:p>
            <w:pPr>
              <w:jc w:val="left"/>
            </w:pPr>
            <w:r>
              <w:rPr>
                <w:b w:val="false"/>
                <w:bCs w:val="false"/>
                <w:color w:val="000000"/>
                <w:sz w:val="19"/>
                <w:szCs w:val="19"/>
              </w:rPr>
              <w:t xml:space="preserve">Comunicación en tiempo real Aplicación → Cliente Web mediante WebSocket, con un único componente publicador de estado dentro del módulo de Simulación, Monitoreo y Reportes.</w:t>
            </w:r>
          </w:p>
        </w:tc>
        <w:tc>
          <w:tcPr>
            <w:tcW w:type="dxa" w:w="4100"/>
            <w:tcMar>
              <w:top w:type="dxa" w:w="80"/>
              <w:left w:type="dxa" w:w="100"/>
              <w:bottom w:type="dxa" w:w="80"/>
              <w:right w:type="dxa" w:w="100"/>
            </w:tcMar>
            <w:vAlign w:val="center"/>
          </w:tcPr>
          <w:p>
            <w:pPr>
              <w:jc w:val="left"/>
            </w:pPr>
            <w:r>
              <w:rPr>
                <w:b w:val="false"/>
                <w:bCs w:val="false"/>
                <w:color w:val="000000"/>
                <w:sz w:val="19"/>
                <w:szCs w:val="19"/>
              </w:rPr>
              <w:t xml:space="preserve">Evita el polling (que no escala bien con múltiples dispositivos) y, al centralizar la publicación en un solo componente, evita que dos hilos escriban el estado compartido de forma descoordinada (riesgo RSG-09 del CGR: condiciones de carrera entre el motor de simulación y las peticiones de la interfaz).</w:t>
            </w:r>
          </w:p>
        </w:tc>
      </w:tr>
      <w:tr>
        <w:trPr>
          <w:cantSplit/>
        </w:trPr>
        <w:tc>
          <w:tcPr>
            <w:tcW w:type="dxa" w:w="900"/>
            <w:tcMar>
              <w:top w:type="dxa" w:w="80"/>
              <w:left w:type="dxa" w:w="100"/>
              <w:bottom w:type="dxa" w:w="80"/>
              <w:right w:type="dxa" w:w="100"/>
            </w:tcMar>
            <w:vAlign w:val="center"/>
          </w:tcPr>
          <w:p>
            <w:pPr>
              <w:jc w:val="left"/>
            </w:pPr>
            <w:r>
              <w:rPr>
                <w:b w:val="false"/>
                <w:bCs w:val="false"/>
                <w:color w:val="000000"/>
                <w:sz w:val="19"/>
                <w:szCs w:val="19"/>
              </w:rPr>
              <w:t xml:space="preserve">AD-04</w:t>
            </w:r>
          </w:p>
        </w:tc>
        <w:tc>
          <w:tcPr>
            <w:tcW w:type="dxa" w:w="4200"/>
            <w:tcMar>
              <w:top w:type="dxa" w:w="80"/>
              <w:left w:type="dxa" w:w="100"/>
              <w:bottom w:type="dxa" w:w="80"/>
              <w:right w:type="dxa" w:w="100"/>
            </w:tcMar>
            <w:vAlign w:val="center"/>
          </w:tcPr>
          <w:p>
            <w:pPr>
              <w:jc w:val="left"/>
            </w:pPr>
            <w:r>
              <w:rPr>
                <w:b w:val="false"/>
                <w:bCs w:val="false"/>
                <w:color w:val="000000"/>
                <w:sz w:val="19"/>
                <w:szCs w:val="19"/>
              </w:rPr>
              <w:t xml:space="preserve">AlgoritmoACO se ejecuta como componente interno del monolito, no como un servicio de optimización externo.</w:t>
            </w:r>
          </w:p>
        </w:tc>
        <w:tc>
          <w:tcPr>
            <w:tcW w:type="dxa" w:w="4100"/>
            <w:tcMar>
              <w:top w:type="dxa" w:w="80"/>
              <w:left w:type="dxa" w:w="100"/>
              <w:bottom w:type="dxa" w:w="80"/>
              <w:right w:type="dxa" w:w="100"/>
            </w:tcMar>
            <w:vAlign w:val="center"/>
          </w:tcPr>
          <w:p>
            <w:pPr>
              <w:jc w:val="left"/>
            </w:pPr>
            <w:r>
              <w:rPr>
                <w:b w:val="false"/>
                <w:bCs w:val="false"/>
                <w:color w:val="000000"/>
                <w:sz w:val="19"/>
                <w:szCs w:val="19"/>
              </w:rPr>
              <w:t xml:space="preserve">Minimiza la latencia de red dentro del presupuesto de 60 s por ciclo de planificación; un servicio externo añadiría una llamada de red innecesaria a un paso crítico en tiempo.</w:t>
            </w:r>
          </w:p>
        </w:tc>
      </w:tr>
      <w:tr>
        <w:trPr>
          <w:cantSplit/>
        </w:trPr>
        <w:tc>
          <w:tcPr>
            <w:tcW w:type="dxa" w:w="900"/>
            <w:tcMar>
              <w:top w:type="dxa" w:w="80"/>
              <w:left w:type="dxa" w:w="100"/>
              <w:bottom w:type="dxa" w:w="80"/>
              <w:right w:type="dxa" w:w="100"/>
            </w:tcMar>
            <w:vAlign w:val="center"/>
          </w:tcPr>
          <w:p>
            <w:pPr>
              <w:jc w:val="left"/>
            </w:pPr>
            <w:r>
              <w:rPr>
                <w:b w:val="false"/>
                <w:bCs w:val="false"/>
                <w:color w:val="000000"/>
                <w:sz w:val="19"/>
                <w:szCs w:val="19"/>
              </w:rPr>
              <w:t xml:space="preserve">AD-05</w:t>
            </w:r>
          </w:p>
        </w:tc>
        <w:tc>
          <w:tcPr>
            <w:tcW w:type="dxa" w:w="4200"/>
            <w:tcMar>
              <w:top w:type="dxa" w:w="80"/>
              <w:left w:type="dxa" w:w="100"/>
              <w:bottom w:type="dxa" w:w="80"/>
              <w:right w:type="dxa" w:w="100"/>
            </w:tcMar>
            <w:vAlign w:val="center"/>
          </w:tcPr>
          <w:p>
            <w:pPr>
              <w:jc w:val="left"/>
            </w:pPr>
            <w:r>
              <w:rPr>
                <w:b w:val="false"/>
                <w:bCs w:val="false"/>
                <w:color w:val="000000"/>
                <w:sz w:val="19"/>
                <w:szCs w:val="19"/>
              </w:rPr>
              <w:t xml:space="preserve">Solo ACO se despliega en el componente de producción; la comparación con ALNS queda fuera de la Aplicación PaqRap.</w:t>
            </w:r>
          </w:p>
        </w:tc>
        <w:tc>
          <w:tcPr>
            <w:tcW w:type="dxa" w:w="4100"/>
            <w:tcMar>
              <w:top w:type="dxa" w:w="80"/>
              <w:left w:type="dxa" w:w="100"/>
              <w:bottom w:type="dxa" w:w="80"/>
              <w:right w:type="dxa" w:w="100"/>
            </w:tcMar>
            <w:vAlign w:val="center"/>
          </w:tcPr>
          <w:p>
            <w:pPr>
              <w:jc w:val="left"/>
            </w:pPr>
            <w:r>
              <w:rPr>
                <w:b w:val="false"/>
                <w:bCs w:val="false"/>
                <w:color w:val="000000"/>
                <w:sz w:val="19"/>
                <w:szCs w:val="19"/>
              </w:rPr>
              <w:t xml:space="preserve">La selección del algoritmo (ISA v02) ya está cerrada; mantener el código de ALNS dentro del monolito productivo agregaría complejidad y superficie de prueba sin aportar valor al usuario final (ver DC-14, 61.dis.diagrama.clases.v03).</w:t>
            </w:r>
          </w:p>
        </w:tc>
      </w:tr>
    </w:tbl>
    <w:p>
      <w:pPr>
        <w:pStyle w:val="Heading1"/>
        <w:spacing w:after="200" w:before="360"/>
      </w:pPr>
      <w:r>
        <w:rPr>
          <w:b/>
          <w:bCs/>
          <w:color w:val="1E3A5C"/>
          <w:sz w:val="30"/>
          <w:szCs w:val="30"/>
        </w:rPr>
        <w:t xml:space="preserve">9. Tácticas de atributos de calidad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3900"/>
        <w:gridCol w:w="2000"/>
      </w:tblGrid>
      <w:tr>
        <w:trPr>
          <w:tblHeader/>
        </w:trPr>
        <w:tc>
          <w:tcPr>
            <w:tcW w:type="dxa" w:w="700"/>
            <w:shd w:fill="E4E4E4" w:color="auto" w:val="clear"/>
            <w:tcMar>
              <w:top w:type="dxa" w:w="80"/>
              <w:left w:type="dxa" w:w="100"/>
              <w:bottom w:type="dxa" w:w="80"/>
              <w:right w:type="dxa" w:w="100"/>
            </w:tcMar>
            <w:vAlign w:val="center"/>
          </w:tcPr>
          <w:p>
            <w:pPr>
              <w:jc w:val="center"/>
            </w:pPr>
            <w:r>
              <w:rPr>
                <w:b/>
                <w:bCs/>
                <w:color w:val="000000"/>
                <w:sz w:val="20"/>
                <w:szCs w:val="20"/>
              </w:rPr>
              <w:t xml:space="preserve">ID</w:t>
            </w:r>
          </w:p>
        </w:tc>
        <w:tc>
          <w:tcPr>
            <w:tcW w:type="dxa" w:w="2600"/>
            <w:shd w:fill="E4E4E4" w:color="auto" w:val="clear"/>
            <w:tcMar>
              <w:top w:type="dxa" w:w="80"/>
              <w:left w:type="dxa" w:w="100"/>
              <w:bottom w:type="dxa" w:w="80"/>
              <w:right w:type="dxa" w:w="100"/>
            </w:tcMar>
            <w:vAlign w:val="center"/>
          </w:tcPr>
          <w:p>
            <w:pPr>
              <w:jc w:val="center"/>
            </w:pPr>
            <w:r>
              <w:rPr>
                <w:b/>
                <w:bCs/>
                <w:color w:val="000000"/>
                <w:sz w:val="20"/>
                <w:szCs w:val="20"/>
              </w:rPr>
              <w:t xml:space="preserve">Atributo de calidad / NFR</w:t>
            </w:r>
          </w:p>
        </w:tc>
        <w:tc>
          <w:tcPr>
            <w:tcW w:type="dxa" w:w="3900"/>
            <w:shd w:fill="E4E4E4" w:color="auto" w:val="clear"/>
            <w:tcMar>
              <w:top w:type="dxa" w:w="80"/>
              <w:left w:type="dxa" w:w="100"/>
              <w:bottom w:type="dxa" w:w="80"/>
              <w:right w:type="dxa" w:w="100"/>
            </w:tcMar>
            <w:vAlign w:val="center"/>
          </w:tcPr>
          <w:p>
            <w:pPr>
              <w:jc w:val="center"/>
            </w:pPr>
            <w:r>
              <w:rPr>
                <w:b/>
                <w:bCs/>
                <w:color w:val="000000"/>
                <w:sz w:val="20"/>
                <w:szCs w:val="20"/>
              </w:rPr>
              <w:t xml:space="preserve">Táctica arquitectónica</w:t>
            </w:r>
          </w:p>
        </w:tc>
        <w:tc>
          <w:tcPr>
            <w:tcW w:type="dxa" w:w="2000"/>
            <w:shd w:fill="E4E4E4" w:color="auto" w:val="clear"/>
            <w:tcMar>
              <w:top w:type="dxa" w:w="80"/>
              <w:left w:type="dxa" w:w="100"/>
              <w:bottom w:type="dxa" w:w="80"/>
              <w:right w:type="dxa" w:w="100"/>
            </w:tcMar>
            <w:vAlign w:val="center"/>
          </w:tcPr>
          <w:p>
            <w:pPr>
              <w:jc w:val="center"/>
            </w:pPr>
            <w:r>
              <w:rPr>
                <w:b/>
                <w:bCs/>
                <w:color w:val="000000"/>
                <w:sz w:val="20"/>
                <w:szCs w:val="20"/>
              </w:rPr>
              <w:t xml:space="preserve">Componente responsable</w:t>
            </w:r>
          </w:p>
        </w:tc>
      </w:tr>
      <w:tr>
        <w:trPr>
          <w:cantSplit/>
        </w:trPr>
        <w:tc>
          <w:tcPr>
            <w:tcW w:type="dxa" w:w="700"/>
            <w:tcMar>
              <w:top w:type="dxa" w:w="80"/>
              <w:left w:type="dxa" w:w="100"/>
              <w:bottom w:type="dxa" w:w="80"/>
              <w:right w:type="dxa" w:w="100"/>
            </w:tcMar>
            <w:vAlign w:val="center"/>
          </w:tcPr>
          <w:p>
            <w:pPr>
              <w:jc w:val="left"/>
            </w:pPr>
            <w:r>
              <w:rPr>
                <w:b w:val="false"/>
                <w:bCs w:val="false"/>
                <w:color w:val="000000"/>
                <w:sz w:val="19"/>
                <w:szCs w:val="19"/>
              </w:rPr>
              <w:t xml:space="preserve">T-01</w:t>
            </w:r>
          </w:p>
        </w:tc>
        <w:tc>
          <w:tcPr>
            <w:tcW w:type="dxa" w:w="2600"/>
            <w:tcMar>
              <w:top w:type="dxa" w:w="80"/>
              <w:left w:type="dxa" w:w="100"/>
              <w:bottom w:type="dxa" w:w="80"/>
              <w:right w:type="dxa" w:w="100"/>
            </w:tcMar>
            <w:vAlign w:val="center"/>
          </w:tcPr>
          <w:p>
            <w:pPr>
              <w:jc w:val="left"/>
            </w:pPr>
            <w:r>
              <w:rPr>
                <w:b w:val="false"/>
                <w:bCs w:val="false"/>
                <w:color w:val="000000"/>
                <w:sz w:val="19"/>
                <w:szCs w:val="19"/>
              </w:rPr>
              <w:t xml:space="preserve">Rendimiento: ciclo de planificación ≤ 60 s.</w:t>
            </w:r>
          </w:p>
        </w:tc>
        <w:tc>
          <w:tcPr>
            <w:tcW w:type="dxa" w:w="3900"/>
            <w:tcMar>
              <w:top w:type="dxa" w:w="80"/>
              <w:left w:type="dxa" w:w="100"/>
              <w:bottom w:type="dxa" w:w="80"/>
              <w:right w:type="dxa" w:w="100"/>
            </w:tcMar>
            <w:vAlign w:val="center"/>
          </w:tcPr>
          <w:p>
            <w:pPr>
              <w:jc w:val="left"/>
            </w:pPr>
            <w:r>
              <w:rPr>
                <w:b w:val="false"/>
                <w:bCs w:val="false"/>
                <w:color w:val="000000"/>
                <w:sz w:val="19"/>
                <w:szCs w:val="19"/>
              </w:rPr>
              <w:t xml:space="preserve">Precomputar distancias de la retícula; acotar las iteraciones de ACO por presupuesto de tiempo en lugar de por convergencia; ejecución en memoria, sin E/S bloqueante durante el ciclo.</w:t>
            </w:r>
          </w:p>
        </w:tc>
        <w:tc>
          <w:tcPr>
            <w:tcW w:type="dxa" w:w="2000"/>
            <w:tcMar>
              <w:top w:type="dxa" w:w="80"/>
              <w:left w:type="dxa" w:w="100"/>
              <w:bottom w:type="dxa" w:w="80"/>
              <w:right w:type="dxa" w:w="100"/>
            </w:tcMar>
            <w:vAlign w:val="center"/>
          </w:tcPr>
          <w:p>
            <w:pPr>
              <w:jc w:val="left"/>
            </w:pPr>
            <w:r>
              <w:rPr>
                <w:b w:val="false"/>
                <w:bCs w:val="false"/>
                <w:color w:val="000000"/>
                <w:sz w:val="19"/>
                <w:szCs w:val="19"/>
              </w:rPr>
              <w:t xml:space="preserve">AlgoritmoACO</w:t>
            </w:r>
          </w:p>
        </w:tc>
      </w:tr>
      <w:tr>
        <w:trPr>
          <w:cantSplit/>
        </w:trPr>
        <w:tc>
          <w:tcPr>
            <w:tcW w:type="dxa" w:w="700"/>
            <w:tcMar>
              <w:top w:type="dxa" w:w="80"/>
              <w:left w:type="dxa" w:w="100"/>
              <w:bottom w:type="dxa" w:w="80"/>
              <w:right w:type="dxa" w:w="100"/>
            </w:tcMar>
            <w:vAlign w:val="center"/>
          </w:tcPr>
          <w:p>
            <w:pPr>
              <w:jc w:val="left"/>
            </w:pPr>
            <w:r>
              <w:rPr>
                <w:b w:val="false"/>
                <w:bCs w:val="false"/>
                <w:color w:val="000000"/>
                <w:sz w:val="19"/>
                <w:szCs w:val="19"/>
              </w:rPr>
              <w:t xml:space="preserve">T-02</w:t>
            </w:r>
          </w:p>
        </w:tc>
        <w:tc>
          <w:tcPr>
            <w:tcW w:type="dxa" w:w="2600"/>
            <w:tcMar>
              <w:top w:type="dxa" w:w="80"/>
              <w:left w:type="dxa" w:w="100"/>
              <w:bottom w:type="dxa" w:w="80"/>
              <w:right w:type="dxa" w:w="100"/>
            </w:tcMar>
            <w:vAlign w:val="center"/>
          </w:tcPr>
          <w:p>
            <w:pPr>
              <w:jc w:val="left"/>
            </w:pPr>
            <w:r>
              <w:rPr>
                <w:b w:val="false"/>
                <w:bCs w:val="false"/>
                <w:color w:val="000000"/>
                <w:sz w:val="19"/>
                <w:szCs w:val="19"/>
              </w:rPr>
              <w:t xml:space="preserve">Consistencia del estado mostrado en múltiples dispositivos.</w:t>
            </w:r>
          </w:p>
        </w:tc>
        <w:tc>
          <w:tcPr>
            <w:tcW w:type="dxa" w:w="3900"/>
            <w:tcMar>
              <w:top w:type="dxa" w:w="80"/>
              <w:left w:type="dxa" w:w="100"/>
              <w:bottom w:type="dxa" w:w="80"/>
              <w:right w:type="dxa" w:w="100"/>
            </w:tcMar>
            <w:vAlign w:val="center"/>
          </w:tcPr>
          <w:p>
            <w:pPr>
              <w:jc w:val="left"/>
            </w:pPr>
            <w:r>
              <w:rPr>
                <w:b w:val="false"/>
                <w:bCs w:val="false"/>
                <w:color w:val="000000"/>
                <w:sz w:val="19"/>
                <w:szCs w:val="19"/>
              </w:rPr>
              <w:t xml:space="preserve">Publicador único de estado (un solo componente escribe y difunde el estado del mapa); los clientes solo reciben, nunca escriben el estado compartido directamente.</w:t>
            </w:r>
          </w:p>
        </w:tc>
        <w:tc>
          <w:tcPr>
            <w:tcW w:type="dxa" w:w="2000"/>
            <w:tcMar>
              <w:top w:type="dxa" w:w="80"/>
              <w:left w:type="dxa" w:w="100"/>
              <w:bottom w:type="dxa" w:w="80"/>
              <w:right w:type="dxa" w:w="100"/>
            </w:tcMar>
            <w:vAlign w:val="center"/>
          </w:tcPr>
          <w:p>
            <w:pPr>
              <w:jc w:val="left"/>
            </w:pPr>
            <w:r>
              <w:rPr>
                <w:b w:val="false"/>
                <w:bCs w:val="false"/>
                <w:color w:val="000000"/>
                <w:sz w:val="19"/>
                <w:szCs w:val="19"/>
              </w:rPr>
              <w:t xml:space="preserve">Visualizador (dentro de Simulación, Monitoreo y Reportes)</w:t>
            </w:r>
          </w:p>
        </w:tc>
      </w:tr>
      <w:tr>
        <w:trPr>
          <w:cantSplit/>
        </w:trPr>
        <w:tc>
          <w:tcPr>
            <w:tcW w:type="dxa" w:w="700"/>
            <w:tcMar>
              <w:top w:type="dxa" w:w="80"/>
              <w:left w:type="dxa" w:w="100"/>
              <w:bottom w:type="dxa" w:w="80"/>
              <w:right w:type="dxa" w:w="100"/>
            </w:tcMar>
            <w:vAlign w:val="center"/>
          </w:tcPr>
          <w:p>
            <w:pPr>
              <w:jc w:val="left"/>
            </w:pPr>
            <w:r>
              <w:rPr>
                <w:b w:val="false"/>
                <w:bCs w:val="false"/>
                <w:color w:val="000000"/>
                <w:sz w:val="19"/>
                <w:szCs w:val="19"/>
              </w:rPr>
              <w:t xml:space="preserve">T-03</w:t>
            </w:r>
          </w:p>
        </w:tc>
        <w:tc>
          <w:tcPr>
            <w:tcW w:type="dxa" w:w="2600"/>
            <w:tcMar>
              <w:top w:type="dxa" w:w="80"/>
              <w:left w:type="dxa" w:w="100"/>
              <w:bottom w:type="dxa" w:w="80"/>
              <w:right w:type="dxa" w:w="100"/>
            </w:tcMar>
            <w:vAlign w:val="center"/>
          </w:tcPr>
          <w:p>
            <w:pPr>
              <w:jc w:val="left"/>
            </w:pPr>
            <w:r>
              <w:rPr>
                <w:b w:val="false"/>
                <w:bCs w:val="false"/>
                <w:color w:val="000000"/>
                <w:sz w:val="19"/>
                <w:szCs w:val="19"/>
              </w:rPr>
              <w:t xml:space="preserve">Rendimiento: simulación 5D en 30-60 min.</w:t>
            </w:r>
          </w:p>
        </w:tc>
        <w:tc>
          <w:tcPr>
            <w:tcW w:type="dxa" w:w="3900"/>
            <w:tcMar>
              <w:top w:type="dxa" w:w="80"/>
              <w:left w:type="dxa" w:w="100"/>
              <w:bottom w:type="dxa" w:w="80"/>
              <w:right w:type="dxa" w:w="100"/>
            </w:tcMar>
            <w:vAlign w:val="center"/>
          </w:tcPr>
          <w:p>
            <w:pPr>
              <w:jc w:val="left"/>
            </w:pPr>
            <w:r>
              <w:rPr>
                <w:b w:val="false"/>
                <w:bCs w:val="false"/>
                <w:color w:val="000000"/>
                <w:sz w:val="19"/>
                <w:szCs w:val="19"/>
              </w:rPr>
              <w:t xml:space="preserve">RelojSimulado se ejecuta desacoplado de la velocidad real y sin esperar interacción de usuario; el ciclo de planificación se reutiliza sin cambios entre "día a día" y "5D".</w:t>
            </w:r>
          </w:p>
        </w:tc>
        <w:tc>
          <w:tcPr>
            <w:tcW w:type="dxa" w:w="2000"/>
            <w:tcMar>
              <w:top w:type="dxa" w:w="80"/>
              <w:left w:type="dxa" w:w="100"/>
              <w:bottom w:type="dxa" w:w="80"/>
              <w:right w:type="dxa" w:w="100"/>
            </w:tcMar>
            <w:vAlign w:val="center"/>
          </w:tcPr>
          <w:p>
            <w:pPr>
              <w:jc w:val="left"/>
            </w:pPr>
            <w:r>
              <w:rPr>
                <w:b w:val="false"/>
                <w:bCs w:val="false"/>
                <w:color w:val="000000"/>
                <w:sz w:val="19"/>
                <w:szCs w:val="19"/>
              </w:rPr>
              <w:t xml:space="preserve">MotorSimulacion</w:t>
            </w:r>
          </w:p>
        </w:tc>
      </w:tr>
      <w:tr>
        <w:trPr>
          <w:cantSplit/>
        </w:trPr>
        <w:tc>
          <w:tcPr>
            <w:tcW w:type="dxa" w:w="700"/>
            <w:tcMar>
              <w:top w:type="dxa" w:w="80"/>
              <w:left w:type="dxa" w:w="100"/>
              <w:bottom w:type="dxa" w:w="80"/>
              <w:right w:type="dxa" w:w="100"/>
            </w:tcMar>
            <w:vAlign w:val="center"/>
          </w:tcPr>
          <w:p>
            <w:pPr>
              <w:jc w:val="left"/>
            </w:pPr>
            <w:r>
              <w:rPr>
                <w:b w:val="false"/>
                <w:bCs w:val="false"/>
                <w:color w:val="000000"/>
                <w:sz w:val="19"/>
                <w:szCs w:val="19"/>
              </w:rPr>
              <w:t xml:space="preserve">T-04</w:t>
            </w:r>
          </w:p>
        </w:tc>
        <w:tc>
          <w:tcPr>
            <w:tcW w:type="dxa" w:w="2600"/>
            <w:tcMar>
              <w:top w:type="dxa" w:w="80"/>
              <w:left w:type="dxa" w:w="100"/>
              <w:bottom w:type="dxa" w:w="80"/>
              <w:right w:type="dxa" w:w="100"/>
            </w:tcMar>
            <w:vAlign w:val="center"/>
          </w:tcPr>
          <w:p>
            <w:pPr>
              <w:jc w:val="left"/>
            </w:pPr>
            <w:r>
              <w:rPr>
                <w:b w:val="false"/>
                <w:bCs w:val="false"/>
                <w:color w:val="000000"/>
                <w:sz w:val="19"/>
                <w:szCs w:val="19"/>
              </w:rPr>
              <w:t xml:space="preserve">Disponibilidad parcial ante fallas de un módulo.</w:t>
            </w:r>
          </w:p>
        </w:tc>
        <w:tc>
          <w:tcPr>
            <w:tcW w:type="dxa" w:w="3900"/>
            <w:tcMar>
              <w:top w:type="dxa" w:w="80"/>
              <w:left w:type="dxa" w:w="100"/>
              <w:bottom w:type="dxa" w:w="80"/>
              <w:right w:type="dxa" w:w="100"/>
            </w:tcMar>
            <w:vAlign w:val="center"/>
          </w:tcPr>
          <w:p>
            <w:pPr>
              <w:jc w:val="left"/>
            </w:pPr>
            <w:r>
              <w:rPr>
                <w:b w:val="false"/>
                <w:bCs w:val="false"/>
                <w:color w:val="000000"/>
                <w:sz w:val="19"/>
                <w:szCs w:val="19"/>
              </w:rPr>
              <w:t xml:space="preserve">Manejo de errores acotado por módulo (un fallo en Simulación no debe impedir registrar pedidos ni planificar rutas).</w:t>
            </w:r>
          </w:p>
        </w:tc>
        <w:tc>
          <w:tcPr>
            <w:tcW w:type="dxa" w:w="2000"/>
            <w:tcMar>
              <w:top w:type="dxa" w:w="80"/>
              <w:left w:type="dxa" w:w="100"/>
              <w:bottom w:type="dxa" w:w="80"/>
              <w:right w:type="dxa" w:w="100"/>
            </w:tcMar>
            <w:vAlign w:val="center"/>
          </w:tcPr>
          <w:p>
            <w:pPr>
              <w:jc w:val="left"/>
            </w:pPr>
            <w:r>
              <w:rPr>
                <w:b w:val="false"/>
                <w:bCs w:val="false"/>
                <w:color w:val="000000"/>
                <w:sz w:val="19"/>
                <w:szCs w:val="19"/>
              </w:rPr>
              <w:t xml:space="preserve">Todos los módulos de dominio</w:t>
            </w:r>
          </w:p>
        </w:tc>
      </w:tr>
      <w:tr>
        <w:trPr>
          <w:cantSplit/>
        </w:trPr>
        <w:tc>
          <w:tcPr>
            <w:tcW w:type="dxa" w:w="700"/>
            <w:tcMar>
              <w:top w:type="dxa" w:w="80"/>
              <w:left w:type="dxa" w:w="100"/>
              <w:bottom w:type="dxa" w:w="80"/>
              <w:right w:type="dxa" w:w="100"/>
            </w:tcMar>
            <w:vAlign w:val="center"/>
          </w:tcPr>
          <w:p>
            <w:pPr>
              <w:jc w:val="left"/>
            </w:pPr>
            <w:r>
              <w:rPr>
                <w:b w:val="false"/>
                <w:bCs w:val="false"/>
                <w:color w:val="000000"/>
                <w:sz w:val="19"/>
                <w:szCs w:val="19"/>
              </w:rPr>
              <w:t xml:space="preserve">T-05</w:t>
            </w:r>
          </w:p>
        </w:tc>
        <w:tc>
          <w:tcPr>
            <w:tcW w:type="dxa" w:w="2600"/>
            <w:tcMar>
              <w:top w:type="dxa" w:w="80"/>
              <w:left w:type="dxa" w:w="100"/>
              <w:bottom w:type="dxa" w:w="80"/>
              <w:right w:type="dxa" w:w="100"/>
            </w:tcMar>
            <w:vAlign w:val="center"/>
          </w:tcPr>
          <w:p>
            <w:pPr>
              <w:jc w:val="left"/>
            </w:pPr>
            <w:r>
              <w:rPr>
                <w:b w:val="false"/>
                <w:bCs w:val="false"/>
                <w:color w:val="000000"/>
                <w:sz w:val="19"/>
                <w:szCs w:val="19"/>
              </w:rPr>
              <w:t xml:space="preserve">Mantenibilidad.</w:t>
            </w:r>
          </w:p>
        </w:tc>
        <w:tc>
          <w:tcPr>
            <w:tcW w:type="dxa" w:w="3900"/>
            <w:tcMar>
              <w:top w:type="dxa" w:w="80"/>
              <w:left w:type="dxa" w:w="100"/>
              <w:bottom w:type="dxa" w:w="80"/>
              <w:right w:type="dxa" w:w="100"/>
            </w:tcMar>
            <w:vAlign w:val="center"/>
          </w:tcPr>
          <w:p>
            <w:pPr>
              <w:jc w:val="left"/>
            </w:pPr>
            <w:r>
              <w:rPr>
                <w:b w:val="false"/>
                <w:bCs w:val="false"/>
                <w:color w:val="000000"/>
                <w:sz w:val="19"/>
                <w:szCs w:val="19"/>
              </w:rPr>
              <w:t xml:space="preserve">Bajo acoplamiento entre los 6 módulos (comunicación a través de interfaces de aplicación, no acceso directo a las tablas de otro módulo).</w:t>
            </w:r>
          </w:p>
        </w:tc>
        <w:tc>
          <w:tcPr>
            <w:tcW w:type="dxa" w:w="2000"/>
            <w:tcMar>
              <w:top w:type="dxa" w:w="80"/>
              <w:left w:type="dxa" w:w="100"/>
              <w:bottom w:type="dxa" w:w="80"/>
              <w:right w:type="dxa" w:w="100"/>
            </w:tcMar>
            <w:vAlign w:val="center"/>
          </w:tcPr>
          <w:p>
            <w:pPr>
              <w:jc w:val="left"/>
            </w:pPr>
            <w:r>
              <w:rPr>
                <w:b w:val="false"/>
                <w:bCs w:val="false"/>
                <w:color w:val="000000"/>
                <w:sz w:val="19"/>
                <w:szCs w:val="19"/>
              </w:rPr>
              <w:t xml:space="preserve">Arquitectura interna (capas, sección 7)</w:t>
            </w:r>
          </w:p>
        </w:tc>
      </w:tr>
    </w:tbl>
    <w:p>
      <w:pPr>
        <w:pStyle w:val="Heading1"/>
        <w:spacing w:after="200" w:before="360"/>
      </w:pPr>
      <w:r>
        <w:rPr>
          <w:b/>
          <w:bCs/>
          <w:color w:val="1E3A5C"/>
          <w:sz w:val="30"/>
          <w:szCs w:val="30"/>
        </w:rPr>
        <w:t xml:space="preserve">10. Vista de despliegue</w:t>
      </w:r>
    </w:p>
    <w:p>
      <w:pPr>
        <w:spacing w:after="160"/>
        <w:jc w:val="both"/>
      </w:pPr>
      <w:r>
        <w:rPr>
          <w:sz w:val="22"/>
          <w:szCs w:val="22"/>
        </w:rPr>
        <w:t xml:space="preserve">La Aplicación PaqRap y la base de datos PostgreSQL corren en un mismo equipo del laboratorio de Ingeniería Informática (o en dos equipos de la misma red local, si se prefiere aislar la base de datos). Cada dispositivo desde el que se accede al Visualizador —cumpliendo el requisito R5 de acceso multi-dispositivo— es simplemente un navegador que abre una conexión HTTPS/WebSocket hacia esa única instancia de la aplicación; no se despliega ningún componente adicional en esos dispositivos.</w:t>
      </w:r>
    </w:p>
    <w:p>
      <w:pPr>
        <w:spacing w:after="160"/>
        <w:jc w:val="both"/>
      </w:pPr>
      <w:r>
        <w:rPr>
          <w:sz w:val="22"/>
          <w:szCs w:val="22"/>
        </w:rPr>
        <w:t xml:space="preserve">No se contempla balanceo de carga ni múltiples instancias de la Aplicación PaqRap: al ser un proyecto académico de un semestre, evaluado en un entorno de laboratorio controlado, la disponibilidad exigida no justifica esa complejidad adicional (ver AD-01).</w:t>
      </w:r>
    </w:p>
    <w:p>
      <w:pPr>
        <w:pStyle w:val="Heading1"/>
        <w:spacing w:after="200" w:before="360"/>
      </w:pPr>
      <w:r>
        <w:rPr>
          <w:b/>
          <w:bCs/>
          <w:color w:val="1E3A5C"/>
          <w:sz w:val="30"/>
          <w:szCs w:val="30"/>
        </w:rPr>
        <w:t xml:space="preserve">11. Trazabilidad con los requisitos de alto nivel</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100"/>
        <w:gridCol w:w="5300"/>
        <w:gridCol w:w="2900"/>
      </w:tblGrid>
      <w:tr>
        <w:trPr>
          <w:tblHeader/>
        </w:trPr>
        <w:tc>
          <w:tcPr>
            <w:tcW w:type="dxa" w:w="1100"/>
            <w:shd w:fill="E4E4E4" w:color="auto" w:val="clear"/>
            <w:tcMar>
              <w:top w:type="dxa" w:w="80"/>
              <w:left w:type="dxa" w:w="100"/>
              <w:bottom w:type="dxa" w:w="80"/>
              <w:right w:type="dxa" w:w="100"/>
            </w:tcMar>
            <w:vAlign w:val="center"/>
          </w:tcPr>
          <w:p>
            <w:pPr>
              <w:jc w:val="center"/>
            </w:pPr>
            <w:r>
              <w:rPr>
                <w:b/>
                <w:bCs/>
                <w:color w:val="000000"/>
                <w:sz w:val="20"/>
                <w:szCs w:val="20"/>
              </w:rPr>
              <w:t xml:space="preserve">Requisito</w:t>
            </w:r>
          </w:p>
        </w:tc>
        <w:tc>
          <w:tcPr>
            <w:tcW w:type="dxa" w:w="5300"/>
            <w:shd w:fill="E4E4E4" w:color="auto" w:val="clear"/>
            <w:tcMar>
              <w:top w:type="dxa" w:w="80"/>
              <w:left w:type="dxa" w:w="100"/>
              <w:bottom w:type="dxa" w:w="80"/>
              <w:right w:type="dxa" w:w="100"/>
            </w:tcMar>
            <w:vAlign w:val="center"/>
          </w:tcPr>
          <w:p>
            <w:pPr>
              <w:jc w:val="center"/>
            </w:pPr>
            <w:r>
              <w:rPr>
                <w:b/>
                <w:bCs/>
                <w:color w:val="000000"/>
                <w:sz w:val="20"/>
                <w:szCs w:val="20"/>
              </w:rPr>
              <w:t xml:space="preserve">Descripción</w:t>
            </w:r>
          </w:p>
        </w:tc>
        <w:tc>
          <w:tcPr>
            <w:tcW w:type="dxa" w:w="2900"/>
            <w:shd w:fill="E4E4E4" w:color="auto" w:val="clear"/>
            <w:tcMar>
              <w:top w:type="dxa" w:w="80"/>
              <w:left w:type="dxa" w:w="100"/>
              <w:bottom w:type="dxa" w:w="80"/>
              <w:right w:type="dxa" w:w="100"/>
            </w:tcMar>
            <w:vAlign w:val="center"/>
          </w:tcPr>
          <w:p>
            <w:pPr>
              <w:jc w:val="center"/>
            </w:pPr>
            <w:r>
              <w:rPr>
                <w:b/>
                <w:bCs/>
                <w:color w:val="000000"/>
                <w:sz w:val="20"/>
                <w:szCs w:val="20"/>
              </w:rPr>
              <w:t xml:space="preserve">Componente(s) responsable(s)</w:t>
            </w:r>
          </w:p>
        </w:tc>
      </w:tr>
      <w:tr>
        <w:trPr>
          <w:cantSplit/>
        </w:trPr>
        <w:tc>
          <w:tcPr>
            <w:tcW w:type="dxa" w:w="1100"/>
            <w:tcMar>
              <w:top w:type="dxa" w:w="80"/>
              <w:left w:type="dxa" w:w="100"/>
              <w:bottom w:type="dxa" w:w="80"/>
              <w:right w:type="dxa" w:w="100"/>
            </w:tcMar>
            <w:vAlign w:val="center"/>
          </w:tcPr>
          <w:p>
            <w:pPr>
              <w:jc w:val="left"/>
            </w:pPr>
            <w:r>
              <w:rPr>
                <w:b w:val="false"/>
                <w:bCs w:val="false"/>
                <w:color w:val="000000"/>
                <w:sz w:val="19"/>
                <w:szCs w:val="19"/>
              </w:rPr>
              <w:t xml:space="preserve">R1</w:t>
            </w:r>
          </w:p>
        </w:tc>
        <w:tc>
          <w:tcPr>
            <w:tcW w:type="dxa" w:w="5300"/>
            <w:tcMar>
              <w:top w:type="dxa" w:w="80"/>
              <w:left w:type="dxa" w:w="100"/>
              <w:bottom w:type="dxa" w:w="80"/>
              <w:right w:type="dxa" w:w="100"/>
            </w:tcMar>
            <w:vAlign w:val="center"/>
          </w:tcPr>
          <w:p>
            <w:pPr>
              <w:jc w:val="left"/>
            </w:pPr>
            <w:r>
              <w:rPr>
                <w:b w:val="false"/>
                <w:bCs w:val="false"/>
                <w:color w:val="000000"/>
                <w:sz w:val="19"/>
                <w:szCs w:val="19"/>
              </w:rPr>
              <w:t xml:space="preserve">Planificar y replanificar dinámicamente rutas de entrega.</w:t>
            </w:r>
          </w:p>
        </w:tc>
        <w:tc>
          <w:tcPr>
            <w:tcW w:type="dxa" w:w="2900"/>
            <w:tcMar>
              <w:top w:type="dxa" w:w="80"/>
              <w:left w:type="dxa" w:w="100"/>
              <w:bottom w:type="dxa" w:w="80"/>
              <w:right w:type="dxa" w:w="100"/>
            </w:tcMar>
            <w:vAlign w:val="center"/>
          </w:tcPr>
          <w:p>
            <w:pPr>
              <w:jc w:val="left"/>
            </w:pPr>
            <w:r>
              <w:rPr>
                <w:b w:val="false"/>
                <w:bCs w:val="false"/>
                <w:color w:val="000000"/>
                <w:sz w:val="19"/>
                <w:szCs w:val="19"/>
              </w:rPr>
              <w:t xml:space="preserve">Planificación de Rutas (Planificador + AlgoritmoACO)</w:t>
            </w:r>
          </w:p>
        </w:tc>
      </w:tr>
      <w:tr>
        <w:trPr>
          <w:cantSplit/>
        </w:trPr>
        <w:tc>
          <w:tcPr>
            <w:tcW w:type="dxa" w:w="1100"/>
            <w:tcMar>
              <w:top w:type="dxa" w:w="80"/>
              <w:left w:type="dxa" w:w="100"/>
              <w:bottom w:type="dxa" w:w="80"/>
              <w:right w:type="dxa" w:w="100"/>
            </w:tcMar>
            <w:vAlign w:val="center"/>
          </w:tcPr>
          <w:p>
            <w:pPr>
              <w:jc w:val="left"/>
            </w:pPr>
            <w:r>
              <w:rPr>
                <w:b w:val="false"/>
                <w:bCs w:val="false"/>
                <w:color w:val="000000"/>
                <w:sz w:val="19"/>
                <w:szCs w:val="19"/>
              </w:rPr>
              <w:t xml:space="preserve">R2</w:t>
            </w:r>
          </w:p>
        </w:tc>
        <w:tc>
          <w:tcPr>
            <w:tcW w:type="dxa" w:w="5300"/>
            <w:tcMar>
              <w:top w:type="dxa" w:w="80"/>
              <w:left w:type="dxa" w:w="100"/>
              <w:bottom w:type="dxa" w:w="80"/>
              <w:right w:type="dxa" w:w="100"/>
            </w:tcMar>
            <w:vAlign w:val="center"/>
          </w:tcPr>
          <w:p>
            <w:pPr>
              <w:jc w:val="left"/>
            </w:pPr>
            <w:r>
              <w:rPr>
                <w:b w:val="false"/>
                <w:bCs w:val="false"/>
                <w:color w:val="000000"/>
                <w:sz w:val="19"/>
                <w:szCs w:val="19"/>
              </w:rPr>
              <w:t xml:space="preserve">Administrar inventario del almacén central y los 2 intermedios.</w:t>
            </w:r>
          </w:p>
        </w:tc>
        <w:tc>
          <w:tcPr>
            <w:tcW w:type="dxa" w:w="2900"/>
            <w:tcMar>
              <w:top w:type="dxa" w:w="80"/>
              <w:left w:type="dxa" w:w="100"/>
              <w:bottom w:type="dxa" w:w="80"/>
              <w:right w:type="dxa" w:w="100"/>
            </w:tcMar>
            <w:vAlign w:val="center"/>
          </w:tcPr>
          <w:p>
            <w:pPr>
              <w:jc w:val="left"/>
            </w:pPr>
            <w:r>
              <w:rPr>
                <w:b w:val="false"/>
                <w:bCs w:val="false"/>
                <w:color w:val="000000"/>
                <w:sz w:val="19"/>
                <w:szCs w:val="19"/>
              </w:rPr>
              <w:t xml:space="preserve">Almacenes e Inventario</w:t>
            </w:r>
          </w:p>
        </w:tc>
      </w:tr>
      <w:tr>
        <w:trPr>
          <w:cantSplit/>
        </w:trPr>
        <w:tc>
          <w:tcPr>
            <w:tcW w:type="dxa" w:w="1100"/>
            <w:tcMar>
              <w:top w:type="dxa" w:w="80"/>
              <w:left w:type="dxa" w:w="100"/>
              <w:bottom w:type="dxa" w:w="80"/>
              <w:right w:type="dxa" w:w="100"/>
            </w:tcMar>
            <w:vAlign w:val="center"/>
          </w:tcPr>
          <w:p>
            <w:pPr>
              <w:jc w:val="left"/>
            </w:pPr>
            <w:r>
              <w:rPr>
                <w:b w:val="false"/>
                <w:bCs w:val="false"/>
                <w:color w:val="000000"/>
                <w:sz w:val="19"/>
                <w:szCs w:val="19"/>
              </w:rPr>
              <w:t xml:space="preserve">R3</w:t>
            </w:r>
          </w:p>
        </w:tc>
        <w:tc>
          <w:tcPr>
            <w:tcW w:type="dxa" w:w="5300"/>
            <w:tcMar>
              <w:top w:type="dxa" w:w="80"/>
              <w:left w:type="dxa" w:w="100"/>
              <w:bottom w:type="dxa" w:w="80"/>
              <w:right w:type="dxa" w:w="100"/>
            </w:tcMar>
            <w:vAlign w:val="center"/>
          </w:tcPr>
          <w:p>
            <w:pPr>
              <w:jc w:val="left"/>
            </w:pPr>
            <w:r>
              <w:rPr>
                <w:b w:val="false"/>
                <w:bCs w:val="false"/>
                <w:color w:val="000000"/>
                <w:sz w:val="19"/>
                <w:szCs w:val="19"/>
              </w:rPr>
              <w:t xml:space="preserve">Registrar pedidos por cliente.</w:t>
            </w:r>
          </w:p>
        </w:tc>
        <w:tc>
          <w:tcPr>
            <w:tcW w:type="dxa" w:w="2900"/>
            <w:tcMar>
              <w:top w:type="dxa" w:w="80"/>
              <w:left w:type="dxa" w:w="100"/>
              <w:bottom w:type="dxa" w:w="80"/>
              <w:right w:type="dxa" w:w="100"/>
            </w:tcMar>
            <w:vAlign w:val="center"/>
          </w:tcPr>
          <w:p>
            <w:pPr>
              <w:jc w:val="left"/>
            </w:pPr>
            <w:r>
              <w:rPr>
                <w:b w:val="false"/>
                <w:bCs w:val="false"/>
                <w:color w:val="000000"/>
                <w:sz w:val="19"/>
                <w:szCs w:val="19"/>
              </w:rPr>
              <w:t xml:space="preserve">Gestión de Pedidos</w:t>
            </w:r>
          </w:p>
        </w:tc>
      </w:tr>
      <w:tr>
        <w:trPr>
          <w:cantSplit/>
        </w:trPr>
        <w:tc>
          <w:tcPr>
            <w:tcW w:type="dxa" w:w="1100"/>
            <w:tcMar>
              <w:top w:type="dxa" w:w="80"/>
              <w:left w:type="dxa" w:w="100"/>
              <w:bottom w:type="dxa" w:w="80"/>
              <w:right w:type="dxa" w:w="100"/>
            </w:tcMar>
            <w:vAlign w:val="center"/>
          </w:tcPr>
          <w:p>
            <w:pPr>
              <w:jc w:val="left"/>
            </w:pPr>
            <w:r>
              <w:rPr>
                <w:b w:val="false"/>
                <w:bCs w:val="false"/>
                <w:color w:val="000000"/>
                <w:sz w:val="19"/>
                <w:szCs w:val="19"/>
              </w:rPr>
              <w:t xml:space="preserve">R4</w:t>
            </w:r>
          </w:p>
        </w:tc>
        <w:tc>
          <w:tcPr>
            <w:tcW w:type="dxa" w:w="5300"/>
            <w:tcMar>
              <w:top w:type="dxa" w:w="80"/>
              <w:left w:type="dxa" w:w="100"/>
              <w:bottom w:type="dxa" w:w="80"/>
              <w:right w:type="dxa" w:w="100"/>
            </w:tcMar>
            <w:vAlign w:val="center"/>
          </w:tcPr>
          <w:p>
            <w:pPr>
              <w:jc w:val="left"/>
            </w:pPr>
            <w:r>
              <w:rPr>
                <w:b w:val="false"/>
                <w:bCs w:val="false"/>
                <w:color w:val="000000"/>
                <w:sz w:val="19"/>
                <w:szCs w:val="19"/>
              </w:rPr>
              <w:t xml:space="preserve">Monitoreo y actualización de la flota.</w:t>
            </w:r>
          </w:p>
        </w:tc>
        <w:tc>
          <w:tcPr>
            <w:tcW w:type="dxa" w:w="2900"/>
            <w:tcMar>
              <w:top w:type="dxa" w:w="80"/>
              <w:left w:type="dxa" w:w="100"/>
              <w:bottom w:type="dxa" w:w="80"/>
              <w:right w:type="dxa" w:w="100"/>
            </w:tcMar>
            <w:vAlign w:val="center"/>
          </w:tcPr>
          <w:p>
            <w:pPr>
              <w:jc w:val="left"/>
            </w:pPr>
            <w:r>
              <w:rPr>
                <w:b w:val="false"/>
                <w:bCs w:val="false"/>
                <w:color w:val="000000"/>
                <w:sz w:val="19"/>
                <w:szCs w:val="19"/>
              </w:rPr>
              <w:t xml:space="preserve">Gestión de Flota</w:t>
            </w:r>
          </w:p>
        </w:tc>
      </w:tr>
      <w:tr>
        <w:trPr>
          <w:cantSplit/>
        </w:trPr>
        <w:tc>
          <w:tcPr>
            <w:tcW w:type="dxa" w:w="1100"/>
            <w:tcMar>
              <w:top w:type="dxa" w:w="80"/>
              <w:left w:type="dxa" w:w="100"/>
              <w:bottom w:type="dxa" w:w="80"/>
              <w:right w:type="dxa" w:w="100"/>
            </w:tcMar>
            <w:vAlign w:val="center"/>
          </w:tcPr>
          <w:p>
            <w:pPr>
              <w:jc w:val="left"/>
            </w:pPr>
            <w:r>
              <w:rPr>
                <w:b w:val="false"/>
                <w:bCs w:val="false"/>
                <w:color w:val="000000"/>
                <w:sz w:val="19"/>
                <w:szCs w:val="19"/>
              </w:rPr>
              <w:t xml:space="preserve">R5</w:t>
            </w:r>
          </w:p>
        </w:tc>
        <w:tc>
          <w:tcPr>
            <w:tcW w:type="dxa" w:w="5300"/>
            <w:tcMar>
              <w:top w:type="dxa" w:w="80"/>
              <w:left w:type="dxa" w:w="100"/>
              <w:bottom w:type="dxa" w:w="80"/>
              <w:right w:type="dxa" w:w="100"/>
            </w:tcMar>
            <w:vAlign w:val="center"/>
          </w:tcPr>
          <w:p>
            <w:pPr>
              <w:jc w:val="left"/>
            </w:pPr>
            <w:r>
              <w:rPr>
                <w:b w:val="false"/>
                <w:bCs w:val="false"/>
                <w:color w:val="000000"/>
                <w:sz w:val="19"/>
                <w:szCs w:val="19"/>
              </w:rPr>
              <w:t xml:space="preserve">Mapa interactivo en tiempo real, multi-dispositivo, por zonas.</w:t>
            </w:r>
          </w:p>
        </w:tc>
        <w:tc>
          <w:tcPr>
            <w:tcW w:type="dxa" w:w="2900"/>
            <w:tcMar>
              <w:top w:type="dxa" w:w="80"/>
              <w:left w:type="dxa" w:w="100"/>
              <w:bottom w:type="dxa" w:w="80"/>
              <w:right w:type="dxa" w:w="100"/>
            </w:tcMar>
            <w:vAlign w:val="center"/>
          </w:tcPr>
          <w:p>
            <w:pPr>
              <w:jc w:val="left"/>
            </w:pPr>
            <w:r>
              <w:rPr>
                <w:b w:val="false"/>
                <w:bCs w:val="false"/>
                <w:color w:val="000000"/>
                <w:sz w:val="19"/>
                <w:szCs w:val="19"/>
              </w:rPr>
              <w:t xml:space="preserve">Simulación, Monitoreo y Reportes (Visualizador) + Cliente Web + AD-03/T-02</w:t>
            </w:r>
          </w:p>
        </w:tc>
      </w:tr>
      <w:tr>
        <w:trPr>
          <w:cantSplit/>
        </w:trPr>
        <w:tc>
          <w:tcPr>
            <w:tcW w:type="dxa" w:w="1100"/>
            <w:tcMar>
              <w:top w:type="dxa" w:w="80"/>
              <w:left w:type="dxa" w:w="100"/>
              <w:bottom w:type="dxa" w:w="80"/>
              <w:right w:type="dxa" w:w="100"/>
            </w:tcMar>
            <w:vAlign w:val="center"/>
          </w:tcPr>
          <w:p>
            <w:pPr>
              <w:jc w:val="left"/>
            </w:pPr>
            <w:r>
              <w:rPr>
                <w:b w:val="false"/>
                <w:bCs w:val="false"/>
                <w:color w:val="000000"/>
                <w:sz w:val="19"/>
                <w:szCs w:val="19"/>
              </w:rPr>
              <w:t xml:space="preserve">R6</w:t>
            </w:r>
          </w:p>
        </w:tc>
        <w:tc>
          <w:tcPr>
            <w:tcW w:type="dxa" w:w="5300"/>
            <w:tcMar>
              <w:top w:type="dxa" w:w="80"/>
              <w:left w:type="dxa" w:w="100"/>
              <w:bottom w:type="dxa" w:w="80"/>
              <w:right w:type="dxa" w:w="100"/>
            </w:tcMar>
            <w:vAlign w:val="center"/>
          </w:tcPr>
          <w:p>
            <w:pPr>
              <w:jc w:val="left"/>
            </w:pPr>
            <w:r>
              <w:rPr>
                <w:b w:val="false"/>
                <w:bCs w:val="false"/>
                <w:color w:val="000000"/>
                <w:sz w:val="19"/>
                <w:szCs w:val="19"/>
              </w:rPr>
              <w:t xml:space="preserve">Simular los 3 escenarios con KPIs configurables.</w:t>
            </w:r>
          </w:p>
        </w:tc>
        <w:tc>
          <w:tcPr>
            <w:tcW w:type="dxa" w:w="2900"/>
            <w:tcMar>
              <w:top w:type="dxa" w:w="80"/>
              <w:left w:type="dxa" w:w="100"/>
              <w:bottom w:type="dxa" w:w="80"/>
              <w:right w:type="dxa" w:w="100"/>
            </w:tcMar>
            <w:vAlign w:val="center"/>
          </w:tcPr>
          <w:p>
            <w:pPr>
              <w:jc w:val="left"/>
            </w:pPr>
            <w:r>
              <w:rPr>
                <w:b w:val="false"/>
                <w:bCs w:val="false"/>
                <w:color w:val="000000"/>
                <w:sz w:val="19"/>
                <w:szCs w:val="19"/>
              </w:rPr>
              <w:t xml:space="preserve">Simulación, Monitoreo y Reportes (MotorSimulacion)</w:t>
            </w:r>
          </w:p>
        </w:tc>
      </w:tr>
    </w:tbl>
    <w:p>
      <w:pPr>
        <w:pStyle w:val="Heading1"/>
        <w:spacing w:after="200" w:before="360"/>
      </w:pPr>
      <w:r>
        <w:rPr>
          <w:b/>
          <w:bCs/>
          <w:color w:val="1E3A5C"/>
          <w:sz w:val="30"/>
          <w:szCs w:val="30"/>
        </w:rPr>
        <w:t xml:space="preserve">12. Riesgo de arquitectura relacionado</w:t>
      </w:r>
    </w:p>
    <w:p>
      <w:pPr>
        <w:spacing w:after="160"/>
        <w:jc w:val="both"/>
      </w:pPr>
      <w:r>
        <w:rPr>
          <w:sz w:val="22"/>
          <w:szCs w:val="22"/>
        </w:rPr>
        <w:t xml:space="preserve">El riesgo RSG-09 del Control de Gestión de Riesgos del equipo señala que el motor de simulación y el hilo que atiende las peticiones de la interfaz desde múltiples dispositivos podrían acceder y modificar el mismo estado en memoria sin sincronización, provocando condiciones de carrera. La decisión AD-03 (publicador único de estado, sección 8) responde directamente a este riesgo: al concentrar en un solo componente la escritura del estado compartido, se elimina la necesidad de que múltiples hilos lo modifiquen de forma concurrente sin coordinación. Se recomienda validar esta decisión con una prueba de carga con al menos dos dispositivos conectados simultáneamente antes de la integración Planificador-Visualizador (semana 8 del cronograma del curso).</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Página </w:t>
    </w:r>
    <w:r>
      <w:rPr>
        <w:color w:val="888888"/>
        <w:sz w:val="18"/>
        <w:szCs w:val="18"/>
      </w:rPr>
      <w:fldChar w:fldCharType="begin"/>
      <w:instrText xml:space="preserve">PAGE</w:instrText>
      <w:fldChar w:fldCharType="separate"/>
      <w:fldChar w:fldCharType="end"/>
    </w:r>
    <w:r>
      <w:rPr>
        <w:color w:val="888888"/>
        <w:sz w:val="18"/>
        <w:szCs w:val="18"/>
      </w:rPr>
      <w:t xml:space="preserve"> de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PaqRap — Documento de Arquitectura de Software v0.1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12f773cd5b76a6020cd762640c1ff1a1de4d9fb.png"/><Relationship Id="rId10" Type="http://schemas.openxmlformats.org/officeDocument/2006/relationships/image" Target="media/05839aca1b61e2425024fdd50a787d0a90a1a69a.png"/><Relationship Id="rId11" Type="http://schemas.openxmlformats.org/officeDocument/2006/relationships/image" Target="media/cc9bb8528b886b0a96f040fe7364f0ce99f510f8.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2026-09-22T14:03:11.746Z</dcterms:created>
  <dcterms:modified xsi:type="dcterms:W3CDTF">2026-09-22T14:03:11.753Z</dcterms:modified>
</cp:coreProperties>
</file>

<file path=docProps/custom.xml><?xml version="1.0" encoding="utf-8"?>
<Properties xmlns="http://schemas.openxmlformats.org/officeDocument/2006/custom-properties" xmlns:vt="http://schemas.openxmlformats.org/officeDocument/2006/docPropsVTypes"/>
</file>