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Condiciones generales del servicio de Andes Fibra</w:t>
      </w:r>
    </w:p>
    <w:p>
      <w:r>
        <w:t>Versión 2026-10. Documento ficticio creado para el curso. Describe las condiciones que se aplican según el tipo de cliente. Las cifras son inventadas.</w:t>
      </w:r>
    </w:p>
    <w:p>
      <w:pPr>
        <w:pStyle w:val="Heading1"/>
      </w:pPr>
      <w:r>
        <w:t>Parte A · Clientes residenciales</w:t>
      </w:r>
    </w:p>
    <w:p>
      <w:pPr>
        <w:pStyle w:val="Heading2"/>
      </w:pPr>
      <w:r>
        <w:t>Tiempo de reparación</w:t>
      </w:r>
    </w:p>
    <w:p>
      <w:r>
        <w:t>Si una falla atribuible a Andes Fibra deja a un cliente residencial sin servicio, la empresa debe restablecer el servicio en un máximo de 48 horas desde el reporte. El técnico puede llegar antes, pero ese es el plazo máximo comprometido.</w:t>
      </w:r>
    </w:p>
    <w:p>
      <w:pPr>
        <w:pStyle w:val="Heading2"/>
      </w:pPr>
      <w:r>
        <w:t>Compensaciones</w:t>
      </w:r>
    </w:p>
    <w:p>
      <w:r>
        <w:t>El cliente residencial recibe un descuento equivalente a un día de su tarifa por cada día completo sin servicio, siempre que la caída supere las 6 horas continuas y sea atribuible a Andes Fibra.</w:t>
      </w:r>
    </w:p>
    <w:p>
      <w:pPr>
        <w:pStyle w:val="Heading2"/>
      </w:pPr>
      <w:r>
        <w:t>Penalización por cancelación anticipada</w:t>
      </w:r>
    </w:p>
    <w:p>
      <w:r>
        <w:t>El contrato residencial dura 12 meses. Cancelar antes genera una penalización de 15 dólares por cada mes restante. La tabla muestra algunos ejemplos.</w:t>
      </w:r>
    </w:p>
    <w:tbl>
      <w:tblPr>
        <w:tblStyle w:val="TableGrid"/>
        <w:tblW w:type="auto" w:w="0"/>
        <w:tblLook w:firstColumn="1" w:firstRow="1" w:lastColumn="0" w:lastRow="0" w:noHBand="0" w:noVBand="1" w:val="04A0"/>
      </w:tblPr>
      <w:tblGrid>
        <w:gridCol w:w="2880"/>
        <w:gridCol w:w="2880"/>
        <w:gridCol w:w="2880"/>
      </w:tblGrid>
      <w:tr>
        <w:tc>
          <w:tcPr>
            <w:tcW w:type="dxa" w:w="2880"/>
          </w:tcPr>
          <w:p>
            <w:r>
              <w:t>Mes de la cancelación</w:t>
            </w:r>
          </w:p>
        </w:tc>
        <w:tc>
          <w:tcPr>
            <w:tcW w:type="dxa" w:w="2880"/>
          </w:tcPr>
          <w:p>
            <w:r>
              <w:t>Meses restantes</w:t>
            </w:r>
          </w:p>
        </w:tc>
        <w:tc>
          <w:tcPr>
            <w:tcW w:type="dxa" w:w="2880"/>
          </w:tcPr>
          <w:p>
            <w:r>
              <w:t>Penalización (USD)</w:t>
            </w:r>
          </w:p>
        </w:tc>
      </w:tr>
      <w:tr>
        <w:tc>
          <w:tcPr>
            <w:tcW w:type="dxa" w:w="2880"/>
          </w:tcPr>
          <w:p>
            <w:r>
              <w:t>3</w:t>
            </w:r>
          </w:p>
        </w:tc>
        <w:tc>
          <w:tcPr>
            <w:tcW w:type="dxa" w:w="2880"/>
          </w:tcPr>
          <w:p>
            <w:r>
              <w:t>9</w:t>
            </w:r>
          </w:p>
        </w:tc>
        <w:tc>
          <w:tcPr>
            <w:tcW w:type="dxa" w:w="2880"/>
          </w:tcPr>
          <w:p>
            <w:r>
              <w:t>135</w:t>
            </w:r>
          </w:p>
        </w:tc>
      </w:tr>
      <w:tr>
        <w:tc>
          <w:tcPr>
            <w:tcW w:type="dxa" w:w="2880"/>
          </w:tcPr>
          <w:p>
            <w:r>
              <w:t>6</w:t>
            </w:r>
          </w:p>
        </w:tc>
        <w:tc>
          <w:tcPr>
            <w:tcW w:type="dxa" w:w="2880"/>
          </w:tcPr>
          <w:p>
            <w:r>
              <w:t>6</w:t>
            </w:r>
          </w:p>
        </w:tc>
        <w:tc>
          <w:tcPr>
            <w:tcW w:type="dxa" w:w="2880"/>
          </w:tcPr>
          <w:p>
            <w:r>
              <w:t>90</w:t>
            </w:r>
          </w:p>
        </w:tc>
      </w:tr>
      <w:tr>
        <w:tc>
          <w:tcPr>
            <w:tcW w:type="dxa" w:w="2880"/>
          </w:tcPr>
          <w:p>
            <w:r>
              <w:t>10</w:t>
            </w:r>
          </w:p>
        </w:tc>
        <w:tc>
          <w:tcPr>
            <w:tcW w:type="dxa" w:w="2880"/>
          </w:tcPr>
          <w:p>
            <w:r>
              <w:t>2</w:t>
            </w:r>
          </w:p>
        </w:tc>
        <w:tc>
          <w:tcPr>
            <w:tcW w:type="dxa" w:w="2880"/>
          </w:tcPr>
          <w:p>
            <w:r>
              <w:t>30</w:t>
            </w:r>
          </w:p>
        </w:tc>
      </w:tr>
    </w:tbl>
    <w:p>
      <w:pPr>
        <w:pStyle w:val="Heading2"/>
      </w:pPr>
      <w:r>
        <w:t>Uso aceptable</w:t>
      </w:r>
    </w:p>
    <w:p>
      <w:r>
        <w:t>El servicio residencial es para uso doméstico. Está prohibido revender el acceso a terceros o usarlo para operar un negocio con servidores públicos.</w:t>
      </w:r>
    </w:p>
    <w:p>
      <w:pPr>
        <w:pStyle w:val="Heading1"/>
      </w:pPr>
      <w:r>
        <w:t>Parte B · Clientes Negocio</w:t>
      </w:r>
    </w:p>
    <w:p>
      <w:pPr>
        <w:pStyle w:val="Heading2"/>
      </w:pPr>
      <w:r>
        <w:t>Tiempo de reparación</w:t>
      </w:r>
    </w:p>
    <w:p>
      <w:r>
        <w:t>Para los clientes del plan Negocio, Andes Fibra se compromete a una disponibilidad mensual del 99,5 % y a restablecer el servicio en un máximo de 4 horas desde el reporte, con técnico en sitio.</w:t>
      </w:r>
    </w:p>
    <w:p>
      <w:pPr>
        <w:pStyle w:val="Heading2"/>
      </w:pPr>
      <w:r>
        <w:t>Compensaciones</w:t>
      </w:r>
    </w:p>
    <w:p>
      <w:r>
        <w:t>Si la caída supera las 4 horas, el cliente Negocio recibe un crédito del 10 % de su mensualidad por cada hora completa adicional, hasta un máximo del 100 % de la mensualidad.</w:t>
      </w:r>
    </w:p>
    <w:p>
      <w:pPr>
        <w:pStyle w:val="Heading2"/>
      </w:pPr>
      <w:r>
        <w:t>Penalización por cancelación anticipada</w:t>
      </w:r>
    </w:p>
    <w:p>
      <w:r>
        <w:t>El contrato Negocio dura 24 meses. Cancelar antes genera una penalización de 25 dólares por cada mes restante.</w:t>
      </w:r>
    </w:p>
    <w:p>
      <w:pPr>
        <w:pStyle w:val="Heading2"/>
      </w:pPr>
      <w:r>
        <w:t>Uso aceptable</w:t>
      </w:r>
    </w:p>
    <w:p>
      <w:r>
        <w:t>El plan Negocio incluye una dirección IP fija pública y permite alojar servidores propios, siempre que se respeten las leyes y no se afecte a otros clientes.</w:t>
      </w:r>
    </w:p>
    <w:p>
      <w:pPr>
        <w:pStyle w:val="Heading1"/>
      </w:pPr>
      <w:r>
        <w:t>Protección de datos personales</w:t>
      </w:r>
    </w:p>
    <w:p>
      <w:r>
        <w:t>Andes Fibra conserva los datos de contacto y de facturación del cliente solo mientras dure el contrato y durante los 5 años posteriores exigidos por la ley fiscal imaginaria de este ejemplo.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