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</w:t>
      </w:r>
    </w:p>
    <w:p>
      <w:pPr>
        <w:pStyle w:val="Heading1"/>
      </w:pPr>
      <w:r>
        <w:t>Pass 4.5 Remediation Routing</w:t>
      </w:r>
    </w:p>
    <w:p/>
    <w:p>
      <w:r>
        <w:t>1. Re-route license findings:</w:t>
      </w:r>
    </w:p>
    <w:p>
      <w:r>
        <w:t>```powershell</w:t>
      </w:r>
    </w:p>
    <w:p>
      <w:r>
        <w:t>.\scripts\Reroute-LicenseCompliance.ps1</w:t>
      </w:r>
    </w:p>
    <w:p>
      <w:r>
        <w:t>```</w:t>
      </w:r>
    </w:p>
    <w:p/>
    <w:p>
      <w:r>
        <w:t>2. Preview tag protection:</w:t>
      </w:r>
    </w:p>
    <w:p>
      <w:r>
        <w:t>```powershell</w:t>
      </w:r>
    </w:p>
    <w:p>
      <w:r>
        <w:t>.\scripts\Set-NonoReleaseTagProtection.ps1 -WhatIf</w:t>
      </w:r>
    </w:p>
    <w:p>
      <w:r>
        <w:t>```</w:t>
      </w:r>
    </w:p>
    <w:p/>
    <w:p>
      <w:r>
        <w:t>3. Apply:</w:t>
      </w:r>
    </w:p>
    <w:p>
      <w:r>
        <w:t>```powershell</w:t>
      </w:r>
    </w:p>
    <w:p>
      <w:r>
        <w:t>.\scripts\Set-NonoReleaseTagProtection.ps1</w:t>
      </w:r>
    </w:p>
    <w:p>
      <w:r>
        <w:t>```</w:t>
      </w:r>
    </w:p>
    <w:p/>
    <w:p>
      <w:r>
        <w:t>4. Verify:</w:t>
      </w:r>
    </w:p>
    <w:p>
      <w:r>
        <w:t>```powershell</w:t>
      </w:r>
    </w:p>
    <w:p>
      <w:r>
        <w:t>.\scripts\Test-NonoReleaseTagProtection.ps1</w:t>
      </w:r>
    </w:p>
    <w:p>
      <w:r>
        <w:t>```</w:t>
      </w:r>
    </w:p>
    <w:p/>
    <w:p>
      <w:r>
        <w:t>EMS-CTRL-020 is intentionally moved to POLICY_REVIEW because a missing LICENSE file is not sufficient evidence of dependency-license noncompliance.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