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Methods Section Updates — Replacement Text for Sections 6.2, 6.3, and 6.5</w:t>
      </w:r>
    </w:p>
    <w:p>
      <w:pPr>
        <w:spacing w:after="240"/>
        <w:jc w:val="center"/>
      </w:pPr>
      <w:r>
        <w:rPr>
          <w:rFonts w:ascii="Calibri" w:cs="Calibri" w:eastAsia="Calibri" w:hAnsi="Calibri"/>
          <w:i/>
          <w:iCs/>
          <w:color w:val="595959"/>
          <w:sz w:val="24"/>
          <w:szCs w:val="24"/>
        </w:rPr>
        <w:t xml:space="preserve">Capstone Final Paper — IoT Traffic Behavior Fingerprinting and Rogue Traffic Detection</w:t>
      </w:r>
    </w:p>
    <w:p>
      <w:pPr>
        <w:pStyle w:val="Heading2"/>
        <w:spacing w:after="120" w:before="240"/>
      </w:pPr>
      <w:r>
        <w:rPr>
          <w:rFonts w:ascii="Calibri" w:cs="Calibri" w:eastAsia="Calibri" w:hAnsi="Calibri"/>
          <w:b/>
          <w:bCs/>
          <w:sz w:val="28"/>
          <w:szCs w:val="28"/>
        </w:rPr>
        <w:t xml:space="preserve">Context for Cristian</w:t>
      </w:r>
    </w:p>
    <w:p>
      <w:pPr>
        <w:spacing w:after="120" w:line="360"/>
      </w:pPr>
      <w:r>
        <w:rPr>
          <w:rFonts w:ascii="Calibri" w:cs="Calibri" w:eastAsia="Calibri" w:hAnsi="Calibri"/>
          <w:sz w:val="24"/>
          <w:szCs w:val="24"/>
        </w:rPr>
        <w:t xml:space="preserve">Hi Cristian — first off, the IEEE structure and Section 6 work look great. The threshold definition, evaluation metrics, and integrity constraints you locked in are exactly right and I am not touching any of those.</w:t>
      </w:r>
    </w:p>
    <w:p>
      <w:pPr>
        <w:spacing w:after="120" w:line="360"/>
      </w:pPr>
      <w:r>
        <w:rPr>
          <w:rFonts w:ascii="Calibri" w:cs="Calibri" w:eastAsia="Calibri" w:hAnsi="Calibri"/>
          <w:sz w:val="24"/>
          <w:szCs w:val="24"/>
        </w:rPr>
        <w:t xml:space="preserve">The reason these three subsections need replacement is that we hit a framing issue once we actually inspected the CICIoT2023 data. CICIoT2023 does not contain a device identifier column. The label field holds attack and benign traffic-class labels, not device labels. This means our paper claim, methodology, and evaluation should be reframed slightly: we are doing traffic behavior fingerprinting and rogue traffic detection rather than literal device fingerprinting. The central hypothesis (hybrid supervised plus unsupervised fusion outperforms either approach alone for detecting unknown traffic classes under open-set conditions) is unchanged. Most published CICIoT2023 papers actually do this same reframe — using attack class behavior as a proxy for device behavior — so it is well established and defensible.</w:t>
      </w:r>
    </w:p>
    <w:p>
      <w:pPr>
        <w:spacing w:after="120" w:line="360"/>
      </w:pPr>
      <w:r>
        <w:rPr>
          <w:rFonts w:ascii="Calibri" w:cs="Calibri" w:eastAsia="Calibri" w:hAnsi="Calibri"/>
          <w:sz w:val="24"/>
          <w:szCs w:val="24"/>
        </w:rPr>
        <w:t xml:space="preserve">Below are clean replacement texts for Sections 6.2, 6.3, and 6.5. Everything else in your Section 6 stays as written. Please paste these in directly. I will also propose minor wording updates to the Abstract and Section 1 to reflect the reframe, and send those separately so you can decide which language you prefer to keep.</w:t>
      </w:r>
    </w:p>
    <w:p>
      <w:pPr>
        <w:pStyle w:val="Heading1"/>
        <w:spacing w:after="160" w:before="320"/>
      </w:pPr>
      <w:r>
        <w:rPr>
          <w:rFonts w:ascii="Calibri" w:cs="Calibri" w:eastAsia="Calibri" w:hAnsi="Calibri"/>
          <w:b/>
          <w:bCs/>
          <w:sz w:val="32"/>
          <w:szCs w:val="32"/>
        </w:rPr>
        <w:t xml:space="preserve">Section 6.2 — Dataset Description (REPLACEMENT)</w:t>
      </w:r>
    </w:p>
    <w:p>
      <w:pPr>
        <w:spacing w:after="120" w:line="360"/>
      </w:pPr>
      <w:r>
        <w:rPr>
          <w:rFonts w:ascii="Calibri" w:cs="Calibri" w:eastAsia="Calibri" w:hAnsi="Calibri"/>
          <w:sz w:val="24"/>
          <w:szCs w:val="24"/>
        </w:rPr>
        <w:t xml:space="preserve">The framework was evaluated using the CICIoT2023 dataset, a large-scale IoT network traffic dataset developed by the Canadian Institute for Cybersecurity at the University of New Brunswick. The full dataset contains over 47 million labeled network flows captured from 105 heterogeneous IoT devices, with 33 distinct attack types across seven attack categories (DDoS, DoS, Reconnaissance, Web-based, Brute Force, Spoofing, and Mirai variants), in addition to benign traffic.</w:t>
      </w:r>
    </w:p>
    <w:p>
      <w:pPr>
        <w:spacing w:after="120" w:line="360"/>
      </w:pPr>
      <w:r>
        <w:rPr>
          <w:rFonts w:ascii="Calibri" w:cs="Calibri" w:eastAsia="Calibri" w:hAnsi="Calibri"/>
          <w:sz w:val="24"/>
          <w:szCs w:val="24"/>
        </w:rPr>
        <w:t xml:space="preserve">For this study, a representative subsample of 1,844,539 flows was drawn from three pre-merged CSV files (Merged01, Merged32, and Merged63) released by the dataset authors.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p>
    <w:p>
      <w:pPr>
        <w:spacing w:after="120" w:line="360"/>
      </w:pPr>
      <w:r>
        <w:rPr>
          <w:rFonts w:ascii="Calibri" w:cs="Calibri" w:eastAsia="Calibri" w:hAnsi="Calibri"/>
          <w:sz w:val="24"/>
          <w:szCs w:val="24"/>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IPv, LLC), and aggregate statistical descriptors (total bytes, minimum, maximum, average, standard deviation, total size, inter-arrival time, packet count, and variance). These features are derived entirely from flow metadata and do not require deep packet inspection, which makes the framework applicable to encrypted traffic environments.</w:t>
      </w:r>
    </w:p>
    <w:p>
      <w:pPr>
        <w:pStyle w:val="Heading3"/>
        <w:spacing w:after="100" w:before="200"/>
      </w:pPr>
      <w:r>
        <w:rPr>
          <w:rFonts w:ascii="Calibri" w:cs="Calibri" w:eastAsia="Calibri" w:hAnsi="Calibri"/>
          <w:b/>
          <w:bCs/>
          <w:sz w:val="26"/>
          <w:szCs w:val="26"/>
        </w:rPr>
        <w:t xml:space="preserve">Reframing from Device-Level to Traffic-Class Fingerprinting</w:t>
      </w:r>
    </w:p>
    <w:p>
      <w:pPr>
        <w:spacing w:after="120" w:line="360"/>
      </w:pPr>
      <w:r>
        <w:rPr>
          <w:rFonts w:ascii="Calibri" w:cs="Calibri" w:eastAsia="Calibri" w:hAnsi="Calibri"/>
          <w:sz w:val="24"/>
          <w:szCs w:val="24"/>
        </w:rPr>
        <w:t xml:space="preserve">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This is consistent with the established practice in the CICIoT2023 literature, where the dataset's strength lies in distinguishing benign and malicious traffic patterns rather than identifying individual devices. The hybrid supervised plus unsupervised approach proposed here remains directly transferable to device-level fingerprinting in datasets where per-device labels are available, and we identify this as a future work direction.</w:t>
      </w:r>
    </w:p>
    <w:p>
      <w:pPr>
        <w:pStyle w:val="Heading3"/>
        <w:spacing w:after="100" w:before="200"/>
      </w:pPr>
      <w:r>
        <w:rPr>
          <w:rFonts w:ascii="Calibri" w:cs="Calibri" w:eastAsia="Calibri" w:hAnsi="Calibri"/>
          <w:b/>
          <w:bCs/>
          <w:sz w:val="26"/>
          <w:szCs w:val="26"/>
        </w:rPr>
        <w:t xml:space="preserve">Class Distribution and Selection</w:t>
      </w:r>
    </w:p>
    <w:p>
      <w:pPr>
        <w:spacing w:after="120" w:line="360"/>
      </w:pPr>
      <w:r>
        <w:rPr>
          <w:rFonts w:ascii="Calibri" w:cs="Calibri" w:eastAsia="Calibri" w:hAnsi="Calibri"/>
          <w:sz w:val="24"/>
          <w:szCs w:val="24"/>
        </w:rPr>
        <w:t xml:space="preserve">The 1.84 million-flow subsample contains 34 distinct classes: one benign class and 33 attack classes. The class distribution is heavily imbalanced, with the ten most frequent classes (all DDoS and DoS variants) accounting for approximately 85 percent of the total flows. Benign traffic represents approximately 2.3 percent of the subsample (43,265 flows). A long tail of rare attack classes contains fewer than 250 flows each. This natural imbalance and the presence of rare classes make CICIoT2023 well-suited for evaluating open-set detection performance, since the rare classes provide a credible source of unknown traffic samples for Layer 4 evaluation.</w:t>
      </w:r>
    </w:p>
    <w:p>
      <w:pPr>
        <w:pStyle w:val="Heading1"/>
        <w:spacing w:after="160" w:before="320"/>
      </w:pPr>
      <w:r>
        <w:rPr>
          <w:rFonts w:ascii="Calibri" w:cs="Calibri" w:eastAsia="Calibri" w:hAnsi="Calibri"/>
          <w:b/>
          <w:bCs/>
          <w:sz w:val="32"/>
          <w:szCs w:val="32"/>
        </w:rPr>
        <w:t xml:space="preserve">Section 6.3 — Data Preprocessing (REPLACEMENT)</w:t>
      </w:r>
    </w:p>
    <w:p>
      <w:pPr>
        <w:spacing w:after="120" w:line="360"/>
      </w:pPr>
      <w:r>
        <w:rPr>
          <w:rFonts w:ascii="Calibri" w:cs="Calibri" w:eastAsia="Calibri" w:hAnsi="Calibri"/>
          <w:sz w:val="24"/>
          <w:szCs w:val="24"/>
        </w:rPr>
        <w:t xml:space="preserve">Data preprocessing was carried out in five stages to ensure model consistency, balanced class representation, and methodologically sound open-set evaluation.</w:t>
      </w:r>
    </w:p>
    <w:p>
      <w:pPr>
        <w:pStyle w:val="Heading3"/>
        <w:spacing w:after="100" w:before="200"/>
      </w:pPr>
      <w:r>
        <w:rPr>
          <w:rFonts w:ascii="Calibri" w:cs="Calibri" w:eastAsia="Calibri" w:hAnsi="Calibri"/>
          <w:b/>
          <w:bCs/>
          <w:sz w:val="26"/>
          <w:szCs w:val="26"/>
        </w:rPr>
        <w:t xml:space="preserve">Stage 1 — Data Loading and Inventory</w:t>
      </w:r>
    </w:p>
    <w:p>
      <w:pPr>
        <w:spacing w:after="120" w:line="360"/>
      </w:pPr>
      <w:r>
        <w:rPr>
          <w:rFonts w:ascii="Calibri" w:cs="Calibri" w:eastAsia="Calibri" w:hAnsi="Calibri"/>
          <w:sz w:val="24"/>
          <w:szCs w:val="24"/>
        </w:rPr>
        <w:t xml:space="preserve">The three pre-merged CSV files were loaded using pandas in Google Colab Pro and concatenated into a single dataframe of 1,844,539 rows and 40 columns. Column types were verified: 39 numerical features (30 float and 9 integer) and one categorical label column. The combined dataset occupied approximately 662 MB in memory.</w:t>
      </w:r>
    </w:p>
    <w:p>
      <w:pPr>
        <w:pStyle w:val="Heading3"/>
        <w:spacing w:after="100" w:before="200"/>
      </w:pPr>
      <w:r>
        <w:rPr>
          <w:rFonts w:ascii="Calibri" w:cs="Calibri" w:eastAsia="Calibri" w:hAnsi="Calibri"/>
          <w:b/>
          <w:bCs/>
          <w:sz w:val="26"/>
          <w:szCs w:val="26"/>
        </w:rPr>
        <w:t xml:space="preserve">Stage 2 — Missing Value Handling</w:t>
      </w:r>
    </w:p>
    <w:p>
      <w:pPr>
        <w:spacing w:after="120" w:line="360"/>
      </w:pPr>
      <w:r>
        <w:rPr>
          <w:rFonts w:ascii="Calibri" w:cs="Calibri" w:eastAsia="Calibri" w:hAnsi="Calibri"/>
          <w:sz w:val="24"/>
          <w:szCs w:val="24"/>
        </w:rPr>
        <w:t xml:space="preserve">An inventory of missing values revealed 60 NaN entries across the entire combined dataset, all confined to two statistical columns (Standard Deviation and Variance). These NaN values arise when a flow contains only a single packet, making variance and standard deviation mathematically undefined. The 60 affected rows were dropped from the dataset, representing less than 0.004 percent of the total and having negligible impact on the overall distribution.</w:t>
      </w:r>
    </w:p>
    <w:p>
      <w:pPr>
        <w:pStyle w:val="Heading3"/>
        <w:spacing w:after="100" w:before="200"/>
      </w:pPr>
      <w:r>
        <w:rPr>
          <w:rFonts w:ascii="Calibri" w:cs="Calibri" w:eastAsia="Calibri" w:hAnsi="Calibri"/>
          <w:b/>
          <w:bCs/>
          <w:sz w:val="26"/>
          <w:szCs w:val="26"/>
        </w:rPr>
        <w:t xml:space="preserve">Stage 3 — Class Selection and Per-Class Capping</w:t>
      </w:r>
    </w:p>
    <w:p>
      <w:pPr>
        <w:spacing w:after="120" w:line="360"/>
      </w:pPr>
      <w:r>
        <w:rPr>
          <w:rFonts w:ascii="Calibri" w:cs="Calibri" w:eastAsia="Calibri" w:hAnsi="Calibri"/>
          <w:sz w:val="24"/>
          <w:szCs w:val="24"/>
        </w:rPr>
        <w:t xml:space="preserve">To address the severe class imbalance and prevent the supervised models from memorizing the most frequent DDoS variants, a per-class cap of 30,000 flows was applied to all known classes. Classes with fewer than 30,000 flows were retained in their entirety. This capping reduced the known-class portion of the dataset from approximately 1.8 million flows to approximately 600,000 flows while preserving representation across all attack categories. Benign flows were retained in full (43,265 flows) to maximize the training data available to the Layer 4 Autoencoder, which trains exclusively on benign traffic.</w:t>
      </w:r>
    </w:p>
    <w:p>
      <w:pPr>
        <w:pStyle w:val="Heading3"/>
        <w:spacing w:after="100" w:before="200"/>
      </w:pPr>
      <w:r>
        <w:rPr>
          <w:rFonts w:ascii="Calibri" w:cs="Calibri" w:eastAsia="Calibri" w:hAnsi="Calibri"/>
          <w:b/>
          <w:bCs/>
          <w:sz w:val="26"/>
          <w:szCs w:val="26"/>
        </w:rPr>
        <w:t xml:space="preserve">Stage 4 — Open-Set Holdout Selection</w:t>
      </w:r>
    </w:p>
    <w:p>
      <w:pPr>
        <w:spacing w:after="120" w:line="360"/>
      </w:pPr>
      <w:r>
        <w:rPr>
          <w:rFonts w:ascii="Calibri" w:cs="Calibri" w:eastAsia="Calibri" w:hAnsi="Calibri"/>
          <w:sz w:val="24"/>
          <w:szCs w:val="24"/>
        </w:rPr>
        <w:t xml:space="preserve">Five rare attack classes were selected as the unknown holdout set, removed entirely from the training and validation data, and reserved exclusively for Layer 4 open-set evaluation. The selected classes are:</w:t>
      </w:r>
    </w:p>
    <w:p>
      <w:pPr>
        <w:pStyle w:val="ListParagraph"/>
        <w:numPr>
          <w:ilvl w:val="0"/>
          <w:numId w:val="2"/>
        </w:numPr>
        <w:spacing w:after="80" w:line="360"/>
      </w:pPr>
      <w:r>
        <w:rPr>
          <w:rFonts w:ascii="Calibri" w:cs="Calibri" w:eastAsia="Calibri" w:hAnsi="Calibri"/>
          <w:sz w:val="24"/>
          <w:szCs w:val="24"/>
        </w:rPr>
        <w:t xml:space="preserve">BACKDOOR_MALWARE (131 flows) — distinct malware-class behavior</w:t>
      </w:r>
    </w:p>
    <w:p>
      <w:pPr>
        <w:pStyle w:val="ListParagraph"/>
        <w:numPr>
          <w:ilvl w:val="0"/>
          <w:numId w:val="2"/>
        </w:numPr>
        <w:spacing w:after="80" w:line="360"/>
      </w:pPr>
      <w:r>
        <w:rPr>
          <w:rFonts w:ascii="Calibri" w:cs="Calibri" w:eastAsia="Calibri" w:hAnsi="Calibri"/>
          <w:sz w:val="24"/>
          <w:szCs w:val="24"/>
        </w:rPr>
        <w:t xml:space="preserve">BROWSERHIJACKING (248 flows) — web-layer attack with distinct traffic profile</w:t>
      </w:r>
    </w:p>
    <w:p>
      <w:pPr>
        <w:pStyle w:val="ListParagraph"/>
        <w:numPr>
          <w:ilvl w:val="0"/>
          <w:numId w:val="2"/>
        </w:numPr>
        <w:spacing w:after="80" w:line="360"/>
      </w:pPr>
      <w:r>
        <w:rPr>
          <w:rFonts w:ascii="Calibri" w:cs="Calibri" w:eastAsia="Calibri" w:hAnsi="Calibri"/>
          <w:sz w:val="24"/>
          <w:szCs w:val="24"/>
        </w:rPr>
        <w:t xml:space="preserve">XSS (177 flows) — web injection attack</w:t>
      </w:r>
    </w:p>
    <w:p>
      <w:pPr>
        <w:pStyle w:val="ListParagraph"/>
        <w:numPr>
          <w:ilvl w:val="0"/>
          <w:numId w:val="2"/>
        </w:numPr>
        <w:spacing w:after="80" w:line="360"/>
      </w:pPr>
      <w:r>
        <w:rPr>
          <w:rFonts w:ascii="Calibri" w:cs="Calibri" w:eastAsia="Calibri" w:hAnsi="Calibri"/>
          <w:sz w:val="24"/>
          <w:szCs w:val="24"/>
        </w:rPr>
        <w:t xml:space="preserve">RECON-PINGSWEEP (85 flows) — reconnaissance behavior distinct from main DDoS classes</w:t>
      </w:r>
    </w:p>
    <w:p>
      <w:pPr>
        <w:pStyle w:val="ListParagraph"/>
        <w:numPr>
          <w:ilvl w:val="0"/>
          <w:numId w:val="2"/>
        </w:numPr>
        <w:spacing w:after="80" w:line="360"/>
      </w:pPr>
      <w:r>
        <w:rPr>
          <w:rFonts w:ascii="Calibri" w:cs="Calibri" w:eastAsia="Calibri" w:hAnsi="Calibri"/>
          <w:sz w:val="24"/>
          <w:szCs w:val="24"/>
        </w:rPr>
        <w:t xml:space="preserve">UPLOADING_ATTACK (48 flows) — file upload exploitation</w:t>
      </w:r>
    </w:p>
    <w:p>
      <w:pPr>
        <w:spacing w:after="120" w:line="360"/>
      </w:pPr>
      <w:r>
        <w:rPr>
          <w:rFonts w:ascii="Calibri" w:cs="Calibri" w:eastAsia="Calibri" w:hAnsi="Calibri"/>
          <w:sz w:val="24"/>
          <w:szCs w:val="24"/>
        </w:rPr>
        <w:t xml:space="preserve">These five classes were selected for two reasons. First, each is rare enough that its removal does not materially affect the supervised training distribution. Second, together they span four distinct attack categories (malware, web injection, web hijacking, reconnaissance, and file upload), providing the diversity needed to evaluate open-set generalization rather than detection of a single anomalous pattern. The combined holdout contains 689 flows, which is sufficient to compute meaningful true positive and false positive rates while remaining a minority of the overall test set.</w:t>
      </w:r>
    </w:p>
    <w:p>
      <w:pPr>
        <w:pStyle w:val="Heading3"/>
        <w:spacing w:after="100" w:before="200"/>
      </w:pPr>
      <w:r>
        <w:rPr>
          <w:rFonts w:ascii="Calibri" w:cs="Calibri" w:eastAsia="Calibri" w:hAnsi="Calibri"/>
          <w:b/>
          <w:bCs/>
          <w:sz w:val="26"/>
          <w:szCs w:val="26"/>
        </w:rPr>
        <w:t xml:space="preserve">Stage 5 — Feature Normalization</w:t>
      </w:r>
    </w:p>
    <w:p>
      <w:pPr>
        <w:spacing w:after="120" w:line="360"/>
      </w:pPr>
      <w:r>
        <w:rPr>
          <w:rFonts w:ascii="Calibri" w:cs="Calibri" w:eastAsia="Calibri" w:hAnsi="Calibri"/>
          <w:sz w:val="24"/>
          <w:szCs w:val="24"/>
        </w:rPr>
        <w:t xml:space="preserve">All 39 numerical features were standardized using z-score normalization (zero mean, unit variance), with normalization parameters fit on the training set only and applied to the validation, test, and unknown holdout sets. This prevents information leakage from the test data into model training and ensures consistent feature scaling across all four data partitions.</w:t>
      </w:r>
    </w:p>
    <w:p>
      <w:pPr>
        <w:pStyle w:val="Heading1"/>
        <w:spacing w:after="160" w:before="320"/>
      </w:pPr>
      <w:r>
        <w:rPr>
          <w:rFonts w:ascii="Calibri" w:cs="Calibri" w:eastAsia="Calibri" w:hAnsi="Calibri"/>
          <w:b/>
          <w:bCs/>
          <w:sz w:val="32"/>
          <w:szCs w:val="32"/>
        </w:rPr>
        <w:t xml:space="preserve">Section 6.5 — Data Splitting Strategy (REPLACEMENT)</w:t>
      </w:r>
    </w:p>
    <w:p>
      <w:pPr>
        <w:spacing w:after="120" w:line="360"/>
      </w:pPr>
      <w:r>
        <w:rPr>
          <w:rFonts w:ascii="Calibri" w:cs="Calibri" w:eastAsia="Calibri" w:hAnsi="Calibri"/>
          <w:sz w:val="24"/>
          <w:szCs w:val="24"/>
        </w:rPr>
        <w:t xml:space="preserve">After preprocessing, the dataset was partitioned into four disjoint sets to support both supervised classification (Layers 3 and 5) and unsupervised open-set detection (Layers 4 and 5).</w:t>
      </w:r>
    </w:p>
    <w:p>
      <w:pPr>
        <w:pStyle w:val="Heading3"/>
        <w:spacing w:after="100" w:before="200"/>
      </w:pPr>
      <w:r>
        <w:rPr>
          <w:rFonts w:ascii="Calibri" w:cs="Calibri" w:eastAsia="Calibri" w:hAnsi="Calibri"/>
          <w:b/>
          <w:bCs/>
          <w:sz w:val="26"/>
          <w:szCs w:val="26"/>
        </w:rPr>
        <w:t xml:space="preserve">Partition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spacing w:line="280"/>
            </w:pPr>
            <w:r>
              <w:rPr>
                <w:rFonts w:ascii="Calibri" w:cs="Calibri" w:eastAsia="Calibri" w:hAnsi="Calibri"/>
                <w:b/>
                <w:bCs/>
                <w:color w:val="FFFFFF"/>
                <w:sz w:val="22"/>
                <w:szCs w:val="22"/>
              </w:rPr>
              <w:t xml:space="preserve">Partition</w:t>
            </w:r>
          </w:p>
        </w:tc>
        <w:tc>
          <w:tcPr>
            <w:tcW w:type="dxa" w:w="140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spacing w:line="280"/>
            </w:pPr>
            <w:r>
              <w:rPr>
                <w:rFonts w:ascii="Calibri" w:cs="Calibri" w:eastAsia="Calibri" w:hAnsi="Calibri"/>
                <w:b/>
                <w:bCs/>
                <w:color w:val="FFFFFF"/>
                <w:sz w:val="22"/>
                <w:szCs w:val="22"/>
              </w:rPr>
              <w:t xml:space="preserve">Proportion</w:t>
            </w:r>
          </w:p>
        </w:tc>
        <w:tc>
          <w:tcPr>
            <w:tcW w:type="dxa" w:w="576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spacing w:line="280"/>
            </w:pPr>
            <w:r>
              <w:rPr>
                <w:rFonts w:ascii="Calibri" w:cs="Calibri" w:eastAsia="Calibri" w:hAnsi="Calibri"/>
                <w:b/>
                <w:bCs/>
                <w:color w:val="FFFFFF"/>
                <w:sz w:val="22"/>
                <w:szCs w:val="22"/>
              </w:rPr>
              <w:t xml:space="preserve">Composition and Purpose</w:t>
            </w:r>
          </w:p>
        </w:tc>
      </w:tr>
      <w:tr>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b/>
                <w:bCs/>
                <w:color w:val="000000"/>
                <w:sz w:val="22"/>
                <w:szCs w:val="22"/>
              </w:rPr>
              <w:t xml:space="preserve">Training set</w:t>
            </w:r>
          </w:p>
        </w:tc>
        <w:tc>
          <w:tcPr>
            <w:tcW w:type="dxa" w:w="14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70%</w:t>
            </w:r>
          </w:p>
        </w:tc>
        <w:tc>
          <w:tcPr>
            <w:tcW w:type="dxa" w:w="576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Known classes (capped) plus benign. Used to train Layer 3 supervised models (Random Forest, XGBoost). The benign-only subset is used to train the Layer 4 Autoencoder.</w:t>
            </w:r>
          </w:p>
        </w:tc>
      </w:tr>
      <w:tr>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b/>
                <w:bCs/>
                <w:color w:val="000000"/>
                <w:sz w:val="22"/>
                <w:szCs w:val="22"/>
              </w:rPr>
              <w:t xml:space="preserve">Validation set</w:t>
            </w:r>
          </w:p>
        </w:tc>
        <w:tc>
          <w:tcPr>
            <w:tcW w:type="dxa" w:w="14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15%</w:t>
            </w:r>
          </w:p>
        </w:tc>
        <w:tc>
          <w:tcPr>
            <w:tcW w:type="dxa" w:w="576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Known classes plus benign. Used for Layer 3 hyperparameter tuning and for setting the Layer 4 Autoencoder reconstruction-error threshold (95th percentile of benign validation reconstruction errors).</w:t>
            </w:r>
          </w:p>
        </w:tc>
      </w:tr>
      <w:tr>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b/>
                <w:bCs/>
                <w:color w:val="000000"/>
                <w:sz w:val="22"/>
                <w:szCs w:val="22"/>
              </w:rPr>
              <w:t xml:space="preserve">Test set</w:t>
            </w:r>
          </w:p>
        </w:tc>
        <w:tc>
          <w:tcPr>
            <w:tcW w:type="dxa" w:w="14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15%</w:t>
            </w:r>
          </w:p>
        </w:tc>
        <w:tc>
          <w:tcPr>
            <w:tcW w:type="dxa" w:w="576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Known classes plus benign. Used for reporting all Layer 3 supervised classification metrics and Layer 5 fusion metrics on known traffic.</w:t>
            </w:r>
          </w:p>
        </w:tc>
      </w:tr>
      <w:tr>
        <w:tc>
          <w:tcPr>
            <w:tcW w:type="dxa" w:w="22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b/>
                <w:bCs/>
                <w:color w:val="000000"/>
                <w:sz w:val="22"/>
                <w:szCs w:val="22"/>
              </w:rPr>
              <w:t xml:space="preserve">Unknown holdout</w:t>
            </w:r>
          </w:p>
        </w:tc>
        <w:tc>
          <w:tcPr>
            <w:tcW w:type="dxa" w:w="140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100% of held-out classes</w:t>
            </w:r>
          </w:p>
        </w:tc>
        <w:tc>
          <w:tcPr>
            <w:tcW w:type="dxa" w:w="5760"/>
            <w:tcBorders>
              <w:top w:val="single" w:color="8FAADC" w:sz="4"/>
              <w:left w:val="single" w:color="8FAADC" w:sz="4"/>
              <w:bottom w:val="single" w:color="8FAADC" w:sz="4"/>
              <w:right w:val="single" w:color="8FAADC" w:sz="4"/>
            </w:tcBorders>
            <w:tcMar>
              <w:top w:type="dxa" w:w="80"/>
              <w:left w:type="dxa" w:w="120"/>
              <w:bottom w:type="dxa" w:w="80"/>
              <w:right w:type="dxa" w:w="120"/>
            </w:tcMar>
          </w:tcPr>
          <w:p>
            <w:pPr>
              <w:spacing w:line="280"/>
            </w:pPr>
            <w:r>
              <w:rPr>
                <w:rFonts w:ascii="Calibri" w:cs="Calibri" w:eastAsia="Calibri" w:hAnsi="Calibri"/>
                <w:color w:val="000000"/>
                <w:sz w:val="22"/>
                <w:szCs w:val="22"/>
              </w:rPr>
              <w:t xml:space="preserve">All 689 flows from the five excluded rare-attack classes (Section 6.3, Stage 4), combined with a stratified benign sample of similar size. Used exclusively for Layer 4 open-set TPR/FPR evaluation and Layer 5 fusion comparison under open-set conditions.</w:t>
            </w:r>
          </w:p>
        </w:tc>
      </w:tr>
    </w:tbl>
    <w:p>
      <w:pPr>
        <w:pStyle w:val="Heading3"/>
        <w:spacing w:after="100" w:before="200"/>
      </w:pPr>
      <w:r>
        <w:rPr>
          <w:rFonts w:ascii="Calibri" w:cs="Calibri" w:eastAsia="Calibri" w:hAnsi="Calibri"/>
          <w:b/>
          <w:bCs/>
          <w:sz w:val="26"/>
          <w:szCs w:val="26"/>
        </w:rPr>
        <w:t xml:space="preserve">Stratification and Reproducibility</w:t>
      </w:r>
    </w:p>
    <w:p>
      <w:pPr>
        <w:spacing w:after="120" w:line="360"/>
      </w:pPr>
      <w:r>
        <w:rPr>
          <w:rFonts w:ascii="Calibri" w:cs="Calibri" w:eastAsia="Calibri" w:hAnsi="Calibri"/>
          <w:sz w:val="24"/>
          <w:szCs w:val="24"/>
        </w:rPr>
        <w:t xml:space="preserve">The 70/15/15 split across training, validation, and test was performed using stratified random sampling on the class label, ensuring that each partition preserves the relative class distribution of the known-class portion of the dataset. A fixed random seed (42) was used throughout to guarantee reproducibility. The unknown holdout was constructed independently and is not part of the 70/15/15 split.</w:t>
      </w:r>
    </w:p>
    <w:p>
      <w:pPr>
        <w:pStyle w:val="Heading3"/>
        <w:spacing w:after="100" w:before="200"/>
      </w:pPr>
      <w:r>
        <w:rPr>
          <w:rFonts w:ascii="Calibri" w:cs="Calibri" w:eastAsia="Calibri" w:hAnsi="Calibri"/>
          <w:b/>
          <w:bCs/>
          <w:sz w:val="26"/>
          <w:szCs w:val="26"/>
        </w:rPr>
        <w:t xml:space="preserve">Development Sample for Notebook Iteration</w:t>
      </w:r>
    </w:p>
    <w:p>
      <w:pPr>
        <w:spacing w:after="120" w:line="360"/>
      </w:pPr>
      <w:r>
        <w:rPr>
          <w:rFonts w:ascii="Calibri" w:cs="Calibri" w:eastAsia="Calibri" w:hAnsi="Calibri"/>
          <w:sz w:val="24"/>
          <w:szCs w:val="24"/>
        </w:rPr>
        <w:t xml:space="preserve">An additional small partition (the development sample, 50,000 flows drawn via stratified sampling from the training set) was created to enable rapid notebook development on free Colab without consuming Colab Pro compute resources. The development sample is not used for any reported results — all metrics in Section 7 are computed on the full training, validation, test, and unknown holdout partitions.</w:t>
      </w:r>
    </w:p>
    <w:p>
      <w:pPr>
        <w:pStyle w:val="Heading3"/>
        <w:spacing w:after="100" w:before="200"/>
      </w:pPr>
      <w:r>
        <w:rPr>
          <w:rFonts w:ascii="Calibri" w:cs="Calibri" w:eastAsia="Calibri" w:hAnsi="Calibri"/>
          <w:b/>
          <w:bCs/>
          <w:sz w:val="26"/>
          <w:szCs w:val="26"/>
        </w:rPr>
        <w:t xml:space="preserve">Data Splitting Diagram</w:t>
      </w:r>
    </w:p>
    <w:p>
      <w:pPr>
        <w:spacing w:after="120" w:line="360"/>
      </w:pPr>
      <w:r>
        <w:rPr>
          <w:rFonts w:ascii="Calibri" w:cs="Calibri" w:eastAsia="Calibri" w:hAnsi="Calibri"/>
          <w:sz w:val="24"/>
          <w:szCs w:val="24"/>
        </w:rPr>
        <w:t xml:space="preserve">[Placeholder: Cristian, please insert a simple block diagram showing the flow from raw merged CSVs → cleaned 1.84M dataset → known/benign vs. unknown holdout split → 70/15/15 within known/benign. I will draft this diagram after Stage 3 of the cleaning notebook completes and the actual final row counts are confirmed.]</w:t>
      </w:r>
    </w:p>
    <w:p>
      <w:pPr>
        <w:pStyle w:val="Heading2"/>
        <w:spacing w:after="120" w:before="240"/>
      </w:pPr>
      <w:r>
        <w:rPr>
          <w:rFonts w:ascii="Calibri" w:cs="Calibri" w:eastAsia="Calibri" w:hAnsi="Calibri"/>
          <w:b/>
          <w:bCs/>
          <w:sz w:val="28"/>
          <w:szCs w:val="28"/>
        </w:rPr>
        <w:t xml:space="preserve">Notes on Integration</w:t>
      </w:r>
    </w:p>
    <w:p>
      <w:pPr>
        <w:pStyle w:val="ListParagraph"/>
        <w:numPr>
          <w:ilvl w:val="0"/>
          <w:numId w:val="2"/>
        </w:numPr>
        <w:spacing w:after="80" w:line="360"/>
      </w:pPr>
      <w:r>
        <w:rPr>
          <w:rFonts w:ascii="Calibri" w:cs="Calibri" w:eastAsia="Calibri" w:hAnsi="Calibri"/>
          <w:sz w:val="24"/>
          <w:szCs w:val="24"/>
        </w:rPr>
        <w:t xml:space="preserve">All numerical claims (1,844,539 rows, 60 NaNs, 43,265 benign, 689 unknown holdout, etc.) are taken from the actual Stage 1 and Stage 2 inventory output and are accurate as of the cleaning run completed on April 10. Final row counts after the 30K cap and the 70/15/15 split will be confirmed once Stage 3 of the cleaning notebook executes.</w:t>
      </w:r>
    </w:p>
    <w:p>
      <w:pPr>
        <w:pStyle w:val="ListParagraph"/>
        <w:numPr>
          <w:ilvl w:val="0"/>
          <w:numId w:val="2"/>
        </w:numPr>
        <w:spacing w:after="80" w:line="360"/>
      </w:pPr>
      <w:r>
        <w:rPr>
          <w:rFonts w:ascii="Calibri" w:cs="Calibri" w:eastAsia="Calibri" w:hAnsi="Calibri"/>
          <w:sz w:val="24"/>
          <w:szCs w:val="24"/>
        </w:rPr>
        <w:t xml:space="preserve">Section 6.2 should replace the existing 6.2 in full. Section 6.3 should replace the existing 6.3 in full. Section 6.5 should replace the existing 6.5 in full. All other Section 6 subsections (6.1, 6.4, 6.6, 6.7, 6.8) remain unchanged.</w:t>
      </w:r>
    </w:p>
    <w:p>
      <w:pPr>
        <w:pStyle w:val="ListParagraph"/>
        <w:numPr>
          <w:ilvl w:val="0"/>
          <w:numId w:val="2"/>
        </w:numPr>
        <w:spacing w:after="80" w:line="360"/>
      </w:pPr>
      <w:r>
        <w:rPr>
          <w:rFonts w:ascii="Calibri" w:cs="Calibri" w:eastAsia="Calibri" w:hAnsi="Calibri"/>
          <w:sz w:val="24"/>
          <w:szCs w:val="24"/>
        </w:rPr>
        <w:t xml:space="preserve">After Stage 3 finishes, I will send confirmed row counts for each partition so you can update the figures in Section 6.5 if anything has shifted.</w:t>
      </w:r>
    </w:p>
    <w:p>
      <w:pPr>
        <w:pStyle w:val="ListParagraph"/>
        <w:numPr>
          <w:ilvl w:val="0"/>
          <w:numId w:val="2"/>
        </w:numPr>
        <w:spacing w:after="80" w:line="360"/>
      </w:pPr>
      <w:r>
        <w:rPr>
          <w:rFonts w:ascii="Calibri" w:cs="Calibri" w:eastAsia="Calibri" w:hAnsi="Calibri"/>
          <w:sz w:val="24"/>
          <w:szCs w:val="24"/>
        </w:rPr>
        <w:t xml:space="preserve">If you would like to keep some of the original 6.2 device-related framing in the introduction or discussion as part of motivating the broader research direction, that is fine — the reframe only needs to apply to the methodology and results sections, where the actual experiments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2026-04-10T00:26:18.482Z</dcterms:created>
  <dcterms:modified xsi:type="dcterms:W3CDTF">2026-04-10T00:26:18.483Z</dcterms:modified>
</cp:coreProperties>
</file>

<file path=docProps/custom.xml><?xml version="1.0" encoding="utf-8"?>
<Properties xmlns="http://schemas.openxmlformats.org/officeDocument/2006/custom-properties" xmlns:vt="http://schemas.openxmlformats.org/officeDocument/2006/docPropsVTypes"/>
</file>