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42" w:rsidRPr="00856342" w:rsidRDefault="00856342" w:rsidP="00856342">
      <w:pPr>
        <w:shd w:val="clear" w:color="auto" w:fill="9BC3D5"/>
        <w:spacing w:after="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1. </w:t>
      </w:r>
      <w:proofErr w:type="spellStart"/>
      <w:r w:rsidRPr="00856342">
        <w:rPr>
          <w:rFonts w:ascii="Verdana" w:eastAsia="Times New Roman" w:hAnsi="Verdana" w:cs="Times New Roman"/>
          <w:b/>
          <w:bCs/>
          <w:color w:val="4B5D67"/>
          <w:sz w:val="17"/>
          <w:szCs w:val="17"/>
          <w:u w:val="single"/>
          <w:lang w:eastAsia="pt-BR"/>
        </w:rPr>
        <w:t>Flinders</w:t>
      </w:r>
      <w:proofErr w:type="spellEnd"/>
      <w:r w:rsidRPr="00856342">
        <w:rPr>
          <w:rFonts w:ascii="Verdana" w:eastAsia="Times New Roman" w:hAnsi="Verdana" w:cs="Times New Roman"/>
          <w:b/>
          <w:bCs/>
          <w:color w:val="4B5D67"/>
          <w:sz w:val="17"/>
          <w:szCs w:val="17"/>
          <w:u w:val="single"/>
          <w:lang w:eastAsia="pt-BR"/>
        </w:rPr>
        <w:t xml:space="preserve"> </w:t>
      </w:r>
      <w:proofErr w:type="spellStart"/>
      <w:r w:rsidRPr="00856342">
        <w:rPr>
          <w:rFonts w:ascii="Verdana" w:eastAsia="Times New Roman" w:hAnsi="Verdana" w:cs="Times New Roman"/>
          <w:b/>
          <w:bCs/>
          <w:color w:val="4B5D67"/>
          <w:sz w:val="17"/>
          <w:szCs w:val="17"/>
          <w:u w:val="single"/>
          <w:lang w:eastAsia="pt-BR"/>
        </w:rPr>
        <w:t>Petrie</w:t>
      </w:r>
      <w:proofErr w:type="spellEnd"/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Sir William Matthew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Flinders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Petrie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(03 de </w:t>
      </w:r>
      <w:proofErr w:type="gram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Junho</w:t>
      </w:r>
      <w:proofErr w:type="gram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1853 – 28 Julho 1942) foi um arqueólogo 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egiptologista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britânico nascido em Charlton, próxima de Greenwich, Londres, um pioneiro de metodologia sistemática em arqueologia que inventou um método para reconstituir a sequência de acontecimentos históricos em culturas antigas. Depois de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inspeccionar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monumentos pré-históricos britânicos, inclusive Stonehenge, viajou para o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Egipto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(1880) para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inspeccionar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a grande pirâmide </w:t>
      </w:r>
      <w:proofErr w:type="gram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de Giza</w:t>
      </w:r>
      <w:proofErr w:type="gram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e desenvolver escavações em vários locais arqueológicos, como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Abydos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Amarna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. Realizou um expressivo trabalho nas pirâmides e templos </w:t>
      </w:r>
      <w:proofErr w:type="gram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de Giza</w:t>
      </w:r>
      <w:proofErr w:type="gram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. Voltou ao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Egipto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(1884) para começar suas escavações e unindo estilos de cerâmica com períodos, ele criou um método novo por estabelecer a cronologia de um local. Ele continuou escavando no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Egipto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depois de se tornar professor, enquanto treinava futuros e grandes arqueólogos.</w:t>
      </w:r>
    </w:p>
    <w:p w:rsidR="00856342" w:rsidRPr="00856342" w:rsidRDefault="00856342" w:rsidP="00856342">
      <w:pPr>
        <w:shd w:val="clear" w:color="auto" w:fill="9BC3D5"/>
        <w:spacing w:after="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b/>
          <w:bCs/>
          <w:noProof/>
          <w:color w:val="4B5D67"/>
          <w:sz w:val="17"/>
          <w:szCs w:val="17"/>
          <w:lang w:eastAsia="pt-BR"/>
        </w:rPr>
        <w:drawing>
          <wp:inline distT="0" distB="0" distL="0" distR="0">
            <wp:extent cx="2615565" cy="2615565"/>
            <wp:effectExtent l="0" t="0" r="0" b="0"/>
            <wp:docPr id="4" name="Imagem 4" descr="Flinders Pet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inders Petr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 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 </w:t>
      </w:r>
    </w:p>
    <w:p w:rsidR="00856342" w:rsidRPr="00856342" w:rsidRDefault="00856342" w:rsidP="00856342">
      <w:pPr>
        <w:shd w:val="clear" w:color="auto" w:fill="9BC3D5"/>
        <w:spacing w:after="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2. </w:t>
      </w:r>
      <w:r w:rsidRPr="00856342">
        <w:rPr>
          <w:rFonts w:ascii="Verdana" w:eastAsia="Times New Roman" w:hAnsi="Verdana" w:cs="Times New Roman"/>
          <w:b/>
          <w:bCs/>
          <w:color w:val="4B5D67"/>
          <w:sz w:val="17"/>
          <w:szCs w:val="17"/>
          <w:u w:val="single"/>
          <w:lang w:eastAsia="pt-BR"/>
        </w:rPr>
        <w:t>Howard Carter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Howard Carter (Kensington, 9 de </w:t>
      </w:r>
      <w:proofErr w:type="gram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Maio</w:t>
      </w:r>
      <w:proofErr w:type="gram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de 1874 — Londres, 2 de Março de 1939), foi um arqueólogo e egiptólogo britânico. Foi assistente de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Flinders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Petrie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, um dos mais importantes arqueólogos britânicos. Conhecedor de vários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dialectos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árabes, aos 27 anos tornou-se inspector-chefe dos monumentos do Alto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Egipto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e Núbia. Fez descobertas importantes como a tumba de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Amen-hotep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III e de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Tutmés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IV, além de ter limpo e restaurado inúmeras tumbas; porém, a descoberta mais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espectacular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foi a da tumba de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Tutankhamon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no Vale dos Reis.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noProof/>
          <w:color w:val="4B5D67"/>
          <w:sz w:val="17"/>
          <w:szCs w:val="17"/>
          <w:lang w:eastAsia="pt-BR"/>
        </w:rPr>
        <w:lastRenderedPageBreak/>
        <w:drawing>
          <wp:inline distT="0" distB="0" distL="0" distR="0">
            <wp:extent cx="1871345" cy="2860040"/>
            <wp:effectExtent l="0" t="0" r="0" b="0"/>
            <wp:docPr id="3" name="Imagem 3" descr="Howard Ca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ard Car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 </w:t>
      </w:r>
    </w:p>
    <w:p w:rsidR="00856342" w:rsidRPr="00856342" w:rsidRDefault="00856342" w:rsidP="00856342">
      <w:pPr>
        <w:shd w:val="clear" w:color="auto" w:fill="9BC3D5"/>
        <w:spacing w:after="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3. 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Heinrich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Schliemann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(6 de </w:t>
      </w:r>
      <w:proofErr w:type="gram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Janeiro</w:t>
      </w:r>
      <w:proofErr w:type="gram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de 1822,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Neubukow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,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Mecklenburg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-Schwerin – 26 de Dezembro de 1890, Nápoles) foi um arqueólogo clássico alemão, um defensor da realidade histórica dos topónimos mencionados nas obras de Homero e um importante descobridor de locais arqueológicos micênicos, como Tróia e a própria Micenas. Nos anos 1870,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Schliemann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viajou à Anatólia e escavou a zona arqueológica de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Hissarlik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, revelando várias cidades construídas em sucessão. Uma das cidades descobertas por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Schliemann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, nomeada Tróia VII, é frequentemente identificada com a Tróia Homérica.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noProof/>
          <w:color w:val="4B5D67"/>
          <w:sz w:val="17"/>
          <w:szCs w:val="17"/>
          <w:lang w:eastAsia="pt-BR"/>
        </w:rPr>
        <w:drawing>
          <wp:inline distT="0" distB="0" distL="0" distR="0">
            <wp:extent cx="1786255" cy="2966720"/>
            <wp:effectExtent l="0" t="0" r="4445" b="5080"/>
            <wp:docPr id="2" name="Imagem 2" descr="Heinrich Schlie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inrich Schliema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 </w:t>
      </w:r>
    </w:p>
    <w:p w:rsidR="00856342" w:rsidRPr="00856342" w:rsidRDefault="00856342" w:rsidP="00856342">
      <w:pPr>
        <w:shd w:val="clear" w:color="auto" w:fill="9BC3D5"/>
        <w:spacing w:after="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lastRenderedPageBreak/>
        <w:t>4. </w:t>
      </w:r>
      <w:proofErr w:type="spellStart"/>
      <w:r w:rsidRPr="00856342">
        <w:rPr>
          <w:rFonts w:ascii="Verdana" w:eastAsia="Times New Roman" w:hAnsi="Verdana" w:cs="Times New Roman"/>
          <w:b/>
          <w:bCs/>
          <w:color w:val="4B5D67"/>
          <w:sz w:val="17"/>
          <w:szCs w:val="17"/>
          <w:u w:val="single"/>
          <w:lang w:eastAsia="pt-BR"/>
        </w:rPr>
        <w:t>Nieéde</w:t>
      </w:r>
      <w:proofErr w:type="spellEnd"/>
      <w:r w:rsidRPr="00856342">
        <w:rPr>
          <w:rFonts w:ascii="Verdana" w:eastAsia="Times New Roman" w:hAnsi="Verdana" w:cs="Times New Roman"/>
          <w:b/>
          <w:bCs/>
          <w:color w:val="4B5D67"/>
          <w:sz w:val="17"/>
          <w:szCs w:val="17"/>
          <w:u w:val="single"/>
          <w:lang w:eastAsia="pt-BR"/>
        </w:rPr>
        <w:t xml:space="preserve"> </w:t>
      </w:r>
      <w:proofErr w:type="spellStart"/>
      <w:r w:rsidRPr="00856342">
        <w:rPr>
          <w:rFonts w:ascii="Verdana" w:eastAsia="Times New Roman" w:hAnsi="Verdana" w:cs="Times New Roman"/>
          <w:b/>
          <w:bCs/>
          <w:color w:val="4B5D67"/>
          <w:sz w:val="17"/>
          <w:szCs w:val="17"/>
          <w:u w:val="single"/>
          <w:lang w:eastAsia="pt-BR"/>
        </w:rPr>
        <w:t>Gidon</w:t>
      </w:r>
      <w:proofErr w:type="spellEnd"/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Formada em História Natural pela USP, trabalhou no Museu Paulista, quando tomou conhecimento do local arqueológico de São Raimundo Nonato no Piauí, Brasil no ano de 1963.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Especializou-se em Arqueologia pré-histórica, pela Sorbonne, e especialização pela Universidade de Paris I. Desde 1973 integra a Missão Arqueológica Franco-Brasileira, concentrando no Piauí os seus trabalhos, que culminaram na criação, do Parque Nacional Serra da Capivara.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 </w:t>
      </w:r>
      <w:bookmarkStart w:id="0" w:name="_GoBack"/>
      <w:bookmarkEnd w:id="0"/>
    </w:p>
    <w:p w:rsidR="00856342" w:rsidRPr="00856342" w:rsidRDefault="00856342" w:rsidP="00856342">
      <w:pPr>
        <w:shd w:val="clear" w:color="auto" w:fill="9BC3D5"/>
        <w:spacing w:after="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5. </w:t>
      </w:r>
      <w:proofErr w:type="spellStart"/>
      <w:r w:rsidRPr="00856342">
        <w:rPr>
          <w:rFonts w:ascii="Verdana" w:eastAsia="Times New Roman" w:hAnsi="Verdana" w:cs="Times New Roman"/>
          <w:b/>
          <w:bCs/>
          <w:color w:val="4B5D67"/>
          <w:sz w:val="17"/>
          <w:szCs w:val="17"/>
          <w:u w:val="single"/>
          <w:lang w:eastAsia="pt-BR"/>
        </w:rPr>
        <w:t>Vendyl</w:t>
      </w:r>
      <w:proofErr w:type="spellEnd"/>
      <w:r w:rsidRPr="00856342">
        <w:rPr>
          <w:rFonts w:ascii="Verdana" w:eastAsia="Times New Roman" w:hAnsi="Verdana" w:cs="Times New Roman"/>
          <w:b/>
          <w:bCs/>
          <w:color w:val="4B5D67"/>
          <w:sz w:val="17"/>
          <w:szCs w:val="17"/>
          <w:u w:val="single"/>
          <w:lang w:eastAsia="pt-BR"/>
        </w:rPr>
        <w:t xml:space="preserve"> Jones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 Jones inspira-se na figura cinematográfica de indiana Jones afirmando estar preparado para desvendar até </w:t>
      </w:r>
      <w:proofErr w:type="gram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Agosto</w:t>
      </w:r>
      <w:proofErr w:type="gram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a localização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exacta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da Arca do Convénio (o receptáculo construído sob ordens de Moisés para guardar as Tábuas dos Dez Mandamentos, o mais sagrado dos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artefactos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judaicos desaparecidos).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O trabalho arqueológico de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Vendyl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Jones, segundo ele próprio, baseia-se em grande medida no mais enigmático dos Pergaminhos do Mar Morto, o chamado Manuscrito de Cobre, uma espécie de mapa de tesouro onde, em linguagem críptica, se descreve a localização de enormes quantidades de ouro, prata 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artefactos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que alguns historiadores acreditam terem pertencido ao Templo Sagrado de Jerusalém, destruído e saqueado pelos romanos. Recorrendo ao Manuscrito de Cobre,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Vendyl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Jones acredita agora ter descodificado a localização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exacta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da Arca do Convénio.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Os métodos de 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Vendyl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 xml:space="preserve"> Jones são pouco ortodoxos, mas a verdade é que os resultados alcançados até agora têm deixado surpreendido a comunidade académica. Em 1988, decifrando o Manuscrito de Cobre, Jones encontrou uma pequena vasilha de barro cujo conteúdo ele afirma ser o óleo sagrado do Templo embora esta descoberta foi recebida com grande cepticismo. Em 1992, encontrou as cinzas de “incenso do Templo Sagrado” (</w:t>
      </w:r>
      <w:proofErr w:type="spellStart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ketoret</w:t>
      </w:r>
      <w:proofErr w:type="spellEnd"/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), mas os seus críticos garantem que tudo não passa de um embuste.</w:t>
      </w:r>
    </w:p>
    <w:p w:rsidR="00856342" w:rsidRPr="00856342" w:rsidRDefault="00856342" w:rsidP="00856342">
      <w:pPr>
        <w:shd w:val="clear" w:color="auto" w:fill="9BC3D5"/>
        <w:spacing w:after="27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noProof/>
          <w:color w:val="4B5D67"/>
          <w:sz w:val="17"/>
          <w:szCs w:val="17"/>
          <w:lang w:eastAsia="pt-BR"/>
        </w:rPr>
        <w:lastRenderedPageBreak/>
        <w:drawing>
          <wp:inline distT="0" distB="0" distL="0" distR="0">
            <wp:extent cx="1998980" cy="2828290"/>
            <wp:effectExtent l="0" t="0" r="1270" b="0"/>
            <wp:docPr id="1" name="Imagem 1" descr="Vendyl J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ndyl J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42" w:rsidRPr="00856342" w:rsidRDefault="00856342" w:rsidP="00856342">
      <w:pPr>
        <w:shd w:val="clear" w:color="auto" w:fill="9BC3D5"/>
        <w:spacing w:after="0" w:line="336" w:lineRule="atLeast"/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</w:pPr>
      <w:r w:rsidRPr="00856342">
        <w:rPr>
          <w:rFonts w:ascii="Verdana" w:eastAsia="Times New Roman" w:hAnsi="Verdana" w:cs="Times New Roman"/>
          <w:color w:val="4B5D67"/>
          <w:sz w:val="17"/>
          <w:szCs w:val="17"/>
          <w:lang w:eastAsia="pt-BR"/>
        </w:rPr>
        <w:t>Anúncios</w:t>
      </w:r>
    </w:p>
    <w:p w:rsidR="000354ED" w:rsidRDefault="005C7245"/>
    <w:sectPr w:rsidR="00035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42"/>
    <w:rsid w:val="000B373D"/>
    <w:rsid w:val="001A7C14"/>
    <w:rsid w:val="004D003F"/>
    <w:rsid w:val="005C7245"/>
    <w:rsid w:val="005F2DAE"/>
    <w:rsid w:val="006D051B"/>
    <w:rsid w:val="00856342"/>
    <w:rsid w:val="00BC1039"/>
    <w:rsid w:val="00BE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A7D9F-5988-4BC7-AB1D-C41BD800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6342"/>
    <w:rPr>
      <w:b/>
      <w:bCs/>
    </w:rPr>
  </w:style>
  <w:style w:type="character" w:customStyle="1" w:styleId="wpa-about">
    <w:name w:val="wpa-about"/>
    <w:basedOn w:val="Fontepargpadro"/>
    <w:rsid w:val="0085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Oséias Beu</dc:creator>
  <cp:keywords/>
  <dc:description/>
  <cp:lastModifiedBy>Oséias Beu</cp:lastModifiedBy>
  <cp:revision>3</cp:revision>
  <dcterms:created xsi:type="dcterms:W3CDTF">2017-07-31T03:10:00Z</dcterms:created>
  <dcterms:modified xsi:type="dcterms:W3CDTF">2017-08-04T22:27:00Z</dcterms:modified>
</cp:coreProperties>
</file>