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0 -->
  <w:body>
    <w:p w14:paraId="105CFA96">
      <w:pPr>
        <w:adjustRightInd w:val="0"/>
        <w:snapToGrid w:val="0"/>
        <w:jc w:val="center"/>
        <w:rPr>
          <w:rFonts w:eastAsia="华文中宋"/>
          <w:b/>
          <w:bCs/>
          <w:color w:val="000000"/>
          <w:sz w:val="44"/>
          <w:szCs w:val="44"/>
        </w:rPr>
      </w:pPr>
      <w:r>
        <w:rPr>
          <w:rFonts w:eastAsia="华文中宋"/>
          <w:b/>
          <w:bCs/>
          <w:color w:val="000000"/>
          <w:sz w:val="44"/>
          <w:szCs w:val="44"/>
        </w:rPr>
        <w:t>From Prejudice to Self-Knowledge: The Psychological Evolution of Elizabeth Bennet</w:t>
      </w:r>
    </w:p>
    <w:p w14:paraId="3D345FF1">
      <w:pPr>
        <w:adjustRightInd w:val="0"/>
        <w:snapToGrid w:val="0"/>
        <w:jc w:val="center"/>
        <w:rPr>
          <w:rFonts w:eastAsia="华文中宋"/>
          <w:b/>
          <w:bCs/>
          <w:color w:val="000000"/>
          <w:sz w:val="44"/>
          <w:szCs w:val="44"/>
        </w:rPr>
      </w:pPr>
    </w:p>
    <w:p w14:paraId="1662BD8A">
      <w:pPr>
        <w:pStyle w:val="Heading2"/>
        <w:adjustRightInd w:val="0"/>
        <w:snapToGrid w:val="0"/>
        <w:ind w:firstLine="0"/>
        <w:jc w:val="left"/>
      </w:pPr>
      <w:bookmarkStart w:id="0" w:name="_GoBack"/>
      <w:bookmarkEnd w:id="0"/>
      <w:r>
        <w:rPr>
          <w:rFonts w:hint="eastAsia"/>
          <w:bCs/>
        </w:rPr>
        <w:t>Introduction: Reading Elizabeth Bennet’s Psychological Evolution</w:t>
      </w:r>
    </w:p>
    <w:p>
      <w:pPr>
        <w:pStyle w:val="BodyText"/>
        <w:ind w:left="0" w:firstLine="480"/>
        <w:jc w:val="left"/>
      </w:pPr>
      <w:r>
        <w:t>Elizabeth Bennet’s movement from quick, prideful judgment toward tempered self-knowledge unfolds through scenes where wit collides with social risk. At the Meryton assembly, Darcy’s slight hardens into a story she tells about him, and about herself as a keen observer who cannot be fooled. She laughs it off. Yet the confidence that powers her repartee also hides a liability, since the same sharpness that cuts prejudice cuts recognition of motive and context, and the reader must trace how her judgments are made, stored, and revised as a measure of character growth (self-knowledge functions here as a cognitive anchor for ethical appraisal in fictional lives, much as it does in assessments of real moral character) (Kim, 2017).</w:t>
      </w:r>
    </w:p>
    <w:p>
      <w:pPr>
        <w:pStyle w:val="BodyText"/>
        <w:ind w:left="0" w:firstLine="480"/>
        <w:jc w:val="left"/>
      </w:pPr>
      <w:r>
        <w:t>The turn arrives not as a clean insight but as a messy night of reading and rereading Darcy’s letter, where each pass loosens one thread of certainty and tightens another, so that irritation yields to embarrassment, and embarrassment to a steadier regard for evidence. Pemberley then tests this new composure, as admiration threatens to slide into dazzled assent, and she must separate aesthetic charm from moral proof (with no confidante near). Wickham’s exposure and Lydia’s elopement further complicate her stance, since she must acknowledge her own part in the family drama without collapsing into self-reproach. What takes shape is a practice of moral agency in which she relearns how to see and be seen, replacing reactive discrimination with habits of attention that admit correction and sustain change in conduct and feeling (Hulbert, Cooling, &amp; Bowie, 2020).</w:t>
      </w:r>
    </w:p>
    <w:p>
      <w:pPr>
        <w:pStyle w:val="Heading2"/>
        <w:ind w:firstLine="0"/>
        <w:jc w:val="left"/>
      </w:pPr>
      <w:r>
        <w:t>Mapping Prejudice: Cognitive Biases and Virtue-Ethical Frames in Early Elizabeth</w:t>
      </w:r>
    </w:p>
    <w:p>
      <w:pPr>
        <w:pStyle w:val="BodyText"/>
        <w:ind w:left="0" w:firstLine="480"/>
        <w:jc w:val="left"/>
      </w:pPr>
      <w:r>
        <w:t>Elizabeth’s early judgments settle quickly and resist revision, a pattern that resembles anchoring and confirmation bias. Darcy’s refusal to dance becomes a fixed point, and later observations are screened through that first slight. She crowds the evidence in. Meryton gossip about his pride binds with Wickham’s friendly story, and together they form a coherent narrative that is hard for counterexamples to penetrate. Under a virtue-ethical lens, this composite stance mixes courage and wit with a shortfall in practical wisdom, since she treats social performance as transparent character without pausing to test motive and context (before she has read Darcy’s letter).</w:t>
      </w:r>
    </w:p>
    <w:p>
      <w:pPr>
        <w:pStyle w:val="BodyText"/>
        <w:ind w:left="0" w:firstLine="480"/>
        <w:jc w:val="left"/>
      </w:pPr>
      <w:r>
        <w:t>Her conversational sparring at Netherfield shows the same bias running as a thread through lively exchanges. She counters Darcy’s talk of accomplished women by assembling details that fit her picture of him, and she enjoys the moral charge of exposing pretension in real time. The pleasure of irony reinforces her stance. Yet Jane’s gentler readings trouble the scene, because they ask for patience and charity that Elizabeth’s sense of justice frames as indulgence of arrogance. Self-knowledge would help her sort these pulls, by measuring the affective satisfaction of clever critique against humility and empathy in appraisal (Kim, 2017).</w:t>
      </w:r>
    </w:p>
    <w:p>
      <w:pPr>
        <w:pStyle w:val="BodyText"/>
        <w:ind w:left="0" w:firstLine="480"/>
        <w:jc w:val="left"/>
      </w:pPr>
      <w:r>
        <w:t>The Wickham episodes deepen the map of prejudice by adding availability and social proof. His ease of manner supplies ready cues, and the town’s warmth toward him stabilizes Elizabeth’s trust even when small anomalies surface. A quick backward glance at his inconsistencies registers, then fades. She sets Wickham’s charm as evidence of his moral worth and takes Darcy’s reserve as proof of vice, which marks a classic fundamental attribution error where situational constraints are ignored in favor of stable trait labels. The virtue of temperance would slow this verdict, yet her appetite for exposing supposed pride keeps the engine of judgment running hot.</w:t>
      </w:r>
    </w:p>
    <w:p>
      <w:pPr>
        <w:pStyle w:val="BodyText"/>
        <w:ind w:left="0" w:firstLine="480"/>
        <w:jc w:val="left"/>
      </w:pPr>
      <w:r>
        <w:t>Charlotte’s choice to marry Mr. Collins presses on Elizabeth’s moral map with a different kind of friction. She reads the decision through her valuation of authenticity and felicity, and she dismisses Charlotte’s prudence as capitulation with little inspection of economic risks. A longer pause would have recorded the scarcity of options. In Aristotelian terms, Elizabeth’s sense of justice leans punitive here, since she treats compromise as vice and distributes scorn rather than measured regard. The episode shows partial success, because her protest names real costs of a cold union, yet it skews by ignoring Charlotte’s carefully chosen goods within narrow constraints.</w:t>
      </w:r>
    </w:p>
    <w:p>
      <w:pPr>
        <w:pStyle w:val="BodyText"/>
        <w:ind w:left="0" w:firstLine="480"/>
        <w:jc w:val="left"/>
      </w:pPr>
      <w:r>
        <w:t>Darcy’s first proposal exposes the architecture of her bias in one charged moment, and the speed of her refusal reflects both courage and miscalibrated judgment. She lists grievances that read clearly to her, anchored in the Meryton scene and shored up by Wickham’s testimony, then announces a verdict that seems beautifully tidy and wrong in its premises. Her wit feels safe. A virtue-ethical analysis records the imbalance between righteous indignation and phronesis, the capacity to gather, weigh, and amend evidence before assigning moral blame. The later letter will pry these knots loose, but in the early phase the knots still hold even as small doubts begin to touch the edges of her confidence (Hulbert et al., 2020).</w:t>
      </w:r>
    </w:p>
    <w:p>
      <w:pPr>
        <w:pStyle w:val="Heading2"/>
        <w:ind w:firstLine="0"/>
        <w:jc w:val="left"/>
      </w:pPr>
      <w:r>
        <w:t>Turning Points and Free Indirect Discourse: From Misreading to Reflexive Self-Knowledge</w:t>
      </w:r>
    </w:p>
    <w:p>
      <w:pPr>
        <w:pStyle w:val="BodyText"/>
        <w:ind w:left="0" w:firstLine="480"/>
        <w:jc w:val="left"/>
      </w:pPr>
      <w:r>
        <w:t>Austen’s free indirect discourse ferries the reader between Elizabeth’s quick impressions and the narrator’s cool scrutiny, so that misreading is registered inside the very texture of thought while an external irony tags the drift of error. At the Meryton assembly, the narration slides toward Elizabeth’s phrasing after Darcy’s slight, and her judgment starts to feel like a fact rather than an opinion. The effect is subtle. A word or glance is shaded by the syntax of her sensibility, yet the edge of distance remains. Through this blend, Austen can trace how confidence hardens into story, and how that story recruits each new detail even before Elizabeth knows she is recruiting it.</w:t>
      </w:r>
    </w:p>
    <w:p>
      <w:pPr>
        <w:pStyle w:val="BodyText"/>
        <w:ind w:left="0" w:firstLine="480"/>
        <w:jc w:val="left"/>
      </w:pPr>
      <w:r>
        <w:t>Darcy’s first proposal strikes against that hardened story, and the technique tightens the moment as Elizabeth silently counts grievances that now read like irrebuttable proof. His letter then resets the register, because her rereading is staged in sentences that carry her pride and irritation while letting corrections bite inside the same flow of consciousness (while the room remains quiet). Shame floods her. The self-accusation is not delivered from above but generated by a voice that begins to hear its own distortions, adopting a more reflexive cadence as she notes Wickham’s contradictions and her own susceptibility to pleasing narrative. Self-knowledge becomes operative rather than decorative, a cognitive factor that anchors moral appraisal of others and of herself even as discomfort rises (Kim, 2017).</w:t>
      </w:r>
    </w:p>
    <w:p>
      <w:pPr>
        <w:pStyle w:val="BodyText"/>
        <w:ind w:left="0" w:firstLine="480"/>
        <w:jc w:val="left"/>
      </w:pPr>
      <w:r>
        <w:t>Pemberley tests this new reflex in a scene where admiration threatens to outrun discernment, and free indirect discourse registers the tug toward dazzled assent without surrendering the thread of caution. She moves through rooms, the description warmed by her revaluing of Darcy, yet the voice still tags her awareness of how beauty can disguise motive. The housekeeper’s report supplies counterevidence that lands inside her reading rather than above it, so esteem grows but does not absolve. Friction persists because her revised perception feels both earned and conveniently timed, and the narrative lets that unease sit beside her delight. The tone tightens.</w:t>
      </w:r>
    </w:p>
    <w:p>
      <w:pPr>
        <w:pStyle w:val="BodyText"/>
        <w:ind w:left="0" w:firstLine="480"/>
        <w:jc w:val="left"/>
      </w:pPr>
      <w:r>
        <w:t>Lydia’s elopement jolts the nascent equilibrium, and again the narration leans into Elizabeth’s interior, admitting guilt and frustration without collapsing into melodrama. She rehearses missed chances to challenge Wickham’s vanity, hears the implication that a family’s porous discipline made room for harm, and shapes a new resolve that mingles sorrow with practical care. The turn is not punished as pure failure; it is treated as a chance to unlearn a habit of reactive discrimination and replace it with attention that can sustain change in conduct and feeling. Such reshaping matches a wider insight about how negative predispositions are often addressed not by blunt denunciation but by a redesigned encounter that models different ways of seeing and being (Hulbert, Cooling, &amp; Bowie, 2020).</w:t>
      </w:r>
    </w:p>
    <w:p>
      <w:pPr>
        <w:pStyle w:val="BodyText"/>
        <w:ind w:left="0" w:firstLine="480"/>
        <w:jc w:val="left"/>
      </w:pPr>
      <w:r>
        <w:t>Lady Catherine’s intrusion at Longbourn offers a further stress test, and free indirect discourse catches the small pauses in which Elizabeth calibrates her reply under rank pressure. The inner voice measures the cost of compliance, notes the dignity of quiet refusal, and records a flicker of anger at the presumption that her life can be routed by aristocratic command. The scene shows partial success because her self-knowledge holds steady enough to prevent a retaliatory flourish that would satisfy pride yet muddy her moral stance. Even so, echoes of earlier habits sound as she enjoys the duel, and the technique lets the reader feel both the thrill and the check.</w:t>
      </w:r>
    </w:p>
    <w:p>
      <w:pPr>
        <w:pStyle w:val="BodyText"/>
        <w:ind w:left="0" w:firstLine="480"/>
        <w:jc w:val="left"/>
      </w:pPr>
      <w:r>
        <w:t>By the time Darcy speaks again, the channel between thought and narration has grown more reflective, and Elizabeth’s hesitations read as calibrated rather than reflexive negation. She names past errors without theatrics, records new evidence with care, and signals a revised account of character that can carry the weight of commitment. The discourse does not crown her with omniscience, since minor misreadings still occur and the social world keeps its contingencies, but it marks a shift from quick verdicts to tested perception. In this register, change is audible as a rhythm within consciousness rather than a banner claim from outside.</w:t>
      </w:r>
    </w:p>
    <w:p>
      <w:pPr>
        <w:pStyle w:val="Heading2"/>
        <w:ind w:firstLine="0"/>
        <w:jc w:val="left"/>
      </w:pPr>
      <w:r>
        <w:t>Conclusion: Social Context and the Ethics of Belief Revision in Pride and Prejudice</w:t>
      </w:r>
    </w:p>
    <w:p>
      <w:pPr>
        <w:pStyle w:val="BodyText"/>
        <w:ind w:left="0" w:firstLine="480"/>
        <w:jc w:val="left"/>
      </w:pPr>
      <w:r>
        <w:t>Elizabeth’s belief revisions are staged within a busy social field that trades in rank and reputation. At the Meryton assemblies, Wickham tells his story in a room that rewards lively scandal, and the public tone makes skepticism feel ungenerous even as the evidence is thin. She bows to the pull of congenial testimony, and that choice stains later judgments. The ethics here are not abstract, they involve balancing charity with accuracy while resisting a narrative that flatters one’s wit and class sympathies. Austen records how unlearning a pleasing bias requires rewiring habits of attention so that new facts can land without being routed into old grooves, a process the novel treats as teachable rather than innate (Hulbert, Cooling, &amp; Bowie, 2020).</w:t>
      </w:r>
    </w:p>
    <w:p>
      <w:pPr>
        <w:pStyle w:val="BodyText"/>
        <w:ind w:left="0" w:firstLine="480"/>
        <w:jc w:val="left"/>
      </w:pPr>
      <w:r>
        <w:t>The letter, Pemberley, and Lydia’s crisis place that balance under strain by tethering new evidence to ties of family and gratitude. Shame alters her pace. When Lady Catherine presses for renunciation at Longbourn (with Jane nearby), Elizabeth measures loyalty to her sister against truth about Darcy and she chooses a guarded refusal that keeps room for further checking of character. The scene models an ethic in which self-knowledge disciplines belief change so revision is neither capitulation to power nor stubbornness dressed as integrity (Kim, 2017). What results is a practice of judgment that honors persons without surrendering scrutiny, traced not by neat reversals but by careful, repeatable moves in speech and action.</w:t>
      </w:r>
    </w:p>
    <w:p>
      <w:pPr>
        <w:pStyle w:val="BodyText"/>
        <w:ind w:left="0" w:firstLine="480"/>
        <w:jc w:val="left"/>
      </w:pPr>
    </w:p>
    <w:p>
      <w:pPr>
        <w:pStyle w:val="BodyText"/>
        <w:ind w:left="0" w:firstLine="480"/>
        <w:jc w:val="left"/>
      </w:pPr>
    </w:p>
    <w:p>
      <w:pPr>
        <w:pStyle w:val="BodyText"/>
        <w:ind w:left="0" w:firstLine="480"/>
        <w:jc w:val="left"/>
      </w:pPr>
    </w:p>
    <w:p>
      <w:pPr>
        <w:pStyle w:val="Heading2"/>
        <w:ind w:firstLine="0"/>
        <w:jc w:val="center"/>
      </w:pPr>
      <w:r>
        <w:t>References</w:t>
      </w:r>
    </w:p>
    <w:p>
      <w:pPr>
        <w:pStyle w:val="BodyText"/>
        <w:ind w:left="480" w:hanging="480"/>
        <w:jc w:val="left"/>
      </w:pPr>
      <w:r>
        <w:t xml:space="preserve">Byrd, C. M. (2018). Microaggressions Self-Defense: A Role-Playing Workshop for Responding to Microaggressions. </w:t>
      </w:r>
      <w:r>
        <w:rPr>
          <w:i/>
        </w:rPr>
        <w:t>Soc. Sci.</w:t>
      </w:r>
      <w:r>
        <w:t xml:space="preserve">, </w:t>
      </w:r>
      <w:r>
        <w:rPr>
          <w:i/>
        </w:rPr>
        <w:t>7</w:t>
      </w:r>
      <w:r>
        <w:t>(6). https://doi.org/10.3390/socsci7060096</w:t>
      </w:r>
    </w:p>
    <w:p>
      <w:pPr>
        <w:pStyle w:val="BodyText"/>
        <w:ind w:left="480" w:hanging="480"/>
        <w:jc w:val="left"/>
      </w:pPr>
      <w:r>
        <w:t xml:space="preserve">Wong, L. Y. (2024). Maximize the Impacts of Forgiveness Education with Moral Agency Development. </w:t>
      </w:r>
      <w:r>
        <w:rPr>
          <w:i/>
        </w:rPr>
        <w:t>Educ. Sci.</w:t>
      </w:r>
      <w:r>
        <w:t xml:space="preserve">, </w:t>
      </w:r>
      <w:r>
        <w:rPr>
          <w:i/>
        </w:rPr>
        <w:t>14</w:t>
      </w:r>
      <w:r>
        <w:t>(12). https://doi.org/10.3390/educsci14121346</w:t>
      </w:r>
    </w:p>
    <w:p>
      <w:pPr>
        <w:pStyle w:val="BodyText"/>
        <w:ind w:left="480" w:hanging="480"/>
        <w:jc w:val="left"/>
      </w:pPr>
      <w:r>
        <w:t xml:space="preserve">Zhang, R., Gao, L., Cheng, L., &amp; Ren, P. (2022). Latent Profile Analysis of Children’s Moral Character and the Classing Effect on Bullying in Rural China. </w:t>
      </w:r>
      <w:r>
        <w:rPr>
          <w:i/>
        </w:rPr>
        <w:t>Int. J. Environ. Res. Public Health</w:t>
      </w:r>
      <w:r>
        <w:t xml:space="preserve">, </w:t>
      </w:r>
      <w:r>
        <w:rPr>
          <w:i/>
        </w:rPr>
        <w:t>19</w:t>
      </w:r>
      <w:r>
        <w:t>(18). https://doi.org/10.3390/ijerph191811285</w:t>
      </w:r>
    </w:p>
    <w:p>
      <w:pPr>
        <w:pStyle w:val="BodyText"/>
        <w:ind w:left="480" w:hanging="480"/>
        <w:jc w:val="left"/>
      </w:pPr>
      <w:r>
        <w:t xml:space="preserve">Bronikowska, M., Korcz, A., &amp; Bronikowski, M. (2020). The Role of Sports Practice in Young Adolescent Development of Moral Competence. </w:t>
      </w:r>
      <w:r>
        <w:rPr>
          <w:i/>
        </w:rPr>
        <w:t>Int. J. Environ. Res. Public Health</w:t>
      </w:r>
      <w:r>
        <w:t xml:space="preserve">, </w:t>
      </w:r>
      <w:r>
        <w:rPr>
          <w:i/>
        </w:rPr>
        <w:t>17</w:t>
      </w:r>
      <w:r>
        <w:t>(15). https://doi.org/10.3390/ijerph17155324</w:t>
      </w:r>
    </w:p>
    <w:p>
      <w:pPr>
        <w:pStyle w:val="BodyText"/>
        <w:ind w:left="480" w:hanging="480"/>
        <w:jc w:val="left"/>
      </w:pPr>
      <w:r>
        <w:t xml:space="preserve">Kim, S. (2017). Development and Validation of a Scale for Christian Character Assessment of University Students. </w:t>
      </w:r>
      <w:r>
        <w:rPr>
          <w:i/>
        </w:rPr>
        <w:t>Religions</w:t>
      </w:r>
      <w:r>
        <w:t xml:space="preserve">, </w:t>
      </w:r>
      <w:r>
        <w:rPr>
          <w:i/>
        </w:rPr>
        <w:t>8</w:t>
      </w:r>
      <w:r>
        <w:t>(5). https://doi.org/10.3390/rel8050082</w:t>
      </w:r>
    </w:p>
    <w:p>
      <w:pPr>
        <w:pStyle w:val="BodyText"/>
        <w:ind w:left="480" w:hanging="480"/>
        <w:jc w:val="left"/>
      </w:pPr>
      <w:r>
        <w:t xml:space="preserve">Hulbert, S., Cooling, T., &amp; Bowie, R. (2020). Measuring the Effectiveness of Virtuous Pedagogy: A Quantitative Study of the What If Learning Approach in Church of England Schools. </w:t>
      </w:r>
      <w:r>
        <w:rPr>
          <w:i/>
        </w:rPr>
        <w:t>Educ. Sci.</w:t>
      </w:r>
      <w:r>
        <w:t xml:space="preserve">, </w:t>
      </w:r>
      <w:r>
        <w:rPr>
          <w:i/>
        </w:rPr>
        <w:t>10</w:t>
      </w:r>
      <w:r>
        <w:t>(11). https://doi.org/10.3390/educsci10110315</w:t>
      </w:r>
    </w:p>
    <w:p>
      <w:pPr>
        <w:pStyle w:val="BodyText"/>
        <w:ind w:left="480" w:hanging="480"/>
        <w:jc w:val="left"/>
      </w:pPr>
      <w:r>
        <w:t xml:space="preserve">Ma, C. M. S., Tan, C. S., &amp; Koh, K. T. (2024). An Exploratory Study to Test the Psychometric Properties of Character Strengths-Semantic Differential Scale (CS-SDS) Among Singaporean Adults. </w:t>
      </w:r>
      <w:r>
        <w:rPr>
          <w:i/>
        </w:rPr>
        <w:t>Educ. Sci.</w:t>
      </w:r>
      <w:r>
        <w:t xml:space="preserve">, </w:t>
      </w:r>
      <w:r>
        <w:rPr>
          <w:i/>
        </w:rPr>
        <w:t>14</w:t>
      </w:r>
      <w:r>
        <w:t>(11). https://doi.org/10.3390/educsci14111252</w:t>
      </w:r>
    </w:p>
    <w:p>
      <w:pPr>
        <w:pStyle w:val="BodyText"/>
        <w:ind w:left="480" w:hanging="480"/>
        <w:jc w:val="left"/>
      </w:pPr>
      <w:r>
        <w:t xml:space="preserve">Fernández González, M. J., &amp; Surikova, S. (2025). Age- and Sex-Based Differences in Young Adolescents’ Perceptions of Their Moral Character Development in Latvia. </w:t>
      </w:r>
      <w:r>
        <w:rPr>
          <w:i/>
        </w:rPr>
        <w:t>Educ. Sci.</w:t>
      </w:r>
      <w:r>
        <w:t xml:space="preserve">, </w:t>
      </w:r>
      <w:r>
        <w:rPr>
          <w:i/>
        </w:rPr>
        <w:t>15</w:t>
      </w:r>
      <w:r>
        <w:t>(10). https://doi.org/10.3390/educsci15101336</w:t>
      </w:r>
    </w:p>
    <w:p>
      <w:pPr>
        <w:pStyle w:val="BodyText"/>
        <w:ind w:left="480" w:hanging="480"/>
        <w:jc w:val="left"/>
      </w:pPr>
      <w:r>
        <w:t xml:space="preserve">So, S., Garcia, D., Lee, J., Kim, J., Han, S., Lee, S., &amp; Chae, H. (2024). Analyses of Physical and Psychological Characteristics of “Squid Game” Characters Using East Asian Biopsychosocial Personality Theories and Body Mass Index. </w:t>
      </w:r>
      <w:r>
        <w:rPr>
          <w:i/>
        </w:rPr>
        <w:t>Behav. Sci.</w:t>
      </w:r>
      <w:r>
        <w:t xml:space="preserve">, </w:t>
      </w:r>
      <w:r>
        <w:rPr>
          <w:i/>
        </w:rPr>
        <w:t>14</w:t>
      </w:r>
      <w:r>
        <w:t>(10). https://doi.org/10.3390/bs14100907</w:t>
      </w:r>
    </w:p>
    <w:p>
      <w:pPr>
        <w:pStyle w:val="BodyText"/>
        <w:ind w:left="480" w:hanging="480"/>
        <w:jc w:val="left"/>
      </w:pPr>
      <w:r>
        <w:t xml:space="preserve">Thomas, C. (2022). Introduction: The Art of Adaptation in Film and Video Games. </w:t>
      </w:r>
      <w:r>
        <w:rPr>
          <w:i/>
        </w:rPr>
        <w:t>Arts</w:t>
      </w:r>
      <w:r>
        <w:t xml:space="preserve">, </w:t>
      </w:r>
      <w:r>
        <w:rPr>
          <w:i/>
        </w:rPr>
        <w:t>11</w:t>
      </w:r>
      <w:r>
        <w:t>(4). https://doi.org/10.3390/arts11040071</w:t>
      </w:r>
    </w:p>
    <w:p>
      <w:pPr>
        <w:pStyle w:val="BodyText"/>
        <w:ind w:left="480" w:hanging="480"/>
        <w:jc w:val="left"/>
      </w:pPr>
      <w:r>
        <w:t xml:space="preserve">Filimon-Benea, A., &amp; Vid, I. (2025). Narrative Techniques in Romanian Podcasts: A Qualitative Case Study Analysis. </w:t>
      </w:r>
      <w:r>
        <w:rPr>
          <w:i/>
        </w:rPr>
        <w:t>Journal. Media</w:t>
      </w:r>
      <w:r>
        <w:t xml:space="preserve">, </w:t>
      </w:r>
      <w:r>
        <w:rPr>
          <w:i/>
        </w:rPr>
        <w:t>6</w:t>
      </w:r>
      <w:r>
        <w:t>(4). https://doi.org/10.3390/journalmedia6040175</w:t>
      </w:r>
    </w:p>
    <w:p>
      <w:pPr>
        <w:pStyle w:val="BodyText"/>
        <w:ind w:left="480" w:hanging="480"/>
        <w:jc w:val="left"/>
      </w:pPr>
      <w:r>
        <w:t xml:space="preserve">Hu, Y., &amp; Shu, J. (2025). The Effect of Drama Education on Enhancing Critical Thinking Through Collaboration and Communication. </w:t>
      </w:r>
      <w:r>
        <w:rPr>
          <w:i/>
        </w:rPr>
        <w:t>Educ. Sci.</w:t>
      </w:r>
      <w:r>
        <w:t xml:space="preserve">, </w:t>
      </w:r>
      <w:r>
        <w:rPr>
          <w:i/>
        </w:rPr>
        <w:t>15</w:t>
      </w:r>
      <w:r>
        <w:t>(5). https://doi.org/10.3390/educsci15050565</w:t>
      </w:r>
    </w:p>
    <w:p>
      <w:pPr>
        <w:pStyle w:val="BodyText"/>
        <w:ind w:left="480" w:hanging="480"/>
        <w:jc w:val="left"/>
      </w:pPr>
      <w:r>
        <w:t xml:space="preserve">Vaughn, J. M., King, P. E., Mangan, S., Noe, S., Hay, S., O’Neil, B., Tirrell, J. M., Dowling, E. M., Iraheta Majano, G. A., &amp; Rigg Sim, A. T. (2022). Agentic and Receptive Hope: Understanding Hope in the Context of Religiousness and Spirituality through the Narratives of Salvadoran Youth. </w:t>
      </w:r>
      <w:r>
        <w:rPr>
          <w:i/>
        </w:rPr>
        <w:t>Religions</w:t>
      </w:r>
      <w:r>
        <w:t xml:space="preserve">, </w:t>
      </w:r>
      <w:r>
        <w:rPr>
          <w:i/>
        </w:rPr>
        <w:t>13</w:t>
      </w:r>
      <w:r>
        <w:t>(4). https://doi.org/10.3390/rel13040376</w:t>
      </w:r>
    </w:p>
    <w:p>
      <w:pPr>
        <w:pStyle w:val="BodyText"/>
        <w:ind w:left="480" w:hanging="480"/>
        <w:jc w:val="left"/>
      </w:pPr>
      <w:r>
        <w:t xml:space="preserve">Iskandar, I. F. R., Balontia, M. J., Sriyanto, H., &amp; Saputra, J. (2024). Character Building Education through Personalized Programs and E-Learning by Computer Software: A Case Study of Larantuka East Nusa Tenggara in Indonesia. </w:t>
      </w:r>
      <w:r>
        <w:rPr>
          <w:i/>
        </w:rPr>
        <w:t>Eng. Proc.</w:t>
      </w:r>
      <w:r>
        <w:t xml:space="preserve">, </w:t>
      </w:r>
      <w:r>
        <w:rPr>
          <w:i/>
        </w:rPr>
        <w:t>74</w:t>
      </w:r>
      <w:r>
        <w:t>(1). https://doi.org/10.3390/engproc2024074025</w:t>
      </w:r>
    </w:p>
    <w:p>
      <w:pPr>
        <w:pStyle w:val="BodyText"/>
        <w:ind w:left="480" w:hanging="480"/>
        <w:jc w:val="left"/>
      </w:pPr>
      <w:r>
        <w:t xml:space="preserve">Masrukhin, A. (2024). Role of Personalized Learning Program by Learning Management System in Higher Education in Binus Bandung Indonesia. </w:t>
      </w:r>
      <w:r>
        <w:rPr>
          <w:i/>
        </w:rPr>
        <w:t>Eng. Proc.</w:t>
      </w:r>
      <w:r>
        <w:t xml:space="preserve">, </w:t>
      </w:r>
      <w:r>
        <w:rPr>
          <w:i/>
        </w:rPr>
        <w:t>74</w:t>
      </w:r>
      <w:r>
        <w:t>(1). https://doi.org/10.3390/engproc2024074039</w:t>
      </w:r>
    </w:p>
    <w:p>
      <w:pPr>
        <w:pStyle w:val="BodyText"/>
        <w:ind w:left="480" w:hanging="480"/>
        <w:jc w:val="left"/>
      </w:pPr>
      <w:r>
        <w:t xml:space="preserve">Masrukhin, A. (2024). Online Learning with Digital Technology and Computer Software: New Experiences for Indonesian Students in Education Institutions. </w:t>
      </w:r>
      <w:r>
        <w:rPr>
          <w:i/>
        </w:rPr>
        <w:t>Eng. Proc.</w:t>
      </w:r>
      <w:r>
        <w:t xml:space="preserve">, </w:t>
      </w:r>
      <w:r>
        <w:rPr>
          <w:i/>
        </w:rPr>
        <w:t>74</w:t>
      </w:r>
      <w:r>
        <w:t>(1). https://doi.org/10.3390/engproc2024074035</w:t>
      </w:r>
    </w:p>
    <w:p/>
    <w:sectPr>
      <w:footerReference w:type="default" r:id="rId5"/>
      <w:pgSz w:w="11906" w:h="16838"/>
      <w:pgMar w:top="2098" w:right="1474" w:bottom="1985" w:left="1588" w:header="731" w:footer="1247" w:gutter="0"/>
      <w:pgNumType w:fmt="numberInDash"/>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华文中宋">
    <w:altName w:val="汉仪书宋二KW"/>
    <w:panose1 w:val="02010600040101010101"/>
    <w:charset w:val="86"/>
    <w:family w:val="auto"/>
    <w:pitch w:val="default"/>
    <w:sig w:usb0="00000000" w:usb1="00000000" w:usb2="00000010" w:usb3="00000000" w:csb0="000400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0745C49">
    <w:pPr>
      <w:pStyle w:val="Foo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- 10 -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2049" type="#_x0000_t202" style="width:2in;height:2in;margin-top:0;margin-left:0;mso-position-horizontal:center;mso-position-horizontal-relative:margin;mso-wrap-distance-bottom:0;mso-wrap-distance-left:9pt;mso-wrap-distance-right:9pt;mso-wrap-distance-top:0;mso-wrap-style:none;position:absolute;v-text-anchor:top;z-index:251658240" filled="f" fillcolor="this" stroked="f" strokeweight="0.5pt">
              <v:textbox style="mso-fit-shape-to-text:t" inset="0,0,0,0">
                <w:txbxContent>
                  <w:p w14:paraId="1F2D6295">
                    <w:pPr>
                      <w:pStyle w:val="Footer"/>
                    </w:pPr>
                    <w:r>
                      <w:fldChar w:fldCharType="begin"/>
                    </w:r>
                    <w:r>
                      <w:instrText xml:space="preserve"> PAGE  \* MERGEFORMAT </w:instrText>
                    </w:r>
                    <w:r>
                      <w:fldChar w:fldCharType="separate"/>
                    </w:r>
                    <w:r>
                      <w:t>- 10 -</w:t>
                    </w:r>
                    <w:r>
                      <w:fldChar w:fldCharType="end"/>
                    </w:r>
                  </w:p>
                </w:txbxContent>
              </v:textbox>
              <w10:wrap anchorx="margin"/>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2"/>
  <w:embedSystemFonts/>
  <w:bordersDoNotSurroundHeader/>
  <w:bordersDoNotSurroundFooter/>
  <w:stylePaneFormatFilter w:val="1004"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isibleStyles="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EB9D4E"/>
    <w:rsid w:val="85BFA196"/>
    <w:rsid w:val="AFFF5E5A"/>
    <w:rsid w:val="EFF3200E"/>
    <w:rsid w:val="F7FE168E"/>
    <w:rsid w:val="FBFE1EC4"/>
    <w:rsid w:val="FDB6C501"/>
    <w:rsid w:val="FEFFBA8E"/>
    <w:rsid w:val="001B7D81"/>
    <w:rsid w:val="00212F42"/>
    <w:rsid w:val="002263F6"/>
    <w:rsid w:val="002467F5"/>
    <w:rsid w:val="00250B28"/>
    <w:rsid w:val="002918C9"/>
    <w:rsid w:val="00295CF1"/>
    <w:rsid w:val="002F04E0"/>
    <w:rsid w:val="0033290C"/>
    <w:rsid w:val="00353F14"/>
    <w:rsid w:val="003A2DB7"/>
    <w:rsid w:val="003C5CED"/>
    <w:rsid w:val="00466715"/>
    <w:rsid w:val="005310B0"/>
    <w:rsid w:val="00542E66"/>
    <w:rsid w:val="00594E23"/>
    <w:rsid w:val="005D06A2"/>
    <w:rsid w:val="0064139B"/>
    <w:rsid w:val="00645E5F"/>
    <w:rsid w:val="006768A1"/>
    <w:rsid w:val="006A24B2"/>
    <w:rsid w:val="00702A46"/>
    <w:rsid w:val="007D68E4"/>
    <w:rsid w:val="007F3C0B"/>
    <w:rsid w:val="00824DCB"/>
    <w:rsid w:val="0082613E"/>
    <w:rsid w:val="008730FB"/>
    <w:rsid w:val="008F29AA"/>
    <w:rsid w:val="009228E0"/>
    <w:rsid w:val="009774B4"/>
    <w:rsid w:val="009A6875"/>
    <w:rsid w:val="009B37F4"/>
    <w:rsid w:val="00A87195"/>
    <w:rsid w:val="00B251DF"/>
    <w:rsid w:val="00B44CA1"/>
    <w:rsid w:val="00B452C8"/>
    <w:rsid w:val="00BC19C1"/>
    <w:rsid w:val="00D520A3"/>
    <w:rsid w:val="00D601A1"/>
    <w:rsid w:val="00DB20B8"/>
    <w:rsid w:val="00E03855"/>
    <w:rsid w:val="00E26268"/>
    <w:rsid w:val="00E86472"/>
    <w:rsid w:val="00EE1D16"/>
    <w:rsid w:val="00EF24C3"/>
    <w:rsid w:val="00F05E28"/>
    <w:rsid w:val="00F97BF0"/>
    <w:rsid w:val="00FA1153"/>
    <w:rsid w:val="00FD6B85"/>
    <w:rsid w:val="00FD6C91"/>
    <w:rsid w:val="3EFB48B4"/>
    <w:rsid w:val="3FF74863"/>
    <w:rsid w:val="5E3E8961"/>
    <w:rsid w:val="5FFB2570"/>
    <w:rsid w:val="6EFB100C"/>
    <w:rsid w:val="6F3F2741"/>
    <w:rsid w:val="77EF7918"/>
    <w:rsid w:val="79FD8804"/>
    <w:rsid w:val="7CB658B2"/>
    <w:rsid w:val="7DEB9D4E"/>
    <w:rsid w:val="7FE7D9C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qFormat="1"/>
    <w:lsdException w:name="Body Text Indent 3" w:semiHidden="0" w:uiPriority="0" w:unhideWhenUsed="0"/>
    <w:lsdException w:name="Block Text" w:semiHidden="0" w:uiPriority="0" w:unhideWhenUsed="0"/>
    <w:lsdException w:name="Hyperlink" w:semiHidden="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line="360" w:lineRule="auto"/>
      <w:jc w:val="both"/>
    </w:pPr>
    <w:rPr>
      <w:rFonts w:ascii="Times New Roman" w:eastAsia="宋体" w:hAnsi="Times New Roman" w:cs="Times New Roman"/>
      <w:kern w:val="2"/>
      <w:sz w:val="24"/>
      <w:szCs w:val="24"/>
      <w:lang w:val="en-US" w:eastAsia="zh-CN" w:bidi="ar-SA"/>
    </w:rPr>
  </w:style>
  <w:style w:type="paragraph" w:styleId="Heading1">
    <w:name w:val="heading 1"/>
    <w:basedOn w:val="Normal"/>
    <w:next w:val="Normal"/>
    <w:uiPriority w:val="9"/>
    <w:qFormat/>
    <w:pPr>
      <w:spacing w:before="50" w:beforeLines="50" w:after="50" w:afterLines="50"/>
      <w:outlineLvl w:val="0"/>
    </w:pPr>
    <w:rPr>
      <w:rFonts w:ascii="Cambria" w:eastAsia="黑体" w:hAnsi="Cambria"/>
      <w:b/>
      <w:bCs/>
      <w:sz w:val="30"/>
      <w:szCs w:val="28"/>
    </w:rPr>
  </w:style>
  <w:style w:type="paragraph" w:styleId="Heading2">
    <w:name w:val="heading 2"/>
    <w:basedOn w:val="Normal"/>
    <w:next w:val="Normal"/>
    <w:uiPriority w:val="9"/>
    <w:semiHidden/>
    <w:unhideWhenUsed/>
    <w:qFormat/>
    <w:pPr>
      <w:spacing w:before="50" w:beforeLines="50" w:after="50" w:afterLines="50"/>
      <w:outlineLvl w:val="1"/>
    </w:pPr>
    <w:rPr>
      <w:rFonts w:ascii="Cambria" w:hAnsi="Cambria" w:eastAsiaTheme="majorEastAsia"/>
      <w:b/>
      <w:bCs/>
      <w:sz w:val="28"/>
      <w:szCs w:val="26"/>
    </w:rPr>
  </w:style>
  <w:style w:type="paragraph" w:styleId="Heading3">
    <w:name w:val="heading 3"/>
    <w:basedOn w:val="Normal"/>
    <w:next w:val="Normal"/>
    <w:uiPriority w:val="9"/>
    <w:semiHidden/>
    <w:unhideWhenUsed/>
    <w:qFormat/>
    <w:pPr>
      <w:spacing w:before="50" w:beforeLines="50" w:after="50" w:afterLines="50"/>
      <w:outlineLvl w:val="2"/>
    </w:pPr>
    <w:rPr>
      <w:rFonts w:ascii="Cambria" w:hAnsi="Cambria"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odyTextIndent">
    <w:name w:val="Body Text Indent"/>
    <w:basedOn w:val="Normal"/>
    <w:qFormat/>
    <w:pPr>
      <w:ind w:firstLine="360" w:firstLineChars="200"/>
    </w:pPr>
    <w:rPr>
      <w:rFonts w:ascii="宋体" w:hAnsi="宋体"/>
      <w:kern w:val="0"/>
      <w:sz w:val="18"/>
    </w:rPr>
  </w:style>
  <w:style w:type="paragraph" w:styleId="TOC3">
    <w:name w:val="toc 3"/>
    <w:basedOn w:val="Normal"/>
    <w:next w:val="Normal"/>
    <w:pPr>
      <w:ind w:left="480"/>
    </w:pPr>
  </w:style>
  <w:style w:type="paragraph" w:styleId="BodyTextIndent2">
    <w:name w:val="Body Text Indent 2"/>
    <w:basedOn w:val="Normal"/>
    <w:qFormat/>
    <w:pPr>
      <w:ind w:firstLine="360" w:firstLineChars="200"/>
    </w:pPr>
    <w:rPr>
      <w:rFonts w:ascii="宋体" w:hAnsi="宋体"/>
      <w:color w:val="3366FF"/>
      <w:kern w:val="0"/>
      <w:sz w:val="18"/>
    </w:rPr>
  </w:style>
  <w:style w:type="paragraph" w:styleId="Footer">
    <w:name w:val="footer"/>
    <w:basedOn w:val="Normal"/>
    <w:uiPriority w:val="99"/>
    <w:unhideWhenUsed/>
    <w:qFormat/>
    <w:pPr>
      <w:tabs>
        <w:tab w:val="center" w:pos="4153"/>
        <w:tab w:val="right" w:pos="8306"/>
      </w:tabs>
      <w:snapToGrid w:val="0"/>
      <w:spacing w:line="240" w:lineRule="atLeast"/>
      <w:jc w:val="left"/>
    </w:pPr>
    <w:rPr>
      <w:rFonts w:ascii="Calibri" w:hAnsi="Calibri"/>
      <w:kern w:val="0"/>
      <w:sz w:val="18"/>
      <w:szCs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uiPriority w:val="39"/>
  </w:style>
  <w:style w:type="paragraph" w:styleId="TOC2">
    <w:name w:val="toc 2"/>
    <w:basedOn w:val="Normal"/>
    <w:next w:val="Normal"/>
    <w:pPr>
      <w:ind w:left="240"/>
    </w:pPr>
  </w:style>
  <w:style w:type="character" w:styleId="Hyperlink">
    <w:name w:val="Hyperlink"/>
    <w:basedOn w:val="DefaultParagraphFont"/>
    <w:uiPriority w:val="99"/>
    <w:rPr>
      <w:color w:val="0000FF"/>
      <w:u w:val="single"/>
    </w:rPr>
  </w:style>
  <w:style w:type="paragraph" w:customStyle="1" w:styleId="content">
    <w:name w:val="content"/>
    <w:basedOn w:val="Normal"/>
    <w:pPr>
      <w:spacing w:line="450" w:lineRule="atLeast"/>
      <w:ind w:firstLine="480"/>
    </w:pPr>
    <w:rPr>
      <w:rFonts w:eastAsia="Times New Roman"/>
      <w:color w:val="333333"/>
    </w:rPr>
  </w:style>
  <w:style w:type="paragraph" w:customStyle="1" w:styleId="contentEn">
    <w:name w:val="contentEn"/>
    <w:basedOn w:val="Normal"/>
    <w:pPr>
      <w:spacing w:line="450" w:lineRule="atLeast"/>
      <w:ind w:firstLine="480"/>
    </w:pPr>
    <w:rPr>
      <w:rFonts w:eastAsia="Times New Roman"/>
      <w:color w:val="333333"/>
    </w:rPr>
  </w:style>
  <w:style w:type="paragraph" w:customStyle="1" w:styleId="ref">
    <w:name w:val="ref"/>
    <w:basedOn w:val="Normal"/>
    <w:pPr>
      <w:spacing w:line="375" w:lineRule="atLeast"/>
    </w:pPr>
    <w:rPr>
      <w:rFonts w:eastAsia="Times New Roman"/>
      <w:color w:val="333333"/>
    </w:rPr>
  </w:style>
  <w:style w:type="paragraph" w:styleId="BodyText">
    <w:name w:val="Body Text"/>
    <w:basedOn w:val="Normal"/>
    <w:rsid w:val="00805BCE"/>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9</Words>
  <Characters>55</Characters>
  <Application>Microsoft Office Word</Application>
  <DocSecurity>0</DocSecurity>
  <Lines>1</Lines>
  <Paragraphs>1</Paragraphs>
  <ScaleCrop>false</ScaleCrop>
  <Company/>
  <LinksUpToDate>false</LinksUpToDate>
  <CharactersWithSpaces>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tjp-deepin</dc:creator>
  <cp:lastModifiedBy>瞳孔</cp:lastModifiedBy>
  <cp:revision>33</cp:revision>
  <dcterms:created xsi:type="dcterms:W3CDTF">2023-06-29T02:38:00Z</dcterms:created>
  <dcterms:modified xsi:type="dcterms:W3CDTF">2025-11-06T11:55:32Z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{"ContentPropagator":"value5","Label":"1","ReservedCode1":"value4","ProduceID":"d2b53708-89d4-44c1-8731-cf6bf5edf91f","ReservedCode2":"value7","PropagateID":"value6","ContentProducer":"001191310115MA1HBA9F1110001"}</vt:lpwstr>
  </property>
  <property fmtid="{D5CDD505-2E9C-101B-9397-08002B2CF9AE}" pid="3" name="ICV">
    <vt:lpwstr>586B1BF82C83FE7E800AF065460029F7_43</vt:lpwstr>
  </property>
  <property fmtid="{D5CDD505-2E9C-101B-9397-08002B2CF9AE}" pid="4" name="KSOProductBuildVer">
    <vt:lpwstr>2052-6.14.0.8924</vt:lpwstr>
  </property>
</Properties>
</file>