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6F78"/>
          <w:spacing w:val="40"/>
          <w:sz w:val="26"/>
          <w:szCs w:val="26"/>
        </w:rPr>
        <w:t xml:space="preserve">PROJECT RECORD</w:t>
      </w:r>
    </w:p>
    <w:p>
      <w:pPr>
        <w:spacing w:after="40"/>
        <w:jc w:val="center"/>
      </w:pPr>
      <w:r>
        <w:rPr>
          <w:rFonts w:ascii="Calibri" w:cs="Calibri" w:eastAsia="Calibri" w:hAnsi="Calibri"/>
          <w:b/>
          <w:bCs/>
          <w:color w:val="1F2A33"/>
          <w:sz w:val="40"/>
          <w:szCs w:val="40"/>
        </w:rPr>
        <w:t xml:space="preserve">Data Warehousing &amp; Business Intelligence</w:t>
      </w:r>
    </w:p>
    <w:p>
      <w:pPr>
        <w:spacing w:after="30"/>
        <w:jc w:val="center"/>
      </w:pPr>
      <w:r>
        <w:rPr>
          <w:rFonts w:ascii="Calibri" w:cs="Calibri" w:eastAsia="Calibri" w:hAnsi="Calibri"/>
          <w:i/>
          <w:iCs/>
          <w:color w:val="5F6A72"/>
          <w:sz w:val="22"/>
          <w:szCs w:val="22"/>
        </w:rPr>
        <w:t xml:space="preserve">Building an End-to-End Data Warehouse for Cinnamon Hotels &amp; Resorts</w:t>
      </w:r>
    </w:p>
    <w:p>
      <w:pPr>
        <w:pBdr>
          <w:bottom w:val="single" w:color="7B2D26" w:sz="10"/>
        </w:pBdr>
        <w:spacing w:after="60"/>
        <w:jc w:val="center"/>
      </w:pPr>
      <w:r>
        <w:t xml:space="preserve"/>
      </w:r>
    </w:p>
    <w:p>
      <w:pPr>
        <w:spacing w:after="220" w:before="80"/>
        <w:jc w:val="center"/>
      </w:pPr>
      <w:r>
        <w:rPr>
          <w:rFonts w:ascii="Calibri" w:cs="Calibri" w:eastAsia="Calibri" w:hAnsi="Calibri"/>
          <w:color w:val="5F6A72"/>
          <w:sz w:val="20"/>
          <w:szCs w:val="20"/>
        </w:rPr>
        <w:t xml:space="preserve">Group 13  ·  Batch HNDSE252F  ·  NIBM School of Computing and Engineering</w:t>
      </w:r>
    </w:p>
    <w:p>
      <w:pPr>
        <w:pStyle w:val="Heading1"/>
        <w:spacing w:after="130" w:before="300"/>
      </w:pPr>
      <w:r>
        <w:rPr>
          <w:rFonts w:ascii="Calibri" w:cs="Calibri" w:eastAsia="Calibri" w:hAnsi="Calibri"/>
          <w:b/>
          <w:bCs/>
          <w:color w:val="7B2D26"/>
          <w:sz w:val="30"/>
          <w:szCs w:val="30"/>
        </w:rPr>
        <w:t xml:space="preserve">1. What This Project Is About</w:t>
      </w:r>
    </w:p>
    <w:p>
      <w:pPr>
        <w:spacing w:after="150" w:line="288"/>
        <w:jc w:val="both"/>
      </w:pPr>
      <w:r>
        <w:rPr>
          <w:rFonts w:ascii="Calibri" w:cs="Calibri" w:eastAsia="Calibri" w:hAnsi="Calibri"/>
          <w:sz w:val="22"/>
          <w:szCs w:val="22"/>
        </w:rPr>
        <w:t xml:space="preserve">This project is the coursework for the Data Warehousing and Business Intelligence (DW&amp;BI) module. The task was to design and build a complete, working data warehouse for a real hospitality or tourism organisation, and then use business intelligence tools to turn that data into insight. It was not just a written report — it required four real, working deliverables: a live database with a proper dimensional schema, an ETL pipeline pulling from three different source types, an interactive BI dashboard with OLAP cubes, and a defensible report and viva.</w:t>
      </w:r>
    </w:p>
    <w:p>
      <w:pPr>
        <w:spacing w:after="150" w:line="288"/>
        <w:jc w:val="both"/>
      </w:pPr>
      <w:r>
        <w:rPr>
          <w:rFonts w:ascii="Calibri" w:cs="Calibri" w:eastAsia="Calibri" w:hAnsi="Calibri"/>
          <w:sz w:val="22"/>
          <w:szCs w:val="22"/>
        </w:rPr>
        <w:t xml:space="preserve">We chose Cinnamon Hotels &amp; Resorts, the multi-property hospitality chain under Sri Lanka's John Keells Group. Because the chain spans city hotels, beach resorts and hill-country properties across Sri Lanka and the Maldives, its data is naturally varied and high in volume — an ideal candidate for a centralised analytical platform. The goal from day one was clear: not a pass, but an A+ built to industry standard.</w:t>
      </w:r>
    </w:p>
    <w:p>
      <w:pPr>
        <w:spacing w:after="150" w:line="288"/>
        <w:jc w:val="both"/>
      </w:pPr>
      <w:r>
        <w:rPr>
          <w:rFonts w:ascii="Calibri" w:cs="Calibri" w:eastAsia="Calibri" w:hAnsi="Calibri"/>
          <w:sz w:val="22"/>
          <w:szCs w:val="22"/>
        </w:rPr>
        <w:t xml:space="preserve">This was a group coursework, but as usual the full technical build — the database, the ETL, the dashboard, the cubes, the report and the presentation — was carried by one person, with the rest of the team contributing at the documentation level.</w:t>
      </w:r>
    </w:p>
    <w:p>
      <w:pPr>
        <w:pStyle w:val="Heading1"/>
        <w:spacing w:after="130" w:before="300"/>
      </w:pPr>
      <w:r>
        <w:rPr>
          <w:rFonts w:ascii="Calibri" w:cs="Calibri" w:eastAsia="Calibri" w:hAnsi="Calibri"/>
          <w:b/>
          <w:bCs/>
          <w:color w:val="7B2D26"/>
          <w:sz w:val="30"/>
          <w:szCs w:val="30"/>
        </w:rPr>
        <w:t xml:space="preserve">2. Tools &amp; Technologies Used</w:t>
      </w:r>
    </w:p>
    <w:p>
      <w:pPr>
        <w:pStyle w:val="ListParagraph"/>
        <w:numPr>
          <w:ilvl w:val="0"/>
          <w:numId w:val="2"/>
        </w:numPr>
        <w:spacing w:after="80" w:line="276"/>
      </w:pPr>
      <w:r>
        <w:rPr>
          <w:rFonts w:ascii="Calibri" w:cs="Calibri" w:eastAsia="Calibri" w:hAnsi="Calibri"/>
          <w:b/>
          <w:bCs/>
          <w:color w:val="1F2A33"/>
          <w:sz w:val="22"/>
          <w:szCs w:val="22"/>
        </w:rPr>
        <w:t xml:space="preserve">Oracle Database 21c Express Edition (XEPDB1)</w:t>
      </w:r>
      <w:r>
        <w:rPr>
          <w:rFonts w:ascii="Calibri" w:cs="Calibri" w:eastAsia="Calibri" w:hAnsi="Calibri"/>
          <w:sz w:val="22"/>
          <w:szCs w:val="22"/>
        </w:rPr>
        <w:t xml:space="preserve"> — the data warehouse itself, built in SQL Developer.</w:t>
      </w:r>
    </w:p>
    <w:p>
      <w:pPr>
        <w:pStyle w:val="ListParagraph"/>
        <w:numPr>
          <w:ilvl w:val="0"/>
          <w:numId w:val="2"/>
        </w:numPr>
        <w:spacing w:after="80" w:line="276"/>
      </w:pPr>
      <w:r>
        <w:rPr>
          <w:rFonts w:ascii="Calibri" w:cs="Calibri" w:eastAsia="Calibri" w:hAnsi="Calibri"/>
          <w:b/>
          <w:bCs/>
          <w:color w:val="1F2A33"/>
          <w:sz w:val="22"/>
          <w:szCs w:val="22"/>
        </w:rPr>
        <w:t xml:space="preserve">MySQL + MySQL Workbench</w:t>
      </w:r>
      <w:r>
        <w:rPr>
          <w:rFonts w:ascii="Calibri" w:cs="Calibri" w:eastAsia="Calibri" w:hAnsi="Calibri"/>
          <w:sz w:val="22"/>
          <w:szCs w:val="22"/>
        </w:rPr>
        <w:t xml:space="preserve"> — a source database (cinnamon_pms) standing in for the hotel's Property Management System.</w:t>
      </w:r>
    </w:p>
    <w:p>
      <w:pPr>
        <w:pStyle w:val="ListParagraph"/>
        <w:numPr>
          <w:ilvl w:val="0"/>
          <w:numId w:val="2"/>
        </w:numPr>
        <w:spacing w:after="80" w:line="276"/>
      </w:pPr>
      <w:r>
        <w:rPr>
          <w:rFonts w:ascii="Calibri" w:cs="Calibri" w:eastAsia="Calibri" w:hAnsi="Calibri"/>
          <w:b/>
          <w:bCs/>
          <w:color w:val="1F2A33"/>
          <w:sz w:val="22"/>
          <w:szCs w:val="22"/>
        </w:rPr>
        <w:t xml:space="preserve">Apache NiFi 2.10.0</w:t>
      </w:r>
      <w:r>
        <w:rPr>
          <w:rFonts w:ascii="Calibri" w:cs="Calibri" w:eastAsia="Calibri" w:hAnsi="Calibri"/>
          <w:sz w:val="22"/>
          <w:szCs w:val="22"/>
        </w:rPr>
        <w:t xml:space="preserve"> — the ETL tool used to extract, stage and load all three sources (no Python, per the rules).</w:t>
      </w:r>
    </w:p>
    <w:p>
      <w:pPr>
        <w:pStyle w:val="ListParagraph"/>
        <w:numPr>
          <w:ilvl w:val="0"/>
          <w:numId w:val="2"/>
        </w:numPr>
        <w:spacing w:after="80" w:line="276"/>
      </w:pPr>
      <w:r>
        <w:rPr>
          <w:rFonts w:ascii="Calibri" w:cs="Calibri" w:eastAsia="Calibri" w:hAnsi="Calibri"/>
          <w:b/>
          <w:bCs/>
          <w:color w:val="1F2A33"/>
          <w:sz w:val="22"/>
          <w:szCs w:val="22"/>
        </w:rPr>
        <w:t xml:space="preserve">Microsoft Power BI Desktop</w:t>
      </w:r>
      <w:r>
        <w:rPr>
          <w:rFonts w:ascii="Calibri" w:cs="Calibri" w:eastAsia="Calibri" w:hAnsi="Calibri"/>
          <w:sz w:val="22"/>
          <w:szCs w:val="22"/>
        </w:rPr>
        <w:t xml:space="preserve"> — the BI layer: the interactive dashboard and the OLAP cubes.</w:t>
      </w:r>
    </w:p>
    <w:p>
      <w:pPr>
        <w:pStyle w:val="ListParagraph"/>
        <w:numPr>
          <w:ilvl w:val="0"/>
          <w:numId w:val="2"/>
        </w:numPr>
        <w:spacing w:after="80" w:line="276"/>
      </w:pPr>
      <w:r>
        <w:rPr>
          <w:rFonts w:ascii="Calibri" w:cs="Calibri" w:eastAsia="Calibri" w:hAnsi="Calibri"/>
          <w:b/>
          <w:bCs/>
          <w:color w:val="1F2A33"/>
          <w:sz w:val="22"/>
          <w:szCs w:val="22"/>
        </w:rPr>
        <w:t xml:space="preserve">Qlik Talend Cloud (trial)</w:t>
      </w:r>
      <w:r>
        <w:rPr>
          <w:rFonts w:ascii="Calibri" w:cs="Calibri" w:eastAsia="Calibri" w:hAnsi="Calibri"/>
          <w:sz w:val="22"/>
          <w:szCs w:val="22"/>
        </w:rPr>
        <w:t xml:space="preserve"> — activated as a possible alternative ETL tool, but deliberately not used (explained below).</w:t>
      </w:r>
    </w:p>
    <w:p>
      <w:pPr>
        <w:pStyle w:val="ListParagraph"/>
        <w:numPr>
          <w:ilvl w:val="0"/>
          <w:numId w:val="2"/>
        </w:numPr>
        <w:spacing w:after="80" w:line="276"/>
      </w:pPr>
      <w:r>
        <w:rPr>
          <w:rFonts w:ascii="Calibri" w:cs="Calibri" w:eastAsia="Calibri" w:hAnsi="Calibri"/>
          <w:b/>
          <w:bCs/>
          <w:color w:val="1F2A33"/>
          <w:sz w:val="22"/>
          <w:szCs w:val="22"/>
        </w:rPr>
        <w:t xml:space="preserve">Supporting tools</w:t>
      </w:r>
      <w:r>
        <w:rPr>
          <w:rFonts w:ascii="Calibri" w:cs="Calibri" w:eastAsia="Calibri" w:hAnsi="Calibri"/>
          <w:sz w:val="22"/>
          <w:szCs w:val="22"/>
        </w:rPr>
        <w:t xml:space="preserve"> — SQL Developer Data Modeler for the schema diagram, and Microsoft Word/PowerPoint for the report, deck and script.</w:t>
      </w:r>
    </w:p>
    <w:p>
      <w:pPr>
        <w:pStyle w:val="Heading1"/>
        <w:spacing w:after="130" w:before="300"/>
      </w:pPr>
      <w:r>
        <w:rPr>
          <w:rFonts w:ascii="Calibri" w:cs="Calibri" w:eastAsia="Calibri" w:hAnsi="Calibri"/>
          <w:b/>
          <w:bCs/>
          <w:color w:val="7B2D26"/>
          <w:sz w:val="30"/>
          <w:szCs w:val="30"/>
        </w:rPr>
        <w:t xml:space="preserve">3. The Approach — How We Planned It</w:t>
      </w:r>
    </w:p>
    <w:p>
      <w:pPr>
        <w:spacing w:after="150" w:line="288"/>
        <w:jc w:val="both"/>
      </w:pPr>
      <w:r>
        <w:rPr>
          <w:rFonts w:ascii="Calibri" w:cs="Calibri" w:eastAsia="Calibri" w:hAnsi="Calibri"/>
          <w:sz w:val="22"/>
          <w:szCs w:val="22"/>
        </w:rPr>
        <w:t xml:space="preserve">With the viva only two days away and a large amount still to build, we worked to a tight, prioritised plan. The principle was simple: protect the mark-heavy technical build first (ETL, schema, dashboard, cubes — roughly 60% of the marks plus the viva), and leave polishing for last. We broke the work into clear phases and finished them in order, verifying each step before moving on.</w:t>
      </w:r>
    </w:p>
    <w:p>
      <w:pPr>
        <w:pStyle w:val="ListParagraph"/>
        <w:numPr>
          <w:ilvl w:val="0"/>
          <w:numId w:val="2"/>
        </w:numPr>
        <w:spacing w:after="80" w:line="276"/>
      </w:pPr>
      <w:r>
        <w:rPr>
          <w:rFonts w:ascii="Calibri" w:cs="Calibri" w:eastAsia="Calibri" w:hAnsi="Calibri"/>
          <w:b/>
          <w:bCs/>
          <w:color w:val="1F2A33"/>
          <w:sz w:val="22"/>
          <w:szCs w:val="22"/>
        </w:rPr>
        <w:t xml:space="preserve">Phase 1 — Data sourcing:</w:t>
      </w:r>
      <w:r>
        <w:rPr>
          <w:rFonts w:ascii="Calibri" w:cs="Calibri" w:eastAsia="Calibri" w:hAnsi="Calibri"/>
          <w:sz w:val="22"/>
          <w:szCs w:val="22"/>
        </w:rPr>
        <w:t xml:space="preserve"> secure three real, different sources.</w:t>
      </w:r>
    </w:p>
    <w:p>
      <w:pPr>
        <w:pStyle w:val="ListParagraph"/>
        <w:numPr>
          <w:ilvl w:val="0"/>
          <w:numId w:val="2"/>
        </w:numPr>
        <w:spacing w:after="80" w:line="276"/>
      </w:pPr>
      <w:r>
        <w:rPr>
          <w:rFonts w:ascii="Calibri" w:cs="Calibri" w:eastAsia="Calibri" w:hAnsi="Calibri"/>
          <w:b/>
          <w:bCs/>
          <w:color w:val="1F2A33"/>
          <w:sz w:val="22"/>
          <w:szCs w:val="22"/>
        </w:rPr>
        <w:t xml:space="preserve">Phase 2 — Schema:</w:t>
      </w:r>
      <w:r>
        <w:rPr>
          <w:rFonts w:ascii="Calibri" w:cs="Calibri" w:eastAsia="Calibri" w:hAnsi="Calibri"/>
          <w:sz w:val="22"/>
          <w:szCs w:val="22"/>
        </w:rPr>
        <w:t xml:space="preserve"> design and create the star schema in Oracle.</w:t>
      </w:r>
    </w:p>
    <w:p>
      <w:pPr>
        <w:pStyle w:val="ListParagraph"/>
        <w:numPr>
          <w:ilvl w:val="0"/>
          <w:numId w:val="2"/>
        </w:numPr>
        <w:spacing w:after="80" w:line="276"/>
      </w:pPr>
      <w:r>
        <w:rPr>
          <w:rFonts w:ascii="Calibri" w:cs="Calibri" w:eastAsia="Calibri" w:hAnsi="Calibri"/>
          <w:b/>
          <w:bCs/>
          <w:color w:val="1F2A33"/>
          <w:sz w:val="22"/>
          <w:szCs w:val="22"/>
        </w:rPr>
        <w:t xml:space="preserve">Phase 3 — ETL:</w:t>
      </w:r>
      <w:r>
        <w:rPr>
          <w:rFonts w:ascii="Calibri" w:cs="Calibri" w:eastAsia="Calibri" w:hAnsi="Calibri"/>
          <w:sz w:val="22"/>
          <w:szCs w:val="22"/>
        </w:rPr>
        <w:t xml:space="preserve"> build the three NiFi flows into staging.</w:t>
      </w:r>
    </w:p>
    <w:p>
      <w:pPr>
        <w:pStyle w:val="ListParagraph"/>
        <w:numPr>
          <w:ilvl w:val="0"/>
          <w:numId w:val="2"/>
        </w:numPr>
        <w:spacing w:after="80" w:line="276"/>
      </w:pPr>
      <w:r>
        <w:rPr>
          <w:rFonts w:ascii="Calibri" w:cs="Calibri" w:eastAsia="Calibri" w:hAnsi="Calibri"/>
          <w:b/>
          <w:bCs/>
          <w:color w:val="1F2A33"/>
          <w:sz w:val="22"/>
          <w:szCs w:val="22"/>
        </w:rPr>
        <w:t xml:space="preserve">Phase 4 — Transform:</w:t>
      </w:r>
      <w:r>
        <w:rPr>
          <w:rFonts w:ascii="Calibri" w:cs="Calibri" w:eastAsia="Calibri" w:hAnsi="Calibri"/>
          <w:sz w:val="22"/>
          <w:szCs w:val="22"/>
        </w:rPr>
        <w:t xml:space="preserve"> load the staging data into the star schema.</w:t>
      </w:r>
    </w:p>
    <w:p>
      <w:pPr>
        <w:pStyle w:val="ListParagraph"/>
        <w:numPr>
          <w:ilvl w:val="0"/>
          <w:numId w:val="2"/>
        </w:numPr>
        <w:spacing w:after="80" w:line="276"/>
      </w:pPr>
      <w:r>
        <w:rPr>
          <w:rFonts w:ascii="Calibri" w:cs="Calibri" w:eastAsia="Calibri" w:hAnsi="Calibri"/>
          <w:b/>
          <w:bCs/>
          <w:color w:val="1F2A33"/>
          <w:sz w:val="22"/>
          <w:szCs w:val="22"/>
        </w:rPr>
        <w:t xml:space="preserve">Phase 5 — Dashboard:</w:t>
      </w:r>
      <w:r>
        <w:rPr>
          <w:rFonts w:ascii="Calibri" w:cs="Calibri" w:eastAsia="Calibri" w:hAnsi="Calibri"/>
          <w:sz w:val="22"/>
          <w:szCs w:val="22"/>
        </w:rPr>
        <w:t xml:space="preserve"> build the Power BI visuals.</w:t>
      </w:r>
    </w:p>
    <w:p>
      <w:pPr>
        <w:pStyle w:val="ListParagraph"/>
        <w:numPr>
          <w:ilvl w:val="0"/>
          <w:numId w:val="2"/>
        </w:numPr>
        <w:spacing w:after="80" w:line="276"/>
      </w:pPr>
      <w:r>
        <w:rPr>
          <w:rFonts w:ascii="Calibri" w:cs="Calibri" w:eastAsia="Calibri" w:hAnsi="Calibri"/>
          <w:b/>
          <w:bCs/>
          <w:color w:val="1F2A33"/>
          <w:sz w:val="22"/>
          <w:szCs w:val="22"/>
        </w:rPr>
        <w:t xml:space="preserve">Phase 6 — OLAP:</w:t>
      </w:r>
      <w:r>
        <w:rPr>
          <w:rFonts w:ascii="Calibri" w:cs="Calibri" w:eastAsia="Calibri" w:hAnsi="Calibri"/>
          <w:sz w:val="22"/>
          <w:szCs w:val="22"/>
        </w:rPr>
        <w:t xml:space="preserve"> build the three cubes and demonstrate the operations.</w:t>
      </w:r>
    </w:p>
    <w:p>
      <w:pPr>
        <w:pStyle w:val="ListParagraph"/>
        <w:numPr>
          <w:ilvl w:val="0"/>
          <w:numId w:val="2"/>
        </w:numPr>
        <w:spacing w:after="80" w:line="276"/>
      </w:pPr>
      <w:r>
        <w:rPr>
          <w:rFonts w:ascii="Calibri" w:cs="Calibri" w:eastAsia="Calibri" w:hAnsi="Calibri"/>
          <w:b/>
          <w:bCs/>
          <w:color w:val="1F2A33"/>
          <w:sz w:val="22"/>
          <w:szCs w:val="22"/>
        </w:rPr>
        <w:t xml:space="preserve">Phase 7 — Write-up:</w:t>
      </w:r>
      <w:r>
        <w:rPr>
          <w:rFonts w:ascii="Calibri" w:cs="Calibri" w:eastAsia="Calibri" w:hAnsi="Calibri"/>
          <w:sz w:val="22"/>
          <w:szCs w:val="22"/>
        </w:rPr>
        <w:t xml:space="preserve"> report, presentation and script.</w:t>
      </w:r>
    </w:p>
    <w:p>
      <w:pPr>
        <w:pStyle w:val="Heading1"/>
        <w:spacing w:after="130" w:before="300"/>
      </w:pPr>
      <w:r>
        <w:rPr>
          <w:rFonts w:ascii="Calibri" w:cs="Calibri" w:eastAsia="Calibri" w:hAnsi="Calibri"/>
          <w:b/>
          <w:bCs/>
          <w:color w:val="7B2D26"/>
          <w:sz w:val="30"/>
          <w:szCs w:val="30"/>
        </w:rPr>
        <w:t xml:space="preserve">4. The Build Journey — What We Did, Step by Step</w:t>
      </w:r>
    </w:p>
    <w:p>
      <w:pPr>
        <w:pStyle w:val="Heading2"/>
        <w:spacing w:after="110" w:before="200"/>
      </w:pPr>
      <w:r>
        <w:rPr>
          <w:rFonts w:ascii="Calibri" w:cs="Calibri" w:eastAsia="Calibri" w:hAnsi="Calibri"/>
          <w:b/>
          <w:bCs/>
          <w:color w:val="1F2A33"/>
          <w:sz w:val="24"/>
          <w:szCs w:val="24"/>
        </w:rPr>
        <w:t xml:space="preserve">4.1 Data Sourcing</w:t>
      </w:r>
    </w:p>
    <w:p>
      <w:pPr>
        <w:spacing w:after="150" w:line="288"/>
        <w:jc w:val="both"/>
      </w:pPr>
      <w:r>
        <w:rPr>
          <w:rFonts w:ascii="Calibri" w:cs="Calibri" w:eastAsia="Calibri" w:hAnsi="Calibri"/>
          <w:sz w:val="22"/>
          <w:szCs w:val="22"/>
        </w:rPr>
        <w:t xml:space="preserve">We selected three genuinely different, real sources. First, a CSV export of the Hotel Booking Demand dataset (119,390 real booking records), framed as Cinnamon's central reservation system. Second, a hotel-reservations dataset loaded into a MySQL database named cinnamon_pms (36,275 records), simulating the Property Management System. Third, real government data from the Sri Lanka Tourism Development Authority (SLTDA) — monthly tourist arrivals — providing the external, macro-level seasonal picture. The three differ in format, access method and grain, which is exactly what a warehouse has to reconcile.</w:t>
      </w:r>
    </w:p>
    <w:p>
      <w:pPr>
        <w:pStyle w:val="Heading2"/>
        <w:spacing w:after="110" w:before="200"/>
      </w:pPr>
      <w:r>
        <w:rPr>
          <w:rFonts w:ascii="Calibri" w:cs="Calibri" w:eastAsia="Calibri" w:hAnsi="Calibri"/>
          <w:b/>
          <w:bCs/>
          <w:color w:val="1F2A33"/>
          <w:sz w:val="24"/>
          <w:szCs w:val="24"/>
        </w:rPr>
        <w:t xml:space="preserve">4.2 Designing and Creating the Star Schema</w:t>
      </w:r>
    </w:p>
    <w:p>
      <w:pPr>
        <w:spacing w:after="150" w:line="288"/>
        <w:jc w:val="both"/>
      </w:pPr>
      <w:r>
        <w:rPr>
          <w:rFonts w:ascii="Calibri" w:cs="Calibri" w:eastAsia="Calibri" w:hAnsi="Calibri"/>
          <w:sz w:val="22"/>
          <w:szCs w:val="22"/>
        </w:rPr>
        <w:t xml:space="preserve">We modelled the warehouse as a star schema: one central fact table, FACT_BOOKINGS, surrounded by five dimension tables — DIM_DATE, DIM_CUSTOMER, DIM_HOTEL, DIM_ROOMTYPE and DIM_CHANNEL. The star was chosen over snowflake and galaxy designs because it needs fewer joins, aggregates faster, and maps cleanly onto Power BI and OLAP tools. Each dimension was given a surrogate primary key, the fact table was given foreign keys to every dimension, and the date dimension was pre-populated across 2015–2026 with month, quarter, season and weekend attributes. The six real Cinnamon properties were seeded into DIM_HOTEL.</w:t>
      </w:r>
    </w:p>
    <w:p>
      <w:pPr>
        <w:pStyle w:val="Heading2"/>
        <w:spacing w:after="110" w:before="200"/>
      </w:pPr>
      <w:r>
        <w:rPr>
          <w:rFonts w:ascii="Calibri" w:cs="Calibri" w:eastAsia="Calibri" w:hAnsi="Calibri"/>
          <w:b/>
          <w:bCs/>
          <w:color w:val="1F2A33"/>
          <w:sz w:val="24"/>
          <w:szCs w:val="24"/>
        </w:rPr>
        <w:t xml:space="preserve">4.3 Building the ETL Pipeline in NiFi</w:t>
      </w:r>
    </w:p>
    <w:p>
      <w:pPr>
        <w:spacing w:after="150" w:line="288"/>
        <w:jc w:val="both"/>
      </w:pPr>
      <w:r>
        <w:rPr>
          <w:rFonts w:ascii="Calibri" w:cs="Calibri" w:eastAsia="Calibri" w:hAnsi="Calibri"/>
          <w:sz w:val="22"/>
          <w:szCs w:val="22"/>
        </w:rPr>
        <w:t xml:space="preserve">The first real decision was which ETL tool to use. Midway through, a 14-day Talend Cloud trial was activated, raising the question of whether to switch. We decided firmly to stay on NiFi: the environment was already working, the Oracle connection and CSV flow were already built, and — critically — Talend Cloud would have struggled to reach a database running on localhost, whereas NiFi runs locally and already talked to Oracle. Switching two days out would have thrown away working progress for no gain.</w:t>
      </w:r>
    </w:p>
    <w:p>
      <w:pPr>
        <w:spacing w:after="150" w:line="288"/>
        <w:jc w:val="both"/>
      </w:pPr>
      <w:r>
        <w:rPr>
          <w:rFonts w:ascii="Calibri" w:cs="Calibri" w:eastAsia="Calibri" w:hAnsi="Calibri"/>
          <w:sz w:val="22"/>
          <w:szCs w:val="22"/>
        </w:rPr>
        <w:t xml:space="preserve">We then built three flows. The CSV flow used GetFile → PutDatabaseRecord to load 119,390 rows into a staging table. The MySQL flow used QueryDatabaseTable → PutDatabaseRecord, reading the live database over a JDBC connection pool and loading 36,275 rows. The Excel source was exported to CSV and loaded through the same GetFile pattern. Reusable connection pools were configured for the Oracle target and the MySQL source so drivers and credentials were defined once.</w:t>
      </w:r>
    </w:p>
    <w:p>
      <w:pPr>
        <w:pStyle w:val="Heading2"/>
        <w:spacing w:after="110" w:before="200"/>
      </w:pPr>
      <w:r>
        <w:rPr>
          <w:rFonts w:ascii="Calibri" w:cs="Calibri" w:eastAsia="Calibri" w:hAnsi="Calibri"/>
          <w:b/>
          <w:bCs/>
          <w:color w:val="1F2A33"/>
          <w:sz w:val="24"/>
          <w:szCs w:val="24"/>
        </w:rPr>
        <w:t xml:space="preserve">4.4 The Transform — Staging to Star Schema</w:t>
      </w:r>
    </w:p>
    <w:p>
      <w:pPr>
        <w:spacing w:after="150" w:line="288"/>
        <w:jc w:val="both"/>
      </w:pPr>
      <w:r>
        <w:rPr>
          <w:rFonts w:ascii="Calibri" w:cs="Calibri" w:eastAsia="Calibri" w:hAnsi="Calibri"/>
          <w:sz w:val="22"/>
          <w:szCs w:val="22"/>
        </w:rPr>
        <w:t xml:space="preserve">This was the heart of the build. Every staging table was deliberately defined using text columns, so no data-type conversion happened during extraction. The final transformation then cleaned and converted the data as it moved into the star schema: missing values were substituted, room-type and channel codes were standardised and mapped onto their dimensions, a numeric date key was generated from the separate year, month-name and day fields, and each booking was matched to a customer profile. All 119,390 booking records loaded into FACT_BOOKINGS with zero row loss — a clean, fully-matched load.</w:t>
      </w:r>
    </w:p>
    <w:p>
      <w:pPr>
        <w:pStyle w:val="Heading2"/>
        <w:spacing w:after="110" w:before="200"/>
      </w:pPr>
      <w:r>
        <w:rPr>
          <w:rFonts w:ascii="Calibri" w:cs="Calibri" w:eastAsia="Calibri" w:hAnsi="Calibri"/>
          <w:b/>
          <w:bCs/>
          <w:color w:val="1F2A33"/>
          <w:sz w:val="24"/>
          <w:szCs w:val="24"/>
        </w:rPr>
        <w:t xml:space="preserve">4.5 The Power BI Dashboard</w:t>
      </w:r>
    </w:p>
    <w:p>
      <w:pPr>
        <w:spacing w:after="150" w:line="288"/>
        <w:jc w:val="both"/>
      </w:pPr>
      <w:r>
        <w:rPr>
          <w:rFonts w:ascii="Calibri" w:cs="Calibri" w:eastAsia="Calibri" w:hAnsi="Calibri"/>
          <w:sz w:val="22"/>
          <w:szCs w:val="22"/>
        </w:rPr>
        <w:t xml:space="preserve">Power BI was connected directly to the Oracle warehouse and the star-schema relationships were rebuilt in the model. We produced eleven visuals — KPI cards, revenue by property type, bookings by month, cancellation analysis, source markets, room-type demand, lead-time distribution, a seasonal revenue heatmap and more — plus a season slicer that makes the whole dashboard interactive.</w:t>
      </w:r>
    </w:p>
    <w:p>
      <w:pPr>
        <w:pStyle w:val="Heading2"/>
        <w:spacing w:after="110" w:before="200"/>
      </w:pPr>
      <w:r>
        <w:rPr>
          <w:rFonts w:ascii="Calibri" w:cs="Calibri" w:eastAsia="Calibri" w:hAnsi="Calibri"/>
          <w:b/>
          <w:bCs/>
          <w:color w:val="1F2A33"/>
          <w:sz w:val="24"/>
          <w:szCs w:val="24"/>
        </w:rPr>
        <w:t xml:space="preserve">4.6 The OLAP Cubes</w:t>
      </w:r>
    </w:p>
    <w:p>
      <w:pPr>
        <w:spacing w:after="150" w:line="288"/>
        <w:jc w:val="both"/>
      </w:pPr>
      <w:r>
        <w:rPr>
          <w:rFonts w:ascii="Calibri" w:cs="Calibri" w:eastAsia="Calibri" w:hAnsi="Calibri"/>
          <w:sz w:val="22"/>
          <w:szCs w:val="22"/>
        </w:rPr>
        <w:t xml:space="preserve">Three cubes were built as Power BI matrices, each on a different fact grouping: a Revenue Cube (Hotel × Date × Channel), an Occupancy Cube (Hotel × Room Type × Date) and a Guest Behaviour Cube (Segment × Country × Season). On these, all five OLAP operations — roll-up, drill-down, slice, dice and pivot — were demonstrated and captured as evidence.</w:t>
      </w:r>
    </w:p>
    <w:p>
      <w:pPr>
        <w:pStyle w:val="Heading2"/>
        <w:spacing w:after="110" w:before="200"/>
      </w:pPr>
      <w:r>
        <w:rPr>
          <w:rFonts w:ascii="Calibri" w:cs="Calibri" w:eastAsia="Calibri" w:hAnsi="Calibri"/>
          <w:b/>
          <w:bCs/>
          <w:color w:val="1F2A33"/>
          <w:sz w:val="24"/>
          <w:szCs w:val="24"/>
        </w:rPr>
        <w:t xml:space="preserve">4.7 The Write-up</w:t>
      </w:r>
    </w:p>
    <w:p>
      <w:pPr>
        <w:spacing w:after="150" w:line="288"/>
        <w:jc w:val="both"/>
      </w:pPr>
      <w:r>
        <w:rPr>
          <w:rFonts w:ascii="Calibri" w:cs="Calibri" w:eastAsia="Calibri" w:hAnsi="Calibri"/>
          <w:sz w:val="22"/>
          <w:szCs w:val="22"/>
        </w:rPr>
        <w:t xml:space="preserve">Finally we produced the deliverables: a full report (~3,750 words, 14 figures) matching the lecturer's required structure, an eleven-slide presentation rebuilt in a clean corporate style, a simple speaker script, and a reusable prompt for generating an alternate deck. Screenshots captured during the build fed straight into the report and slides.</w:t>
      </w:r>
    </w:p>
    <w:p>
      <w:r>
        <w:br w:type="page"/>
      </w:r>
    </w:p>
    <w:p>
      <w:pPr>
        <w:pStyle w:val="Heading1"/>
        <w:spacing w:after="130" w:before="300"/>
      </w:pPr>
      <w:r>
        <w:rPr>
          <w:rFonts w:ascii="Calibri" w:cs="Calibri" w:eastAsia="Calibri" w:hAnsi="Calibri"/>
          <w:b/>
          <w:bCs/>
          <w:color w:val="7B2D26"/>
          <w:sz w:val="30"/>
          <w:szCs w:val="30"/>
        </w:rPr>
        <w:t xml:space="preserve">5. Challenges We Faced — and How We Beat Them</w:t>
      </w:r>
    </w:p>
    <w:p>
      <w:pPr>
        <w:spacing w:after="150" w:line="288"/>
        <w:jc w:val="both"/>
      </w:pPr>
      <w:r>
        <w:rPr>
          <w:rFonts w:ascii="Calibri" w:cs="Calibri" w:eastAsia="Calibri" w:hAnsi="Calibri"/>
          <w:sz w:val="22"/>
          <w:szCs w:val="22"/>
        </w:rPr>
        <w:t xml:space="preserve">This was one of the hardest builds of the whole diploma, and progress came through solving a long series of real, concrete problems. The most important ones are recorded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7B2D26" w:color="auto" w:val="clear"/>
            <w:tcMar>
              <w:top w:type="dxa" w:w="60"/>
              <w:left w:type="dxa" w:w="110"/>
              <w:bottom w:type="dxa" w:w="60"/>
              <w:right w:type="dxa" w:w="110"/>
            </w:tcMar>
          </w:tcPr>
          <w:p>
            <w:r>
              <w:rPr>
                <w:rFonts w:ascii="Calibri" w:cs="Calibri" w:eastAsia="Calibri" w:hAnsi="Calibri"/>
                <w:b/>
                <w:bCs/>
                <w:color w:val="FFFFFF"/>
                <w:sz w:val="21"/>
                <w:szCs w:val="21"/>
              </w:rPr>
              <w:t xml:space="preserve">Challenge</w:t>
            </w:r>
          </w:p>
        </w:tc>
        <w:tc>
          <w:tcPr>
            <w:tcW w:type="dxa" w:w="5100"/>
            <w:shd w:fill="7B2D26" w:color="auto" w:val="clear"/>
            <w:tcMar>
              <w:top w:type="dxa" w:w="60"/>
              <w:left w:type="dxa" w:w="110"/>
              <w:bottom w:type="dxa" w:w="60"/>
              <w:right w:type="dxa" w:w="110"/>
            </w:tcMar>
          </w:tcPr>
          <w:p>
            <w:r>
              <w:rPr>
                <w:rFonts w:ascii="Calibri" w:cs="Calibri" w:eastAsia="Calibri" w:hAnsi="Calibri"/>
                <w:b/>
                <w:bCs/>
                <w:color w:val="FFFFFF"/>
                <w:sz w:val="21"/>
                <w:szCs w:val="21"/>
              </w:rPr>
              <w:t xml:space="preserve">How We Solved It</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Talend vs NiFi — should we switch ETL tools two days before the deadline?</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Stayed on NiFi. It was already working and connected to the local Oracle database, while Talend Cloud would have struggled to reach a localhost database. Kept the Talend trial as an unused backup.</w:t>
            </w:r>
          </w:p>
        </w:tc>
      </w:tr>
      <w:tr>
        <w:tc>
          <w:tcPr>
            <w:tcW w:type="dxa" w:w="4200"/>
            <w:shd w:fill="FFFFFF" w:color="auto" w:val="clear"/>
            <w:tcMar>
              <w:top w:type="dxa" w:w="55"/>
              <w:left w:type="dxa" w:w="110"/>
              <w:bottom w:type="dxa" w:w="55"/>
              <w:right w:type="dxa" w:w="110"/>
            </w:tcMar>
          </w:tcPr>
          <w:p>
            <w:r>
              <w:rPr>
                <w:rFonts w:ascii="Calibri" w:cs="Calibri" w:eastAsia="Calibri" w:hAnsi="Calibri"/>
                <w:sz w:val="20"/>
                <w:szCs w:val="20"/>
              </w:rPr>
              <w:t xml:space="preserve">NiFi would not start with run-nifi.bat on the new version.</w:t>
            </w:r>
          </w:p>
        </w:tc>
        <w:tc>
          <w:tcPr>
            <w:tcW w:type="dxa" w:w="5100"/>
            <w:shd w:fill="FFFFFF" w:color="auto" w:val="clear"/>
            <w:tcMar>
              <w:top w:type="dxa" w:w="55"/>
              <w:left w:type="dxa" w:w="110"/>
              <w:bottom w:type="dxa" w:w="55"/>
              <w:right w:type="dxa" w:w="110"/>
            </w:tcMar>
          </w:tcPr>
          <w:p>
            <w:r>
              <w:rPr>
                <w:rFonts w:ascii="Calibri" w:cs="Calibri" w:eastAsia="Calibri" w:hAnsi="Calibri"/>
                <w:sz w:val="20"/>
                <w:szCs w:val="20"/>
              </w:rPr>
              <w:t xml:space="preserve">Set a JAVA_HOME path and launched with the 'nifi start' command instead, then logged in through the generated username and password.</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ORA-01722 'invalid number' aborted the whole fact-table load because of a few bad values hidden in 119,390 rows.</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Staged every column as text and did type conversion only in the final SQL, using TO_NUMBER with DEFAULT ... ON CONVERSION ERROR so one bad value could not kill the load. Result: a full clean load.</w:t>
            </w:r>
          </w:p>
        </w:tc>
      </w:tr>
      <w:tr>
        <w:tc>
          <w:tcPr>
            <w:tcW w:type="dxa" w:w="4200"/>
            <w:shd w:fill="FFFFFF" w:color="auto" w:val="clear"/>
            <w:tcMar>
              <w:top w:type="dxa" w:w="55"/>
              <w:left w:type="dxa" w:w="110"/>
              <w:bottom w:type="dxa" w:w="55"/>
              <w:right w:type="dxa" w:w="110"/>
            </w:tcMar>
          </w:tcPr>
          <w:p>
            <w:r>
              <w:rPr>
                <w:rFonts w:ascii="Calibri" w:cs="Calibri" w:eastAsia="Calibri" w:hAnsi="Calibri"/>
                <w:sz w:val="20"/>
                <w:szCs w:val="20"/>
              </w:rPr>
              <w:t xml:space="preserve">Two DBCP connection pools (Oracle and MySQL) looked identical in the dropdowns and got confused.</w:t>
            </w:r>
          </w:p>
        </w:tc>
        <w:tc>
          <w:tcPr>
            <w:tcW w:type="dxa" w:w="5100"/>
            <w:shd w:fill="FFFFFF" w:color="auto" w:val="clear"/>
            <w:tcMar>
              <w:top w:type="dxa" w:w="55"/>
              <w:left w:type="dxa" w:w="110"/>
              <w:bottom w:type="dxa" w:w="55"/>
              <w:right w:type="dxa" w:w="110"/>
            </w:tcMar>
          </w:tcPr>
          <w:p>
            <w:r>
              <w:rPr>
                <w:rFonts w:ascii="Calibri" w:cs="Calibri" w:eastAsia="Calibri" w:hAnsi="Calibri"/>
                <w:sz w:val="20"/>
                <w:szCs w:val="20"/>
              </w:rPr>
              <w:t xml:space="preserve">Renamed them Oracle_DW_Pool and MySQL_PMS_Pool, and applied a simple rule: the extract processor reads from MySQL, the load processor writes to Oracle.</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The MySQL driver class had to match the connector version.</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Matched the 9.6.0 connector to the correct driver class, com.mysql.cj.jdbc.Driver.</w:t>
            </w:r>
          </w:p>
        </w:tc>
      </w:tr>
      <w:tr>
        <w:tc>
          <w:tcPr>
            <w:tcW w:type="dxa" w:w="4200"/>
            <w:shd w:fill="FFFFFF" w:color="auto" w:val="clear"/>
            <w:tcMar>
              <w:top w:type="dxa" w:w="55"/>
              <w:left w:type="dxa" w:w="110"/>
              <w:bottom w:type="dxa" w:w="55"/>
              <w:right w:type="dxa" w:w="110"/>
            </w:tcMar>
          </w:tcPr>
          <w:p>
            <w:r>
              <w:rPr>
                <w:rFonts w:ascii="Calibri" w:cs="Calibri" w:eastAsia="Calibri" w:hAnsi="Calibri"/>
                <w:sz w:val="20"/>
                <w:szCs w:val="20"/>
              </w:rPr>
              <w:t xml:space="preserve">NiFi does not read Excel cleanly, and the exported CSV brought in a stray 'Total' row (13 rows instead of 12).</w:t>
            </w:r>
          </w:p>
        </w:tc>
        <w:tc>
          <w:tcPr>
            <w:tcW w:type="dxa" w:w="5100"/>
            <w:shd w:fill="FFFFFF" w:color="auto" w:val="clear"/>
            <w:tcMar>
              <w:top w:type="dxa" w:w="55"/>
              <w:left w:type="dxa" w:w="110"/>
              <w:bottom w:type="dxa" w:w="55"/>
              <w:right w:type="dxa" w:w="110"/>
            </w:tcMar>
          </w:tcPr>
          <w:p>
            <w:r>
              <w:rPr>
                <w:rFonts w:ascii="Calibri" w:cs="Calibri" w:eastAsia="Calibri" w:hAnsi="Calibri"/>
                <w:sz w:val="20"/>
                <w:szCs w:val="20"/>
              </w:rPr>
              <w:t xml:space="preserve">Exported the SLTDA sheet to CSV, loaded it with the known GetFile pattern, and deleted the totals row in SQL to leave a clean 12 months.</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Power BI could not find the SYSTEM schema in the Navigator; its search was 'limited to already expanded items'.</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Bypassed the tree entirely by loading each table with a direct SQL statement (SELECT * FROM SYSTEM.&lt;table&gt;) and renaming the queries.</w:t>
            </w:r>
          </w:p>
        </w:tc>
      </w:tr>
      <w:tr>
        <w:tc>
          <w:tcPr>
            <w:tcW w:type="dxa" w:w="4200"/>
            <w:shd w:fill="FFFFFF" w:color="auto" w:val="clear"/>
            <w:tcMar>
              <w:top w:type="dxa" w:w="55"/>
              <w:left w:type="dxa" w:w="110"/>
              <w:bottom w:type="dxa" w:w="55"/>
              <w:right w:type="dxa" w:w="110"/>
            </w:tcMar>
          </w:tcPr>
          <w:p>
            <w:r>
              <w:rPr>
                <w:rFonts w:ascii="Calibri" w:cs="Calibri" w:eastAsia="Calibri" w:hAnsi="Calibri"/>
                <w:sz w:val="20"/>
                <w:szCs w:val="20"/>
              </w:rPr>
              <w:t xml:space="preserve">The Power BI Map visual kept throwing a rendering error.</w:t>
            </w:r>
          </w:p>
        </w:tc>
        <w:tc>
          <w:tcPr>
            <w:tcW w:type="dxa" w:w="5100"/>
            <w:shd w:fill="FFFFFF" w:color="auto" w:val="clear"/>
            <w:tcMar>
              <w:top w:type="dxa" w:w="55"/>
              <w:left w:type="dxa" w:w="110"/>
              <w:bottom w:type="dxa" w:w="55"/>
              <w:right w:type="dxa" w:w="110"/>
            </w:tcMar>
          </w:tcPr>
          <w:p>
            <w:r>
              <w:rPr>
                <w:rFonts w:ascii="Calibri" w:cs="Calibri" w:eastAsia="Calibri" w:hAnsi="Calibri"/>
                <w:sz w:val="20"/>
                <w:szCs w:val="20"/>
              </w:rPr>
              <w:t xml:space="preserve">Replaced it with a Top-10 countries bar chart, which conveys the same source-market insight and renders reliably.</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Confusion over which cube to use when capturing the five OLAP operations.</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Standardised on the Revenue Cube for all five operations, keeping the evidence consistent and easy to explain in the viva.</w:t>
            </w:r>
          </w:p>
        </w:tc>
      </w:tr>
      <w:tr>
        <w:tc>
          <w:tcPr>
            <w:tcW w:type="dxa" w:w="4200"/>
            <w:shd w:fill="FFFFFF" w:color="auto" w:val="clear"/>
            <w:tcMar>
              <w:top w:type="dxa" w:w="55"/>
              <w:left w:type="dxa" w:w="110"/>
              <w:bottom w:type="dxa" w:w="55"/>
              <w:right w:type="dxa" w:w="110"/>
            </w:tcMar>
          </w:tcPr>
          <w:p>
            <w:r>
              <w:rPr>
                <w:rFonts w:ascii="Calibri" w:cs="Calibri" w:eastAsia="Calibri" w:hAnsi="Calibri"/>
                <w:sz w:val="20"/>
                <w:szCs w:val="20"/>
              </w:rPr>
              <w:t xml:space="preserve">The booking source is anonymised, with no individual customer IDs.</w:t>
            </w:r>
          </w:p>
        </w:tc>
        <w:tc>
          <w:tcPr>
            <w:tcW w:type="dxa" w:w="5100"/>
            <w:shd w:fill="FFFFFF" w:color="auto" w:val="clear"/>
            <w:tcMar>
              <w:top w:type="dxa" w:w="55"/>
              <w:left w:type="dxa" w:w="110"/>
              <w:bottom w:type="dxa" w:w="55"/>
              <w:right w:type="dxa" w:w="110"/>
            </w:tcMar>
          </w:tcPr>
          <w:p>
            <w:r>
              <w:rPr>
                <w:rFonts w:ascii="Calibri" w:cs="Calibri" w:eastAsia="Calibri" w:hAnsi="Calibri"/>
                <w:sz w:val="20"/>
                <w:szCs w:val="20"/>
              </w:rPr>
              <w:t xml:space="preserve">Modelled DIM_CUSTOMER at profile grain — each row a distinct combination of nationality, customer type and loyalty status — a legitimate technique for anonymised data.</w:t>
            </w:r>
          </w:p>
        </w:tc>
      </w:tr>
      <w:tr>
        <w:tc>
          <w:tcPr>
            <w:tcW w:type="dxa" w:w="4200"/>
            <w:shd w:fill="F2EFEA" w:color="auto" w:val="clear"/>
            <w:tcMar>
              <w:top w:type="dxa" w:w="55"/>
              <w:left w:type="dxa" w:w="110"/>
              <w:bottom w:type="dxa" w:w="55"/>
              <w:right w:type="dxa" w:w="110"/>
            </w:tcMar>
          </w:tcPr>
          <w:p>
            <w:r>
              <w:rPr>
                <w:rFonts w:ascii="Calibri" w:cs="Calibri" w:eastAsia="Calibri" w:hAnsi="Calibri"/>
                <w:sz w:val="20"/>
                <w:szCs w:val="20"/>
              </w:rPr>
              <w:t xml:space="preserve">The CSV only had 'City' and 'Resort' hotel values, and its nationality mix was Portugal-heavy, not Sri Lankan.</w:t>
            </w:r>
          </w:p>
        </w:tc>
        <w:tc>
          <w:tcPr>
            <w:tcW w:type="dxa" w:w="5100"/>
            <w:shd w:fill="F2EFEA" w:color="auto" w:val="clear"/>
            <w:tcMar>
              <w:top w:type="dxa" w:w="55"/>
              <w:left w:type="dxa" w:w="110"/>
              <w:bottom w:type="dxa" w:w="55"/>
              <w:right w:type="dxa" w:w="110"/>
            </w:tcMar>
          </w:tcPr>
          <w:p>
            <w:r>
              <w:rPr>
                <w:rFonts w:ascii="Calibri" w:cs="Calibri" w:eastAsia="Calibri" w:hAnsi="Calibri"/>
                <w:sz w:val="20"/>
                <w:szCs w:val="20"/>
              </w:rPr>
              <w:t xml:space="preserve">Mapped City/Resort to representative Cinnamon properties, and framed the Portugal-vs-India contrast honestly as proof of why external SLTDA data is needed alongside internal data.</w:t>
            </w:r>
          </w:p>
        </w:tc>
      </w:tr>
    </w:tbl>
    <w:p>
      <w:pPr>
        <w:pStyle w:val="Heading1"/>
        <w:spacing w:after="130" w:before="300"/>
      </w:pPr>
      <w:r>
        <w:rPr>
          <w:rFonts w:ascii="Calibri" w:cs="Calibri" w:eastAsia="Calibri" w:hAnsi="Calibri"/>
          <w:b/>
          <w:bCs/>
          <w:color w:val="7B2D26"/>
          <w:sz w:val="30"/>
          <w:szCs w:val="30"/>
        </w:rPr>
        <w:t xml:space="preserve">6. Results &amp; Key Findings</w:t>
      </w:r>
    </w:p>
    <w:p>
      <w:pPr>
        <w:spacing w:after="150" w:line="288"/>
        <w:jc w:val="both"/>
      </w:pPr>
      <w:r>
        <w:rPr>
          <w:rFonts w:ascii="Calibri" w:cs="Calibri" w:eastAsia="Calibri" w:hAnsi="Calibri"/>
          <w:sz w:val="22"/>
          <w:szCs w:val="22"/>
        </w:rPr>
        <w:t xml:space="preserve">The finished warehouse produced concrete, business-relevant insights:</w:t>
      </w:r>
    </w:p>
    <w:p>
      <w:pPr>
        <w:pStyle w:val="ListParagraph"/>
        <w:numPr>
          <w:ilvl w:val="0"/>
          <w:numId w:val="2"/>
        </w:numPr>
        <w:spacing w:after="80" w:line="276"/>
      </w:pPr>
      <w:r>
        <w:rPr>
          <w:rFonts w:ascii="Calibri" w:cs="Calibri" w:eastAsia="Calibri" w:hAnsi="Calibri"/>
          <w:b/>
          <w:bCs/>
          <w:color w:val="1F2A33"/>
          <w:sz w:val="22"/>
          <w:szCs w:val="22"/>
        </w:rPr>
        <w:t xml:space="preserve">A clean, complete load</w:t>
      </w:r>
      <w:r>
        <w:rPr>
          <w:rFonts w:ascii="Calibri" w:cs="Calibri" w:eastAsia="Calibri" w:hAnsi="Calibri"/>
          <w:sz w:val="22"/>
          <w:szCs w:val="22"/>
        </w:rPr>
        <w:t xml:space="preserve"> — all 119,390 bookings matched to every dimension with no row loss.</w:t>
      </w:r>
    </w:p>
    <w:p>
      <w:pPr>
        <w:pStyle w:val="ListParagraph"/>
        <w:numPr>
          <w:ilvl w:val="0"/>
          <w:numId w:val="2"/>
        </w:numPr>
        <w:spacing w:after="80" w:line="276"/>
      </w:pPr>
      <w:r>
        <w:rPr>
          <w:rFonts w:ascii="Calibri" w:cs="Calibri" w:eastAsia="Calibri" w:hAnsi="Calibri"/>
          <w:b/>
          <w:bCs/>
          <w:color w:val="1F2A33"/>
          <w:sz w:val="22"/>
          <w:szCs w:val="22"/>
        </w:rPr>
        <w:t xml:space="preserve">Total revenue of roughly Rs 42.7M</w:t>
      </w:r>
      <w:r>
        <w:rPr>
          <w:rFonts w:ascii="Calibri" w:cs="Calibri" w:eastAsia="Calibri" w:hAnsi="Calibri"/>
          <w:sz w:val="22"/>
          <w:szCs w:val="22"/>
        </w:rPr>
        <w:t xml:space="preserve">, with </w:t>
      </w:r>
      <w:r>
        <w:rPr>
          <w:rFonts w:ascii="Calibri" w:cs="Calibri" w:eastAsia="Calibri" w:hAnsi="Calibri"/>
          <w:b/>
          <w:bCs/>
          <w:color w:val="1F2A33"/>
          <w:sz w:val="22"/>
          <w:szCs w:val="22"/>
        </w:rPr>
        <w:t xml:space="preserve">city hotels contributing about 59%</w:t>
      </w:r>
      <w:r>
        <w:rPr>
          <w:rFonts w:ascii="Calibri" w:cs="Calibri" w:eastAsia="Calibri" w:hAnsi="Calibri"/>
          <w:sz w:val="22"/>
          <w:szCs w:val="22"/>
        </w:rPr>
        <w:t xml:space="preserve"> against 41% for beach properties.</w:t>
      </w:r>
    </w:p>
    <w:p>
      <w:pPr>
        <w:pStyle w:val="ListParagraph"/>
        <w:numPr>
          <w:ilvl w:val="0"/>
          <w:numId w:val="2"/>
        </w:numPr>
        <w:spacing w:after="80" w:line="276"/>
      </w:pPr>
      <w:r>
        <w:rPr>
          <w:rFonts w:ascii="Calibri" w:cs="Calibri" w:eastAsia="Calibri" w:hAnsi="Calibri"/>
          <w:b/>
          <w:bCs/>
          <w:color w:val="1F2A33"/>
          <w:sz w:val="22"/>
          <w:szCs w:val="22"/>
        </w:rPr>
        <w:t xml:space="preserve">A clear seasonal peak in July–August</w:t>
      </w:r>
      <w:r>
        <w:rPr>
          <w:rFonts w:ascii="Calibri" w:cs="Calibri" w:eastAsia="Calibri" w:hAnsi="Calibri"/>
          <w:sz w:val="22"/>
          <w:szCs w:val="22"/>
        </w:rPr>
        <w:t xml:space="preserve">, with August the single busiest month — driven by the summer holiday window.</w:t>
      </w:r>
    </w:p>
    <w:p>
      <w:pPr>
        <w:pStyle w:val="ListParagraph"/>
        <w:numPr>
          <w:ilvl w:val="0"/>
          <w:numId w:val="2"/>
        </w:numPr>
        <w:spacing w:after="80" w:line="276"/>
      </w:pPr>
      <w:r>
        <w:rPr>
          <w:rFonts w:ascii="Calibri" w:cs="Calibri" w:eastAsia="Calibri" w:hAnsi="Calibri"/>
          <w:b/>
          <w:bCs/>
          <w:color w:val="1F2A33"/>
          <w:sz w:val="22"/>
          <w:szCs w:val="22"/>
        </w:rPr>
        <w:t xml:space="preserve">A striking cancellation gap</w:t>
      </w:r>
      <w:r>
        <w:rPr>
          <w:rFonts w:ascii="Calibri" w:cs="Calibri" w:eastAsia="Calibri" w:hAnsi="Calibri"/>
          <w:sz w:val="22"/>
          <w:szCs w:val="22"/>
        </w:rPr>
        <w:t xml:space="preserve"> — city hotels cancel at ~41.7% versus ~27.8% at beach properties, a direct signal for deposit and overbooking policy.</w:t>
      </w:r>
    </w:p>
    <w:p>
      <w:pPr>
        <w:pStyle w:val="ListParagraph"/>
        <w:numPr>
          <w:ilvl w:val="0"/>
          <w:numId w:val="2"/>
        </w:numPr>
        <w:spacing w:after="80" w:line="276"/>
      </w:pPr>
      <w:r>
        <w:rPr>
          <w:rFonts w:ascii="Calibri" w:cs="Calibri" w:eastAsia="Calibri" w:hAnsi="Calibri"/>
          <w:b/>
          <w:bCs/>
          <w:color w:val="1F2A33"/>
          <w:sz w:val="22"/>
          <w:szCs w:val="22"/>
        </w:rPr>
        <w:t xml:space="preserve">A source-market insight</w:t>
      </w:r>
      <w:r>
        <w:rPr>
          <w:rFonts w:ascii="Calibri" w:cs="Calibri" w:eastAsia="Calibri" w:hAnsi="Calibri"/>
          <w:sz w:val="22"/>
          <w:szCs w:val="22"/>
        </w:rPr>
        <w:t xml:space="preserve"> — the booking data is Europe-heavy (Portugal leading), while the SLTDA data shows the true Sri Lankan market (India-led), proving the value of combining internal and external data.</w:t>
      </w:r>
    </w:p>
    <w:p>
      <w:pPr>
        <w:pStyle w:val="Heading1"/>
        <w:spacing w:after="130" w:before="300"/>
      </w:pPr>
      <w:r>
        <w:rPr>
          <w:rFonts w:ascii="Calibri" w:cs="Calibri" w:eastAsia="Calibri" w:hAnsi="Calibri"/>
          <w:b/>
          <w:bCs/>
          <w:color w:val="7B2D26"/>
          <w:sz w:val="30"/>
          <w:szCs w:val="30"/>
        </w:rPr>
        <w:t xml:space="preserve">7. Deliverables Produced</w:t>
      </w:r>
    </w:p>
    <w:p>
      <w:pPr>
        <w:pStyle w:val="ListParagraph"/>
        <w:numPr>
          <w:ilvl w:val="0"/>
          <w:numId w:val="2"/>
        </w:numPr>
        <w:spacing w:after="80" w:line="276"/>
      </w:pPr>
      <w:r>
        <w:rPr>
          <w:rFonts w:ascii="Calibri" w:cs="Calibri" w:eastAsia="Calibri" w:hAnsi="Calibri"/>
          <w:sz w:val="22"/>
          <w:szCs w:val="22"/>
        </w:rPr>
        <w:t xml:space="preserve">A live Oracle star-schema data warehouse (1 fact table, 5 dimensions), fully populated.</w:t>
      </w:r>
    </w:p>
    <w:p>
      <w:pPr>
        <w:pStyle w:val="ListParagraph"/>
        <w:numPr>
          <w:ilvl w:val="0"/>
          <w:numId w:val="2"/>
        </w:numPr>
        <w:spacing w:after="80" w:line="276"/>
      </w:pPr>
      <w:r>
        <w:rPr>
          <w:rFonts w:ascii="Calibri" w:cs="Calibri" w:eastAsia="Calibri" w:hAnsi="Calibri"/>
          <w:sz w:val="22"/>
          <w:szCs w:val="22"/>
        </w:rPr>
        <w:t xml:space="preserve">Three working Apache NiFi ETL flows plus the staging-to-star transformation SQL.</w:t>
      </w:r>
    </w:p>
    <w:p>
      <w:pPr>
        <w:pStyle w:val="ListParagraph"/>
        <w:numPr>
          <w:ilvl w:val="0"/>
          <w:numId w:val="2"/>
        </w:numPr>
        <w:spacing w:after="80" w:line="276"/>
      </w:pPr>
      <w:r>
        <w:rPr>
          <w:rFonts w:ascii="Calibri" w:cs="Calibri" w:eastAsia="Calibri" w:hAnsi="Calibri"/>
          <w:sz w:val="22"/>
          <w:szCs w:val="22"/>
        </w:rPr>
        <w:t xml:space="preserve">An interactive Power BI dashboard with 11 visualisations and a season slicer.</w:t>
      </w:r>
    </w:p>
    <w:p>
      <w:pPr>
        <w:pStyle w:val="ListParagraph"/>
        <w:numPr>
          <w:ilvl w:val="0"/>
          <w:numId w:val="2"/>
        </w:numPr>
        <w:spacing w:after="80" w:line="276"/>
      </w:pPr>
      <w:r>
        <w:rPr>
          <w:rFonts w:ascii="Calibri" w:cs="Calibri" w:eastAsia="Calibri" w:hAnsi="Calibri"/>
          <w:sz w:val="22"/>
          <w:szCs w:val="22"/>
        </w:rPr>
        <w:t xml:space="preserve">Three OLAP cubes with all five operations demonstrated and captured.</w:t>
      </w:r>
    </w:p>
    <w:p>
      <w:pPr>
        <w:pStyle w:val="ListParagraph"/>
        <w:numPr>
          <w:ilvl w:val="0"/>
          <w:numId w:val="2"/>
        </w:numPr>
        <w:spacing w:after="80" w:line="276"/>
      </w:pPr>
      <w:r>
        <w:rPr>
          <w:rFonts w:ascii="Calibri" w:cs="Calibri" w:eastAsia="Calibri" w:hAnsi="Calibri"/>
          <w:sz w:val="22"/>
          <w:szCs w:val="22"/>
        </w:rPr>
        <w:t xml:space="preserve">A ~3,750-word report with 14 figures, matching the lecturer's required structure.</w:t>
      </w:r>
    </w:p>
    <w:p>
      <w:pPr>
        <w:pStyle w:val="ListParagraph"/>
        <w:numPr>
          <w:ilvl w:val="0"/>
          <w:numId w:val="2"/>
        </w:numPr>
        <w:spacing w:after="80" w:line="276"/>
      </w:pPr>
      <w:r>
        <w:rPr>
          <w:rFonts w:ascii="Calibri" w:cs="Calibri" w:eastAsia="Calibri" w:hAnsi="Calibri"/>
          <w:sz w:val="22"/>
          <w:szCs w:val="22"/>
        </w:rPr>
        <w:t xml:space="preserve">An 11-slide presentation, a simple speaker script, and a reusable AI prompt for an alternate deck.</w:t>
      </w:r>
    </w:p>
    <w:p>
      <w:pPr>
        <w:pStyle w:val="Heading1"/>
        <w:spacing w:after="130" w:before="300"/>
      </w:pPr>
      <w:r>
        <w:rPr>
          <w:rFonts w:ascii="Calibri" w:cs="Calibri" w:eastAsia="Calibri" w:hAnsi="Calibri"/>
          <w:b/>
          <w:bCs/>
          <w:color w:val="7B2D26"/>
          <w:sz w:val="30"/>
          <w:szCs w:val="30"/>
        </w:rPr>
        <w:t xml:space="preserve">8. What I Took Away From This</w:t>
      </w:r>
    </w:p>
    <w:p>
      <w:pPr>
        <w:spacing w:after="150" w:line="288"/>
        <w:jc w:val="both"/>
      </w:pPr>
      <w:r>
        <w:rPr>
          <w:rFonts w:ascii="Calibri" w:cs="Calibri" w:eastAsia="Calibri" w:hAnsi="Calibri"/>
          <w:sz w:val="22"/>
          <w:szCs w:val="22"/>
        </w:rPr>
        <w:t xml:space="preserve">Beyond the marks, this build taught the full shape of a real data-engineering project — not just the happy path, but the messy middle. The biggest lessons were practical ones: stage data as text and convert late to survive dirty sources; never switch tools late in a project just because a shiny alternative appears; name your connections clearly before they multiply; and when a tool fights you, find the reliable path around it rather than forcing the pretty one. Most of all, it proved that a large, intimidating, end-to-end system can be built under real time pressure by breaking it into phases, verifying each one, and refusing to move on until the numbers are right.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A72"/>
        <w:sz w:val="16"/>
        <w:szCs w:val="16"/>
      </w:rPr>
      <w:t xml:space="preserve">Project Record  ·  DW&amp;BI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DW&amp;BI Project Record</dc:title>
  <dc:creator>Group 13</dc:creator>
  <cp:lastModifiedBy>Un-named</cp:lastModifiedBy>
  <cp:revision>1</cp:revision>
  <dcterms:created xsi:type="dcterms:W3CDTF">2026-08-19T13:42:13.033Z</dcterms:created>
  <dcterms:modified xsi:type="dcterms:W3CDTF">2026-08-19T13:42:13.064Z</dcterms:modified>
</cp:coreProperties>
</file>

<file path=docProps/custom.xml><?xml version="1.0" encoding="utf-8"?>
<Properties xmlns="http://schemas.openxmlformats.org/officeDocument/2006/custom-properties" xmlns:vt="http://schemas.openxmlformats.org/officeDocument/2006/docPropsVTypes"/>
</file>