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tabs>
          <w:tab w:val="clear" w:pos="720"/>
          <w:tab w:val="left" w:pos="-1440" w:leader="none"/>
          <w:tab w:val="left" w:pos="-720" w:leader="none"/>
        </w:tabs>
        <w:spacing w:lineRule="auto" w:line="240" w:before="0" w:after="240"/>
        <w:ind w:left="0" w:right="0" w:hanging="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t>Logical framework and Activity matrix</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(annex E3d) </w:t>
      </w:r>
    </w:p>
    <w:p>
      <w:pPr>
        <w:pStyle w:val="Normal1"/>
        <w:keepNext w:val="false"/>
        <w:keepLines w:val="false"/>
        <w:widowControl/>
        <w:pBdr/>
        <w:shd w:val="clear" w:fill="auto"/>
        <w:tabs>
          <w:tab w:val="clear" w:pos="720"/>
          <w:tab w:val="left" w:pos="-1440" w:leader="none"/>
          <w:tab w:val="left" w:pos="-720" w:leader="none"/>
        </w:tabs>
        <w:spacing w:lineRule="auto" w:line="240" w:before="120" w:after="240"/>
        <w:ind w:left="0" w:right="0" w:hanging="720"/>
        <w:jc w:val="both"/>
        <w:rPr>
          <w:rFonts w:ascii="Times New Roman" w:hAnsi="Times New Roman" w:eastAsia="Times New Roman" w:cs="Times New Roman"/>
          <w:b w:val="false"/>
          <w:b w:val="false"/>
          <w:i/>
          <w:i/>
          <w:caps w:val="false"/>
          <w:smallCaps w:val="false"/>
          <w:strike w:val="false"/>
          <w:dstrike w:val="false"/>
          <w:color w:val="000000"/>
          <w:position w:val="0"/>
          <w:sz w:val="24"/>
          <w:sz w:val="22"/>
          <w:szCs w:val="22"/>
          <w:u w:val="none"/>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 xml:space="preserve">The Logical framework (logframe) matrix should evolve during the Action (i.e. the projects)t lifetime: new lines can be added for listing new activities as well as new columns for intermediary targets (milestones) when it is relevant and values will be regularly updated in the column foreseen for reporting purpose (see “Current value”). </w:t>
      </w:r>
      <w:r>
        <w:rPr>
          <w:rFonts w:eastAsia="Times New Roman" w:cs="Times New Roman"/>
          <w:b w:val="false"/>
          <w:i/>
          <w:caps w:val="false"/>
          <w:smallCaps w:val="false"/>
          <w:strike w:val="false"/>
          <w:dstrike w:val="false"/>
          <w:color w:val="000000"/>
          <w:position w:val="0"/>
          <w:sz w:val="22"/>
          <w:sz w:val="22"/>
          <w:szCs w:val="22"/>
          <w:highlight w:val="yellow"/>
          <w:u w:val="none"/>
          <w:vertAlign w:val="baseline"/>
        </w:rPr>
        <w:t>The term "results" includes: Overall Objective (impact), Specific Objective (outcome), Other outcomes and Outputs.</w:t>
      </w:r>
    </w:p>
    <w:p>
      <w:pPr>
        <w:pStyle w:val="Normal1"/>
        <w:tabs>
          <w:tab w:val="clear" w:pos="720"/>
          <w:tab w:val="left" w:pos="-1440" w:leader="none"/>
          <w:tab w:val="left" w:pos="-720" w:leader="none"/>
        </w:tabs>
        <w:spacing w:lineRule="auto" w:line="240" w:before="120" w:after="0"/>
        <w:rPr>
          <w:i/>
          <w:i/>
          <w:sz w:val="22"/>
          <w:szCs w:val="22"/>
        </w:rPr>
      </w:pPr>
      <w:r>
        <w:rPr>
          <w:i/>
          <w:sz w:val="22"/>
          <w:szCs w:val="22"/>
        </w:rPr>
        <w:t xml:space="preserve">The logframe can be revised as necessary (in line with the provisions defined in Article 9.4 of the general conditions). </w:t>
      </w:r>
    </w:p>
    <w:p>
      <w:pPr>
        <w:pStyle w:val="Normal1"/>
        <w:keepNext w:val="false"/>
        <w:keepLines w:val="false"/>
        <w:widowControl/>
        <w:pBdr/>
        <w:shd w:val="clear" w:fill="auto"/>
        <w:tabs>
          <w:tab w:val="clear" w:pos="720"/>
          <w:tab w:val="left" w:pos="-1440" w:leader="none"/>
          <w:tab w:val="left" w:pos="-720" w:leader="none"/>
        </w:tabs>
        <w:spacing w:lineRule="auto" w:line="240" w:before="120" w:after="240"/>
        <w:ind w:left="0" w:right="0" w:hanging="72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r>
    </w:p>
    <w:tbl>
      <w:tblPr>
        <w:tblStyle w:val="Table1"/>
        <w:tblW w:w="14220" w:type="dxa"/>
        <w:jc w:val="left"/>
        <w:tblInd w:w="0" w:type="dxa"/>
        <w:tblCellMar>
          <w:top w:w="0" w:type="dxa"/>
          <w:left w:w="108" w:type="dxa"/>
          <w:bottom w:w="0" w:type="dxa"/>
          <w:right w:w="108" w:type="dxa"/>
        </w:tblCellMar>
        <w:tblLook w:val="0400"/>
      </w:tblPr>
      <w:tblGrid>
        <w:gridCol w:w="692"/>
        <w:gridCol w:w="3006"/>
        <w:gridCol w:w="2045"/>
        <w:gridCol w:w="1796"/>
        <w:gridCol w:w="1412"/>
        <w:gridCol w:w="1463"/>
        <w:gridCol w:w="1665"/>
        <w:gridCol w:w="2139"/>
      </w:tblGrid>
      <w:tr>
        <w:trPr/>
        <w:tc>
          <w:tcPr>
            <w:tcW w:w="692" w:type="dxa"/>
            <w:tcBorders>
              <w:top w:val="single" w:sz="4" w:space="0" w:color="000000"/>
              <w:left w:val="single" w:sz="4" w:space="0" w:color="000000"/>
              <w:bottom w:val="single" w:sz="4" w:space="0" w:color="000000"/>
              <w:right w:val="single" w:sz="4" w:space="0" w:color="000000"/>
            </w:tcBorders>
            <w:shd w:fill="BFBFBF" w:val="clear"/>
          </w:tcPr>
          <w:p>
            <w:pPr>
              <w:pStyle w:val="Normal1"/>
              <w:spacing w:before="0" w:after="240"/>
              <w:rPr>
                <w:i/>
                <w:i/>
                <w:sz w:val="20"/>
                <w:szCs w:val="20"/>
              </w:rPr>
            </w:pPr>
            <w:r>
              <w:rPr>
                <w:i/>
                <w:sz w:val="20"/>
                <w:szCs w:val="20"/>
              </w:rPr>
            </w:r>
          </w:p>
        </w:tc>
        <w:tc>
          <w:tcPr>
            <w:tcW w:w="3006" w:type="dxa"/>
            <w:tcBorders>
              <w:top w:val="single" w:sz="4" w:space="0" w:color="000000"/>
              <w:left w:val="single" w:sz="4" w:space="0" w:color="000000"/>
              <w:bottom w:val="single" w:sz="4" w:space="0" w:color="000000"/>
              <w:right w:val="single" w:sz="4" w:space="0" w:color="000000"/>
            </w:tcBorders>
            <w:shd w:fill="BFBFBF" w:val="clear"/>
          </w:tcPr>
          <w:p>
            <w:pPr>
              <w:pStyle w:val="Normal1"/>
              <w:spacing w:before="0" w:after="240"/>
              <w:jc w:val="center"/>
              <w:rPr>
                <w:b/>
                <w:b/>
                <w:i/>
                <w:i/>
                <w:sz w:val="20"/>
                <w:szCs w:val="20"/>
              </w:rPr>
            </w:pPr>
            <w:r>
              <w:rPr>
                <w:b/>
                <w:i/>
                <w:sz w:val="20"/>
                <w:szCs w:val="20"/>
              </w:rPr>
              <w:t>Results chain</w:t>
            </w:r>
          </w:p>
        </w:tc>
        <w:tc>
          <w:tcPr>
            <w:tcW w:w="2045" w:type="dxa"/>
            <w:tcBorders>
              <w:top w:val="single" w:sz="4" w:space="0" w:color="000000"/>
              <w:left w:val="single" w:sz="4" w:space="0" w:color="000000"/>
              <w:bottom w:val="single" w:sz="4" w:space="0" w:color="000000"/>
              <w:right w:val="single" w:sz="4" w:space="0" w:color="000000"/>
            </w:tcBorders>
            <w:shd w:fill="BFBFBF" w:val="clear"/>
          </w:tcPr>
          <w:p>
            <w:pPr>
              <w:pStyle w:val="Normal1"/>
              <w:spacing w:before="0" w:after="240"/>
              <w:jc w:val="center"/>
              <w:rPr>
                <w:b/>
                <w:b/>
                <w:i/>
                <w:i/>
                <w:sz w:val="20"/>
                <w:szCs w:val="20"/>
              </w:rPr>
            </w:pPr>
            <w:r>
              <w:rPr>
                <w:b/>
                <w:i/>
                <w:sz w:val="20"/>
                <w:szCs w:val="20"/>
              </w:rPr>
              <w:t>Indicator</w:t>
            </w:r>
          </w:p>
        </w:tc>
        <w:tc>
          <w:tcPr>
            <w:tcW w:w="1796" w:type="dxa"/>
            <w:tcBorders>
              <w:top w:val="single" w:sz="4" w:space="0" w:color="000000"/>
              <w:left w:val="single" w:sz="4" w:space="0" w:color="000000"/>
              <w:bottom w:val="single" w:sz="4" w:space="0" w:color="000000"/>
              <w:right w:val="single" w:sz="4" w:space="0" w:color="000000"/>
            </w:tcBorders>
            <w:shd w:fill="BFBFBF" w:val="clear"/>
          </w:tcPr>
          <w:p>
            <w:pPr>
              <w:pStyle w:val="Normal1"/>
              <w:jc w:val="center"/>
              <w:rPr>
                <w:b/>
                <w:b/>
                <w:i/>
                <w:i/>
                <w:sz w:val="20"/>
                <w:szCs w:val="20"/>
              </w:rPr>
            </w:pPr>
            <w:r>
              <w:rPr>
                <w:b/>
                <w:i/>
                <w:sz w:val="20"/>
                <w:szCs w:val="20"/>
              </w:rPr>
              <w:t xml:space="preserve">Baseline </w:t>
            </w:r>
          </w:p>
          <w:p>
            <w:pPr>
              <w:pStyle w:val="Normal1"/>
              <w:spacing w:before="0" w:after="240"/>
              <w:jc w:val="center"/>
              <w:rPr>
                <w:b/>
                <w:b/>
                <w:i/>
                <w:i/>
                <w:sz w:val="20"/>
                <w:szCs w:val="20"/>
              </w:rPr>
            </w:pPr>
            <w:r>
              <w:rPr>
                <w:b/>
                <w:i/>
                <w:sz w:val="20"/>
                <w:szCs w:val="20"/>
              </w:rPr>
              <w:t>(value &amp; reference year)</w:t>
            </w:r>
          </w:p>
        </w:tc>
        <w:tc>
          <w:tcPr>
            <w:tcW w:w="1412" w:type="dxa"/>
            <w:tcBorders>
              <w:top w:val="single" w:sz="4" w:space="0" w:color="000000"/>
              <w:left w:val="single" w:sz="4" w:space="0" w:color="000000"/>
              <w:bottom w:val="single" w:sz="4" w:space="0" w:color="000000"/>
              <w:right w:val="single" w:sz="4" w:space="0" w:color="000000"/>
            </w:tcBorders>
            <w:shd w:fill="BFBFBF" w:val="clear"/>
          </w:tcPr>
          <w:p>
            <w:pPr>
              <w:pStyle w:val="Normal1"/>
              <w:jc w:val="center"/>
              <w:rPr>
                <w:b/>
                <w:b/>
                <w:i/>
                <w:i/>
                <w:sz w:val="20"/>
                <w:szCs w:val="20"/>
              </w:rPr>
            </w:pPr>
            <w:r>
              <w:rPr>
                <w:b/>
                <w:i/>
                <w:sz w:val="20"/>
                <w:szCs w:val="20"/>
              </w:rPr>
              <w:t>Target</w:t>
            </w:r>
          </w:p>
          <w:p>
            <w:pPr>
              <w:pStyle w:val="Normal1"/>
              <w:spacing w:before="0" w:after="240"/>
              <w:jc w:val="center"/>
              <w:rPr>
                <w:b/>
                <w:b/>
                <w:i/>
                <w:i/>
                <w:sz w:val="20"/>
                <w:szCs w:val="20"/>
              </w:rPr>
            </w:pPr>
            <w:r>
              <w:rPr>
                <w:b/>
                <w:i/>
                <w:sz w:val="20"/>
                <w:szCs w:val="20"/>
              </w:rPr>
              <w:t>(value &amp; reference year)</w:t>
            </w:r>
          </w:p>
        </w:tc>
        <w:tc>
          <w:tcPr>
            <w:tcW w:w="1463" w:type="dxa"/>
            <w:tcBorders>
              <w:top w:val="single" w:sz="4" w:space="0" w:color="000000"/>
              <w:left w:val="single" w:sz="4" w:space="0" w:color="000000"/>
              <w:bottom w:val="single" w:sz="4" w:space="0" w:color="000000"/>
              <w:right w:val="single" w:sz="4" w:space="0" w:color="000000"/>
            </w:tcBorders>
            <w:shd w:fill="BFBFBF" w:val="clear"/>
          </w:tcPr>
          <w:p>
            <w:pPr>
              <w:pStyle w:val="Normal1"/>
              <w:jc w:val="center"/>
              <w:rPr>
                <w:b/>
                <w:b/>
                <w:i/>
                <w:i/>
                <w:sz w:val="20"/>
                <w:szCs w:val="20"/>
              </w:rPr>
            </w:pPr>
            <w:r>
              <w:rPr>
                <w:b/>
                <w:i/>
                <w:sz w:val="20"/>
                <w:szCs w:val="20"/>
              </w:rPr>
              <w:t>Current value*</w:t>
            </w:r>
          </w:p>
          <w:p>
            <w:pPr>
              <w:pStyle w:val="Normal1"/>
              <w:jc w:val="center"/>
              <w:rPr>
                <w:b/>
                <w:b/>
                <w:i/>
                <w:i/>
                <w:sz w:val="20"/>
                <w:szCs w:val="20"/>
              </w:rPr>
            </w:pPr>
            <w:r>
              <w:rPr>
                <w:b/>
                <w:i/>
                <w:sz w:val="20"/>
                <w:szCs w:val="20"/>
              </w:rPr>
              <w:t>(reference year)</w:t>
            </w:r>
          </w:p>
          <w:p>
            <w:pPr>
              <w:pStyle w:val="Normal1"/>
              <w:spacing w:before="0" w:after="240"/>
              <w:jc w:val="center"/>
              <w:rPr>
                <w:b/>
                <w:b/>
                <w:i/>
                <w:i/>
                <w:sz w:val="20"/>
                <w:szCs w:val="20"/>
              </w:rPr>
            </w:pPr>
            <w:r>
              <w:rPr>
                <w:b/>
                <w:i/>
                <w:sz w:val="20"/>
                <w:szCs w:val="20"/>
              </w:rPr>
              <w:t>(* to be included in interim and final reports)</w:t>
            </w:r>
          </w:p>
        </w:tc>
        <w:tc>
          <w:tcPr>
            <w:tcW w:w="1665" w:type="dxa"/>
            <w:tcBorders>
              <w:top w:val="single" w:sz="4" w:space="0" w:color="000000"/>
              <w:left w:val="single" w:sz="4" w:space="0" w:color="000000"/>
              <w:bottom w:val="single" w:sz="4" w:space="0" w:color="000000"/>
              <w:right w:val="single" w:sz="4" w:space="0" w:color="000000"/>
            </w:tcBorders>
            <w:shd w:fill="BFBFBF" w:val="clear"/>
          </w:tcPr>
          <w:p>
            <w:pPr>
              <w:pStyle w:val="Normal1"/>
              <w:spacing w:before="0" w:after="240"/>
              <w:jc w:val="center"/>
              <w:rPr>
                <w:b/>
                <w:b/>
                <w:i/>
                <w:i/>
                <w:sz w:val="20"/>
                <w:szCs w:val="20"/>
              </w:rPr>
            </w:pPr>
            <w:r>
              <w:rPr>
                <w:b/>
                <w:i/>
                <w:sz w:val="20"/>
                <w:szCs w:val="20"/>
              </w:rPr>
              <w:t>Source and mean of verification</w:t>
            </w:r>
          </w:p>
        </w:tc>
        <w:tc>
          <w:tcPr>
            <w:tcW w:w="2139" w:type="dxa"/>
            <w:tcBorders>
              <w:top w:val="single" w:sz="4" w:space="0" w:color="000000"/>
              <w:left w:val="single" w:sz="4" w:space="0" w:color="000000"/>
              <w:bottom w:val="single" w:sz="4" w:space="0" w:color="000000"/>
              <w:right w:val="single" w:sz="4" w:space="0" w:color="000000"/>
            </w:tcBorders>
            <w:shd w:fill="BFBFBF" w:val="clear"/>
          </w:tcPr>
          <w:p>
            <w:pPr>
              <w:pStyle w:val="Normal1"/>
              <w:spacing w:before="0" w:after="240"/>
              <w:jc w:val="center"/>
              <w:rPr>
                <w:b/>
                <w:b/>
                <w:i/>
                <w:i/>
                <w:sz w:val="20"/>
                <w:szCs w:val="20"/>
              </w:rPr>
            </w:pPr>
            <w:r>
              <w:rPr>
                <w:b/>
                <w:i/>
                <w:sz w:val="20"/>
                <w:szCs w:val="20"/>
              </w:rPr>
              <w:t>Assumptions</w:t>
            </w:r>
          </w:p>
        </w:tc>
      </w:tr>
      <w:tr>
        <w:trPr>
          <w:trHeight w:val="1409" w:hRule="atLeast"/>
        </w:trPr>
        <w:tc>
          <w:tcPr>
            <w:tcW w:w="692" w:type="dxa"/>
            <w:tcBorders>
              <w:top w:val="single" w:sz="4" w:space="0" w:color="000000"/>
              <w:left w:val="single" w:sz="4" w:space="0" w:color="000000"/>
              <w:bottom w:val="single" w:sz="4" w:space="0" w:color="000000"/>
              <w:right w:val="single" w:sz="4" w:space="0" w:color="000000"/>
            </w:tcBorders>
            <w:shd w:fill="auto" w:val="clear"/>
          </w:tcPr>
          <w:p>
            <w:pPr>
              <w:pStyle w:val="Normal1"/>
              <w:tabs>
                <w:tab w:val="clear" w:pos="720"/>
                <w:tab w:val="left" w:pos="0" w:leader="none"/>
                <w:tab w:val="left" w:pos="132" w:leader="none"/>
              </w:tabs>
              <w:spacing w:before="0" w:after="240"/>
              <w:ind w:left="113" w:right="113" w:hanging="0"/>
              <w:jc w:val="center"/>
              <w:rPr>
                <w:b/>
                <w:b/>
                <w:i/>
                <w:i/>
                <w:sz w:val="20"/>
                <w:szCs w:val="20"/>
              </w:rPr>
            </w:pPr>
            <w:r>
              <w:rPr>
                <w:b/>
                <w:i/>
                <w:sz w:val="20"/>
                <w:szCs w:val="20"/>
              </w:rPr>
              <w:t>Impact (Overall  objective )</w:t>
            </w:r>
          </w:p>
        </w:tc>
        <w:tc>
          <w:tcPr>
            <w:tcW w:w="3006"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r>
          </w:p>
          <w:p>
            <w:pPr>
              <w:pStyle w:val="Normal1"/>
              <w:rPr>
                <w:i/>
                <w:i/>
                <w:sz w:val="20"/>
                <w:szCs w:val="20"/>
              </w:rPr>
            </w:pPr>
            <w:r>
              <w:rPr>
                <w:i/>
                <w:sz w:val="20"/>
                <w:szCs w:val="20"/>
              </w:rPr>
              <w:t xml:space="preserve">The broader, long-term change to which the action contributes at country, regional or sector level, in the political, social, economic and environmental global context which will stem from interventions of all relevant actors and stakeholders.  </w:t>
            </w:r>
          </w:p>
          <w:p>
            <w:pPr>
              <w:pStyle w:val="Normal1"/>
              <w:spacing w:before="0" w:after="240"/>
              <w:rPr>
                <w:i/>
                <w:i/>
                <w:sz w:val="20"/>
                <w:szCs w:val="20"/>
              </w:rPr>
            </w:pPr>
            <w:r>
              <w:rPr>
                <w:i/>
                <w:sz w:val="20"/>
                <w:szCs w:val="20"/>
              </w:rPr>
            </w:r>
          </w:p>
        </w:tc>
        <w:tc>
          <w:tcPr>
            <w:tcW w:w="204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0" w:after="240"/>
              <w:jc w:val="both"/>
              <w:rPr>
                <w:i/>
                <w:i/>
                <w:sz w:val="20"/>
                <w:szCs w:val="20"/>
              </w:rPr>
            </w:pPr>
            <w:r>
              <w:rPr>
                <w:i/>
                <w:sz w:val="20"/>
                <w:szCs w:val="20"/>
              </w:rPr>
              <w:t>{var}{impact}</w:t>
            </w:r>
          </w:p>
        </w:tc>
        <w:tc>
          <w:tcPr>
            <w:tcW w:w="1796"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r>
          </w:p>
          <w:p>
            <w:pPr>
              <w:pStyle w:val="Normal1"/>
              <w:rPr>
                <w:i/>
                <w:i/>
                <w:sz w:val="20"/>
                <w:szCs w:val="20"/>
              </w:rPr>
            </w:pPr>
            <w:r>
              <w:rPr>
                <w:i/>
                <w:sz w:val="20"/>
                <w:szCs w:val="20"/>
              </w:rPr>
              <w:t>The value of the indicator(s) prior to the intervention against which progress can be assessed or comparisons made.</w:t>
            </w:r>
          </w:p>
          <w:p>
            <w:pPr>
              <w:pStyle w:val="Normal1"/>
              <w:widowControl/>
              <w:bidi w:val="0"/>
              <w:spacing w:lineRule="auto" w:line="240" w:before="0" w:after="240"/>
              <w:jc w:val="both"/>
              <w:rPr>
                <w:i/>
                <w:i/>
                <w:sz w:val="20"/>
                <w:szCs w:val="20"/>
              </w:rPr>
            </w:pPr>
            <w:r>
              <w:rPr>
                <w:i/>
                <w:sz w:val="20"/>
                <w:szCs w:val="20"/>
              </w:rPr>
              <w:t>(Ideally, to be drawn from the partner's strategy)</w:t>
            </w:r>
          </w:p>
        </w:tc>
        <w:tc>
          <w:tcPr>
            <w:tcW w:w="1412"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r>
          </w:p>
          <w:p>
            <w:pPr>
              <w:pStyle w:val="Normal1"/>
              <w:rPr>
                <w:i/>
                <w:i/>
                <w:sz w:val="20"/>
                <w:szCs w:val="20"/>
              </w:rPr>
            </w:pPr>
            <w:r>
              <w:rPr>
                <w:i/>
                <w:sz w:val="20"/>
                <w:szCs w:val="20"/>
              </w:rPr>
              <w:t>The intended final value of the indicator(s).</w:t>
            </w:r>
          </w:p>
          <w:p>
            <w:pPr>
              <w:pStyle w:val="Normal1"/>
              <w:widowControl/>
              <w:bidi w:val="0"/>
              <w:spacing w:lineRule="auto" w:line="240" w:before="0" w:after="240"/>
              <w:jc w:val="both"/>
              <w:rPr>
                <w:i/>
                <w:i/>
                <w:sz w:val="20"/>
                <w:szCs w:val="20"/>
              </w:rPr>
            </w:pPr>
            <w:r>
              <w:rPr>
                <w:i/>
                <w:sz w:val="20"/>
                <w:szCs w:val="20"/>
              </w:rPr>
              <w:t>(Ideally, to be drawn from the partner's strategy )</w:t>
            </w:r>
          </w:p>
        </w:tc>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r>
          </w:p>
          <w:p>
            <w:pPr>
              <w:pStyle w:val="Normal1"/>
              <w:rPr>
                <w:i/>
                <w:i/>
                <w:sz w:val="20"/>
                <w:szCs w:val="20"/>
              </w:rPr>
            </w:pPr>
            <w:r>
              <w:rPr>
                <w:i/>
                <w:sz w:val="20"/>
                <w:szCs w:val="20"/>
              </w:rPr>
              <w:t>The latest available value of the indicator(s) at the time of reporting</w:t>
            </w:r>
          </w:p>
          <w:p>
            <w:pPr>
              <w:pStyle w:val="Normal1"/>
              <w:widowControl/>
              <w:bidi w:val="0"/>
              <w:spacing w:lineRule="auto" w:line="240" w:before="0" w:after="240"/>
              <w:jc w:val="both"/>
              <w:rPr>
                <w:i/>
                <w:i/>
                <w:sz w:val="20"/>
                <w:szCs w:val="20"/>
              </w:rPr>
            </w:pPr>
            <w:r>
              <w:rPr>
                <w:i/>
                <w:sz w:val="20"/>
                <w:szCs w:val="20"/>
              </w:rPr>
              <w:t>(* to be updated in interim and final reports)</w:t>
            </w:r>
          </w:p>
        </w:tc>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r>
          </w:p>
          <w:p>
            <w:pPr>
              <w:pStyle w:val="Normal1"/>
              <w:widowControl/>
              <w:bidi w:val="0"/>
              <w:spacing w:lineRule="auto" w:line="240" w:before="0" w:after="240"/>
              <w:jc w:val="both"/>
              <w:rPr>
                <w:i/>
                <w:i/>
                <w:sz w:val="20"/>
                <w:szCs w:val="20"/>
              </w:rPr>
            </w:pPr>
            <w:r>
              <w:rPr>
                <w:i/>
                <w:sz w:val="20"/>
                <w:szCs w:val="20"/>
              </w:rPr>
              <w:t>Ideally to be drawn from the partner's strategy.</w:t>
            </w:r>
          </w:p>
        </w:tc>
        <w:tc>
          <w:tcPr>
            <w:tcW w:w="2139" w:type="dxa"/>
            <w:tcBorders>
              <w:top w:val="single" w:sz="4" w:space="0" w:color="000000"/>
              <w:left w:val="single" w:sz="4" w:space="0" w:color="000000"/>
              <w:bottom w:val="single" w:sz="4" w:space="0" w:color="000000"/>
              <w:right w:val="single" w:sz="4" w:space="0" w:color="000000"/>
            </w:tcBorders>
            <w:shd w:fill="D9D9D9" w:val="clear"/>
          </w:tcPr>
          <w:p>
            <w:pPr>
              <w:pStyle w:val="Normal1"/>
              <w:ind w:left="34" w:hanging="0"/>
              <w:rPr>
                <w:i/>
                <w:i/>
                <w:sz w:val="20"/>
                <w:szCs w:val="20"/>
              </w:rPr>
            </w:pPr>
            <w:r>
              <w:rPr>
                <w:i/>
                <w:sz w:val="20"/>
                <w:szCs w:val="20"/>
              </w:rPr>
            </w:r>
          </w:p>
          <w:p>
            <w:pPr>
              <w:pStyle w:val="Normal1"/>
              <w:widowControl/>
              <w:bidi w:val="0"/>
              <w:spacing w:lineRule="auto" w:line="240" w:before="0" w:after="240"/>
              <w:jc w:val="both"/>
              <w:rPr>
                <w:i/>
                <w:i/>
                <w:sz w:val="20"/>
                <w:szCs w:val="20"/>
              </w:rPr>
            </w:pPr>
            <w:r>
              <w:rPr>
                <w:i/>
                <w:sz w:val="20"/>
                <w:szCs w:val="20"/>
              </w:rPr>
              <w:t>Not applicable</w:t>
            </w:r>
          </w:p>
        </w:tc>
      </w:tr>
      <w:tr>
        <w:trPr>
          <w:trHeight w:val="699" w:hRule="atLeast"/>
        </w:trPr>
        <w:tc>
          <w:tcPr>
            <w:tcW w:w="692" w:type="dxa"/>
            <w:tcBorders>
              <w:top w:val="single" w:sz="4" w:space="0" w:color="000000"/>
              <w:left w:val="single" w:sz="4" w:space="0" w:color="000000"/>
              <w:bottom w:val="single" w:sz="4" w:space="0" w:color="000000"/>
              <w:right w:val="single" w:sz="4" w:space="0" w:color="000000"/>
            </w:tcBorders>
            <w:shd w:fill="D9D9D9" w:val="clear"/>
          </w:tcPr>
          <w:p>
            <w:pPr>
              <w:pStyle w:val="Normal1"/>
              <w:tabs>
                <w:tab w:val="clear" w:pos="720"/>
                <w:tab w:val="left" w:pos="0" w:leader="none"/>
                <w:tab w:val="left" w:pos="132" w:leader="none"/>
              </w:tabs>
              <w:spacing w:before="0" w:after="240"/>
              <w:ind w:left="113" w:right="113" w:hanging="101"/>
              <w:jc w:val="center"/>
              <w:rPr>
                <w:b/>
                <w:b/>
                <w:i/>
                <w:i/>
                <w:sz w:val="20"/>
                <w:szCs w:val="20"/>
              </w:rPr>
            </w:pPr>
            <w:r>
              <w:rPr>
                <w:b/>
                <w:i/>
                <w:sz w:val="20"/>
                <w:szCs w:val="20"/>
              </w:rPr>
              <w:t>Outcome (s) (Specific objective(s))</w:t>
            </w:r>
          </w:p>
        </w:tc>
        <w:tc>
          <w:tcPr>
            <w:tcW w:w="3006"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t xml:space="preserve">The main medium-term effect of the intervention focusing on behavioural and institutional changes resulting </w:t>
            </w:r>
            <w:r>
              <w:rPr>
                <w:i/>
                <w:sz w:val="20"/>
                <w:szCs w:val="20"/>
                <w:u w:val="single"/>
              </w:rPr>
              <w:t>from the intervention</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4"/>
                <w:sz w:val="20"/>
                <w:szCs w:val="20"/>
                <w:u w:val="none"/>
                <w:vertAlign w:val="baseline"/>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(It is good practice to have one specific objective only, however for large Actions, other short term outcomes can be included here) </w:t>
            </w:r>
          </w:p>
        </w:tc>
        <w:tc>
          <w:tcPr>
            <w:tcW w:w="204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0" w:after="240"/>
              <w:jc w:val="both"/>
              <w:rPr/>
            </w:pPr>
            <w:r>
              <w:rPr>
                <w:i/>
                <w:sz w:val="20"/>
                <w:szCs w:val="20"/>
              </w:rPr>
              <w:t>{var}{outcomes}</w:t>
            </w:r>
          </w:p>
        </w:tc>
        <w:tc>
          <w:tcPr>
            <w:tcW w:w="179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0" w:after="240"/>
              <w:jc w:val="both"/>
              <w:rPr>
                <w:i/>
                <w:i/>
                <w:sz w:val="20"/>
                <w:szCs w:val="20"/>
              </w:rPr>
            </w:pPr>
            <w:r>
              <w:rPr>
                <w:i/>
                <w:sz w:val="20"/>
                <w:szCs w:val="20"/>
              </w:rPr>
              <w:t>The value of the indicator(s) prior to the intervention against which progress can be assessed or comparisons made.</w:t>
            </w:r>
          </w:p>
        </w:tc>
        <w:tc>
          <w:tcPr>
            <w:tcW w:w="141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0" w:after="240"/>
              <w:jc w:val="both"/>
              <w:rPr>
                <w:i/>
                <w:i/>
                <w:sz w:val="20"/>
                <w:szCs w:val="20"/>
              </w:rPr>
            </w:pPr>
            <w:r>
              <w:rPr>
                <w:i/>
                <w:sz w:val="20"/>
                <w:szCs w:val="20"/>
              </w:rPr>
              <w:t>The intended final value of the indicator(s).</w:t>
            </w:r>
          </w:p>
        </w:tc>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t xml:space="preserve">(same as above) </w:t>
            </w:r>
          </w:p>
          <w:p>
            <w:pPr>
              <w:pStyle w:val="Normal1"/>
              <w:spacing w:before="0" w:after="240"/>
              <w:rPr>
                <w:i/>
                <w:i/>
                <w:sz w:val="20"/>
                <w:szCs w:val="20"/>
              </w:rPr>
            </w:pPr>
            <w:r>
              <w:rPr>
                <w:i/>
                <w:sz w:val="20"/>
                <w:szCs w:val="20"/>
              </w:rPr>
            </w:r>
          </w:p>
        </w:tc>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0" w:after="240"/>
              <w:jc w:val="both"/>
              <w:rPr>
                <w:i/>
                <w:i/>
                <w:sz w:val="20"/>
                <w:szCs w:val="20"/>
              </w:rPr>
            </w:pPr>
            <w:r>
              <w:rPr>
                <w:i/>
                <w:sz w:val="20"/>
                <w:szCs w:val="20"/>
              </w:rPr>
              <w:t>Sources of information and methods used to collect and report (including who and when/how frequently).</w:t>
            </w:r>
          </w:p>
        </w:tc>
        <w:tc>
          <w:tcPr>
            <w:tcW w:w="213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0" w:after="240"/>
              <w:jc w:val="both"/>
              <w:rPr>
                <w:i/>
                <w:i/>
                <w:sz w:val="20"/>
                <w:szCs w:val="20"/>
              </w:rPr>
            </w:pPr>
            <w:r>
              <w:rPr>
                <w:i/>
                <w:sz w:val="20"/>
                <w:szCs w:val="20"/>
              </w:rPr>
              <w:t>Factors outside project management's control that may influence on the impact-outcome(s).</w:t>
            </w:r>
          </w:p>
        </w:tc>
      </w:tr>
      <w:tr>
        <w:trPr>
          <w:trHeight w:val="1847" w:hRule="atLeast"/>
        </w:trPr>
        <w:tc>
          <w:tcPr>
            <w:tcW w:w="692" w:type="dxa"/>
            <w:tcBorders>
              <w:top w:val="single" w:sz="4" w:space="0" w:color="000000"/>
              <w:left w:val="single" w:sz="4" w:space="0" w:color="000000"/>
              <w:bottom w:val="single" w:sz="4" w:space="0" w:color="000000"/>
              <w:right w:val="single" w:sz="4" w:space="0" w:color="000000"/>
            </w:tcBorders>
            <w:shd w:fill="D9D9D9" w:val="clear"/>
          </w:tcPr>
          <w:p>
            <w:pPr>
              <w:pStyle w:val="Normal1"/>
              <w:tabs>
                <w:tab w:val="clear" w:pos="720"/>
                <w:tab w:val="left" w:pos="0" w:leader="none"/>
                <w:tab w:val="left" w:pos="132" w:leader="none"/>
              </w:tabs>
              <w:spacing w:before="0" w:after="240"/>
              <w:ind w:left="113" w:right="113" w:hanging="101"/>
              <w:jc w:val="center"/>
              <w:rPr>
                <w:b/>
                <w:b/>
                <w:i/>
                <w:i/>
                <w:sz w:val="20"/>
                <w:szCs w:val="20"/>
              </w:rPr>
            </w:pPr>
            <w:r>
              <w:rPr>
                <w:b/>
                <w:i/>
                <w:sz w:val="20"/>
                <w:szCs w:val="20"/>
              </w:rPr>
              <w:t>*Other Outcomes (*where relevant)</w:t>
            </w:r>
          </w:p>
        </w:tc>
        <w:tc>
          <w:tcPr>
            <w:tcW w:w="3006"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t xml:space="preserve">Where relevant other short-term effect(s) of the intervention focusing on behavioural and institutional changes resulting </w:t>
            </w:r>
            <w:r>
              <w:rPr>
                <w:i/>
                <w:sz w:val="20"/>
                <w:szCs w:val="20"/>
                <w:u w:val="single"/>
              </w:rPr>
              <w:t xml:space="preserve">from the intervention (e.g. </w:t>
            </w:r>
            <w:r>
              <w:rPr>
                <w:i/>
                <w:sz w:val="20"/>
                <w:szCs w:val="20"/>
              </w:rPr>
              <w:t>intermediate outcomes can be accommodated here)</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04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0" w:after="240"/>
              <w:jc w:val="both"/>
              <w:rPr>
                <w:i/>
                <w:i/>
                <w:sz w:val="20"/>
                <w:szCs w:val="20"/>
              </w:rPr>
            </w:pPr>
            <w:r>
              <w:rPr>
                <w:i/>
                <w:sz w:val="20"/>
                <w:szCs w:val="20"/>
              </w:rPr>
              <w:t>{var}{otheroutcomes}</w:t>
            </w:r>
          </w:p>
        </w:tc>
        <w:tc>
          <w:tcPr>
            <w:tcW w:w="1796"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t xml:space="preserve">(same as above) </w:t>
            </w:r>
          </w:p>
          <w:p>
            <w:pPr>
              <w:pStyle w:val="Normal1"/>
              <w:spacing w:before="0" w:after="240"/>
              <w:rPr>
                <w:i/>
                <w:i/>
                <w:sz w:val="20"/>
                <w:szCs w:val="20"/>
              </w:rPr>
            </w:pPr>
            <w:r>
              <w:rPr>
                <w:i/>
                <w:sz w:val="20"/>
                <w:szCs w:val="20"/>
              </w:rPr>
            </w:r>
          </w:p>
        </w:tc>
        <w:tc>
          <w:tcPr>
            <w:tcW w:w="1412"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t xml:space="preserve">(same as above) </w:t>
            </w:r>
          </w:p>
          <w:p>
            <w:pPr>
              <w:pStyle w:val="Normal1"/>
              <w:spacing w:before="0" w:after="240"/>
              <w:rPr>
                <w:i/>
                <w:i/>
                <w:sz w:val="20"/>
                <w:szCs w:val="20"/>
              </w:rPr>
            </w:pPr>
            <w:r>
              <w:rPr>
                <w:i/>
                <w:sz w:val="20"/>
                <w:szCs w:val="20"/>
              </w:rPr>
            </w:r>
          </w:p>
        </w:tc>
        <w:tc>
          <w:tcPr>
            <w:tcW w:w="1463"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t xml:space="preserve">(same as above) </w:t>
            </w:r>
          </w:p>
          <w:p>
            <w:pPr>
              <w:pStyle w:val="Normal1"/>
              <w:spacing w:before="0" w:after="240"/>
              <w:rPr>
                <w:i/>
                <w:i/>
                <w:sz w:val="20"/>
                <w:szCs w:val="20"/>
              </w:rPr>
            </w:pPr>
            <w:r>
              <w:rPr>
                <w:i/>
                <w:sz w:val="20"/>
                <w:szCs w:val="20"/>
              </w:rPr>
            </w:r>
          </w:p>
        </w:tc>
        <w:tc>
          <w:tcPr>
            <w:tcW w:w="1665" w:type="dxa"/>
            <w:tcBorders>
              <w:top w:val="single" w:sz="4" w:space="0" w:color="000000"/>
              <w:left w:val="single" w:sz="4" w:space="0" w:color="000000"/>
              <w:bottom w:val="single" w:sz="4" w:space="0" w:color="000000"/>
              <w:right w:val="single" w:sz="4" w:space="0" w:color="000000"/>
            </w:tcBorders>
            <w:shd w:fill="auto" w:val="clear"/>
          </w:tcPr>
          <w:p>
            <w:pPr>
              <w:pStyle w:val="Normal1"/>
              <w:rPr>
                <w:i/>
                <w:i/>
                <w:sz w:val="20"/>
                <w:szCs w:val="20"/>
              </w:rPr>
            </w:pPr>
            <w:r>
              <w:rPr>
                <w:i/>
                <w:sz w:val="20"/>
                <w:szCs w:val="20"/>
              </w:rPr>
              <w:t xml:space="preserve">(same as above) </w:t>
            </w:r>
          </w:p>
          <w:p>
            <w:pPr>
              <w:pStyle w:val="Normal1"/>
              <w:spacing w:before="0" w:after="240"/>
              <w:rPr>
                <w:i/>
                <w:i/>
                <w:sz w:val="20"/>
                <w:szCs w:val="20"/>
              </w:rPr>
            </w:pPr>
            <w:r>
              <w:rPr>
                <w:i/>
                <w:sz w:val="20"/>
                <w:szCs w:val="20"/>
              </w:rPr>
            </w:r>
          </w:p>
        </w:tc>
        <w:tc>
          <w:tcPr>
            <w:tcW w:w="213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0" w:after="240"/>
              <w:jc w:val="both"/>
              <w:rPr>
                <w:i/>
                <w:i/>
                <w:sz w:val="20"/>
                <w:szCs w:val="20"/>
              </w:rPr>
            </w:pPr>
            <w:r>
              <w:rPr>
                <w:i/>
                <w:sz w:val="20"/>
                <w:szCs w:val="20"/>
              </w:rPr>
              <w:t>Factors outside project management's control that may impact on the SO/other outcomes linkage.</w:t>
            </w:r>
          </w:p>
        </w:tc>
      </w:tr>
      <w:tr>
        <w:trPr>
          <w:trHeight w:val="2096" w:hRule="atLeast"/>
        </w:trPr>
        <w:tc>
          <w:tcPr>
            <w:tcW w:w="692" w:type="dxa"/>
            <w:tcBorders>
              <w:top w:val="single" w:sz="4" w:space="0" w:color="000000"/>
              <w:left w:val="single" w:sz="4" w:space="0" w:color="000000"/>
              <w:bottom w:val="single" w:sz="4" w:space="0" w:color="000000"/>
              <w:right w:val="single" w:sz="4" w:space="0" w:color="000000"/>
            </w:tcBorders>
            <w:shd w:fill="D9D9D9" w:val="clear"/>
          </w:tcPr>
          <w:p>
            <w:pPr>
              <w:pStyle w:val="Normal1"/>
              <w:tabs>
                <w:tab w:val="clear" w:pos="720"/>
                <w:tab w:val="left" w:pos="0" w:leader="none"/>
                <w:tab w:val="left" w:pos="132" w:leader="none"/>
              </w:tabs>
              <w:spacing w:before="0" w:after="240"/>
              <w:ind w:left="113" w:right="113" w:hanging="101"/>
              <w:jc w:val="center"/>
              <w:rPr>
                <w:b/>
                <w:b/>
                <w:i/>
                <w:i/>
                <w:sz w:val="20"/>
                <w:szCs w:val="20"/>
              </w:rPr>
            </w:pPr>
            <w:r>
              <w:rPr>
                <w:b/>
                <w:i/>
                <w:sz w:val="20"/>
                <w:szCs w:val="20"/>
              </w:rPr>
              <w:t>Outputs</w:t>
            </w:r>
          </w:p>
        </w:tc>
        <w:tc>
          <w:tcPr>
            <w:tcW w:w="3006" w:type="dxa"/>
            <w:tcBorders>
              <w:top w:val="single" w:sz="4" w:space="0" w:color="000000"/>
              <w:left w:val="single" w:sz="4" w:space="0" w:color="000000"/>
              <w:bottom w:val="single" w:sz="4" w:space="0" w:color="000000"/>
              <w:right w:val="single" w:sz="4" w:space="0" w:color="000000"/>
            </w:tcBorders>
            <w:shd w:fill="FFFFFF" w:val="clear"/>
          </w:tcPr>
          <w:p>
            <w:pPr>
              <w:pStyle w:val="Normal1"/>
              <w:rPr>
                <w:i/>
                <w:i/>
                <w:sz w:val="20"/>
                <w:szCs w:val="20"/>
              </w:rPr>
            </w:pPr>
            <w:r>
              <w:rPr>
                <w:i/>
                <w:sz w:val="20"/>
                <w:szCs w:val="20"/>
              </w:rPr>
              <w:t xml:space="preserve">The direct/tangible products (infrastructure, goods and services) delivered/generated by the intervention </w:t>
            </w:r>
          </w:p>
          <w:p>
            <w:pPr>
              <w:pStyle w:val="Normal1"/>
              <w:widowControl/>
              <w:bidi w:val="0"/>
              <w:spacing w:lineRule="auto" w:line="240" w:before="0" w:after="240"/>
              <w:jc w:val="both"/>
              <w:rPr>
                <w:i/>
                <w:i/>
                <w:strike/>
                <w:sz w:val="20"/>
                <w:szCs w:val="20"/>
              </w:rPr>
            </w:pPr>
            <w:r>
              <w:rPr>
                <w:i/>
                <w:sz w:val="20"/>
                <w:szCs w:val="20"/>
              </w:rPr>
              <w:t>(*Outputs should in principle be linked to corresponding outcomes through clear numbering)</w:t>
            </w:r>
          </w:p>
        </w:tc>
        <w:tc>
          <w:tcPr>
            <w:tcW w:w="2045" w:type="dxa"/>
            <w:tcBorders>
              <w:top w:val="single" w:sz="4" w:space="0" w:color="000000"/>
              <w:left w:val="single" w:sz="4" w:space="0" w:color="000000"/>
              <w:bottom w:val="single" w:sz="4" w:space="0" w:color="000000"/>
              <w:right w:val="single" w:sz="4" w:space="0" w:color="000000"/>
            </w:tcBorders>
            <w:shd w:fill="FFFFFF" w:val="clear"/>
          </w:tcPr>
          <w:p>
            <w:pPr>
              <w:pStyle w:val="Normal1"/>
              <w:widowControl/>
              <w:bidi w:val="0"/>
              <w:spacing w:lineRule="auto" w:line="240" w:before="0" w:after="240"/>
              <w:jc w:val="both"/>
              <w:rPr>
                <w:i/>
                <w:i/>
                <w:sz w:val="20"/>
                <w:szCs w:val="20"/>
              </w:rPr>
            </w:pPr>
            <w:r>
              <w:rPr>
                <w:i/>
                <w:sz w:val="20"/>
                <w:szCs w:val="20"/>
              </w:rPr>
              <w:t>{var}{output}</w:t>
            </w:r>
          </w:p>
        </w:tc>
        <w:tc>
          <w:tcPr>
            <w:tcW w:w="1796" w:type="dxa"/>
            <w:tcBorders>
              <w:top w:val="single" w:sz="4" w:space="0" w:color="000000"/>
              <w:left w:val="single" w:sz="4" w:space="0" w:color="000000"/>
              <w:bottom w:val="single" w:sz="4" w:space="0" w:color="000000"/>
              <w:right w:val="single" w:sz="4" w:space="0" w:color="000000"/>
            </w:tcBorders>
            <w:shd w:fill="FFFFFF" w:val="clear"/>
          </w:tcPr>
          <w:p>
            <w:pPr>
              <w:pStyle w:val="Normal1"/>
              <w:rPr>
                <w:i/>
                <w:i/>
                <w:sz w:val="20"/>
                <w:szCs w:val="20"/>
              </w:rPr>
            </w:pPr>
            <w:r>
              <w:rPr>
                <w:i/>
                <w:sz w:val="20"/>
                <w:szCs w:val="20"/>
              </w:rPr>
              <w:t xml:space="preserve">(same as above) </w:t>
            </w:r>
          </w:p>
          <w:p>
            <w:pPr>
              <w:pStyle w:val="Normal1"/>
              <w:spacing w:before="0" w:after="240"/>
              <w:rPr>
                <w:i/>
                <w:i/>
                <w:sz w:val="20"/>
                <w:szCs w:val="20"/>
              </w:rPr>
            </w:pPr>
            <w:r>
              <w:rPr>
                <w:i/>
                <w:sz w:val="20"/>
                <w:szCs w:val="20"/>
              </w:rPr>
            </w:r>
          </w:p>
        </w:tc>
        <w:tc>
          <w:tcPr>
            <w:tcW w:w="1412" w:type="dxa"/>
            <w:tcBorders>
              <w:top w:val="single" w:sz="4" w:space="0" w:color="000000"/>
              <w:left w:val="single" w:sz="4" w:space="0" w:color="000000"/>
              <w:bottom w:val="single" w:sz="4" w:space="0" w:color="000000"/>
              <w:right w:val="single" w:sz="4" w:space="0" w:color="000000"/>
            </w:tcBorders>
            <w:shd w:fill="FFFFFF" w:val="clear"/>
          </w:tcPr>
          <w:p>
            <w:pPr>
              <w:pStyle w:val="Normal1"/>
              <w:rPr>
                <w:i/>
                <w:i/>
                <w:sz w:val="20"/>
                <w:szCs w:val="20"/>
              </w:rPr>
            </w:pPr>
            <w:r>
              <w:rPr>
                <w:i/>
                <w:sz w:val="20"/>
                <w:szCs w:val="20"/>
              </w:rPr>
              <w:t xml:space="preserve">(same as above) </w:t>
            </w:r>
          </w:p>
          <w:p>
            <w:pPr>
              <w:pStyle w:val="Normal1"/>
              <w:spacing w:before="0" w:after="240"/>
              <w:rPr>
                <w:i/>
                <w:i/>
                <w:sz w:val="20"/>
                <w:szCs w:val="20"/>
              </w:rPr>
            </w:pPr>
            <w:r>
              <w:rPr>
                <w:i/>
                <w:sz w:val="20"/>
                <w:szCs w:val="20"/>
              </w:rPr>
            </w:r>
          </w:p>
        </w:tc>
        <w:tc>
          <w:tcPr>
            <w:tcW w:w="1463" w:type="dxa"/>
            <w:tcBorders>
              <w:top w:val="single" w:sz="4" w:space="0" w:color="000000"/>
              <w:left w:val="single" w:sz="4" w:space="0" w:color="000000"/>
              <w:bottom w:val="single" w:sz="4" w:space="0" w:color="000000"/>
              <w:right w:val="single" w:sz="4" w:space="0" w:color="000000"/>
            </w:tcBorders>
            <w:shd w:fill="FFFFFF" w:val="clear"/>
          </w:tcPr>
          <w:p>
            <w:pPr>
              <w:pStyle w:val="Normal1"/>
              <w:rPr>
                <w:i/>
                <w:i/>
                <w:sz w:val="20"/>
                <w:szCs w:val="20"/>
              </w:rPr>
            </w:pPr>
            <w:r>
              <w:rPr>
                <w:i/>
                <w:sz w:val="20"/>
                <w:szCs w:val="20"/>
              </w:rPr>
              <w:t xml:space="preserve">(same as above) </w:t>
            </w:r>
          </w:p>
          <w:p>
            <w:pPr>
              <w:pStyle w:val="Normal1"/>
              <w:spacing w:before="0" w:after="240"/>
              <w:rPr>
                <w:i/>
                <w:i/>
                <w:sz w:val="20"/>
                <w:szCs w:val="20"/>
              </w:rPr>
            </w:pPr>
            <w:r>
              <w:rPr>
                <w:i/>
                <w:sz w:val="20"/>
                <w:szCs w:val="20"/>
              </w:rPr>
            </w:r>
          </w:p>
        </w:tc>
        <w:tc>
          <w:tcPr>
            <w:tcW w:w="1665" w:type="dxa"/>
            <w:tcBorders>
              <w:top w:val="single" w:sz="4" w:space="0" w:color="000000"/>
              <w:left w:val="single" w:sz="4" w:space="0" w:color="000000"/>
              <w:bottom w:val="single" w:sz="4" w:space="0" w:color="000000"/>
              <w:right w:val="single" w:sz="4" w:space="0" w:color="000000"/>
            </w:tcBorders>
            <w:shd w:fill="FFFFFF" w:val="clear"/>
          </w:tcPr>
          <w:p>
            <w:pPr>
              <w:pStyle w:val="Normal1"/>
              <w:rPr>
                <w:i/>
                <w:i/>
                <w:sz w:val="20"/>
                <w:szCs w:val="20"/>
              </w:rPr>
            </w:pPr>
            <w:r>
              <w:rPr>
                <w:i/>
                <w:sz w:val="20"/>
                <w:szCs w:val="20"/>
              </w:rPr>
              <w:t xml:space="preserve">(same as above) </w:t>
            </w:r>
          </w:p>
          <w:p>
            <w:pPr>
              <w:pStyle w:val="Normal1"/>
              <w:spacing w:before="0" w:after="240"/>
              <w:rPr>
                <w:i/>
                <w:i/>
                <w:sz w:val="20"/>
                <w:szCs w:val="20"/>
              </w:rPr>
            </w:pPr>
            <w:r>
              <w:rPr>
                <w:i/>
                <w:sz w:val="20"/>
                <w:szCs w:val="20"/>
              </w:rPr>
            </w:r>
          </w:p>
        </w:tc>
        <w:tc>
          <w:tcPr>
            <w:tcW w:w="2139"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40" w:before="0" w:after="240"/>
              <w:jc w:val="both"/>
              <w:rPr>
                <w:i/>
                <w:i/>
                <w:sz w:val="20"/>
                <w:szCs w:val="20"/>
              </w:rPr>
            </w:pPr>
            <w:r>
              <w:rPr>
                <w:i/>
                <w:sz w:val="20"/>
                <w:szCs w:val="20"/>
              </w:rPr>
              <w:t>Factors outside project management's control that may influence on the other outcome(s)/output linkage.</w:t>
            </w:r>
          </w:p>
        </w:tc>
      </w:tr>
    </w:tbl>
    <w:p>
      <w:pPr>
        <w:pStyle w:val="Normal1"/>
        <w:keepNext w:val="false"/>
        <w:keepLines w:val="false"/>
        <w:widowControl/>
        <w:pBdr/>
        <w:shd w:val="clear" w:fill="auto"/>
        <w:spacing w:lineRule="auto" w:line="240" w:before="0" w:after="0"/>
        <w:ind w:left="0" w:right="0" w:hanging="720"/>
        <w:jc w:val="both"/>
        <w:rPr>
          <w:rFonts w:ascii="Times New Roman" w:hAnsi="Times New Roman" w:eastAsia="Times New Roman" w:cs="Times New Roman"/>
          <w:b/>
          <w:b/>
          <w:i/>
          <w:i/>
          <w:caps w:val="false"/>
          <w:smallCaps w:val="false"/>
          <w:strike w:val="false"/>
          <w:dstrike w:val="false"/>
          <w:color w:val="000000"/>
          <w:position w:val="0"/>
          <w:sz w:val="22"/>
          <w:sz w:val="22"/>
          <w:szCs w:val="22"/>
          <w:u w:val="none"/>
          <w:vertAlign w:val="baseline"/>
        </w:rPr>
      </w:pPr>
      <w:r>
        <w:rPr>
          <w:rFonts w:eastAsia="Times New Roman" w:cs="Times New Roman"/>
          <w:b/>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80"/>
        <w:ind w:left="0" w:right="0" w:hanging="720"/>
        <w:jc w:val="both"/>
        <w:rPr>
          <w:rFonts w:ascii="Times New Roman" w:hAnsi="Times New Roman" w:eastAsia="Times New Roman" w:cs="Times New Roman"/>
          <w:b/>
          <w:b/>
          <w:i/>
          <w:i/>
          <w:caps w:val="false"/>
          <w:smallCaps w:val="false"/>
          <w:strike w:val="false"/>
          <w:dstrike w:val="false"/>
          <w:color w:val="000000"/>
          <w:position w:val="0"/>
          <w:sz w:val="24"/>
          <w:sz w:val="22"/>
          <w:szCs w:val="22"/>
          <w:u w:val="none"/>
          <w:vertAlign w:val="baseline"/>
        </w:rPr>
      </w:pPr>
      <w:r>
        <w:rPr>
          <w:rFonts w:eastAsia="Times New Roman" w:cs="Times New Roman"/>
          <w:b/>
          <w:i/>
          <w:caps w:val="false"/>
          <w:smallCaps w:val="false"/>
          <w:strike w:val="false"/>
          <w:dstrike w:val="false"/>
          <w:color w:val="000000"/>
          <w:position w:val="0"/>
          <w:sz w:val="22"/>
          <w:sz w:val="22"/>
          <w:szCs w:val="22"/>
          <w:u w:val="none"/>
          <w:shd w:fill="auto" w:val="clear"/>
          <w:vertAlign w:val="baseline"/>
        </w:rPr>
        <w:t>Activity Matrix</w:t>
      </w:r>
    </w:p>
    <w:tbl>
      <w:tblPr>
        <w:tblStyle w:val="Table2"/>
        <w:tblW w:w="14220" w:type="dxa"/>
        <w:jc w:val="left"/>
        <w:tblInd w:w="0" w:type="dxa"/>
        <w:tblCellMar>
          <w:top w:w="0" w:type="dxa"/>
          <w:left w:w="108" w:type="dxa"/>
          <w:bottom w:w="0" w:type="dxa"/>
          <w:right w:w="108" w:type="dxa"/>
        </w:tblCellMar>
        <w:tblLook w:val="0400"/>
      </w:tblPr>
      <w:tblGrid>
        <w:gridCol w:w="3062"/>
        <w:gridCol w:w="9625"/>
        <w:gridCol w:w="1533"/>
      </w:tblGrid>
      <w:tr>
        <w:trPr>
          <w:trHeight w:val="558" w:hRule="atLeast"/>
        </w:trPr>
        <w:tc>
          <w:tcPr>
            <w:tcW w:w="3062"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before="0" w:after="0"/>
              <w:rPr>
                <w:i/>
                <w:i/>
                <w:strike/>
                <w:sz w:val="20"/>
                <w:szCs w:val="20"/>
              </w:rPr>
            </w:pPr>
            <w:r>
              <w:rPr>
                <w:i/>
                <w:sz w:val="20"/>
                <w:szCs w:val="20"/>
              </w:rPr>
              <w:t xml:space="preserve">What are the key activities to be carried out to produce the intended outputs? </w:t>
            </w:r>
          </w:p>
          <w:p>
            <w:pPr>
              <w:pStyle w:val="Normal1"/>
              <w:spacing w:lineRule="auto" w:line="240" w:before="0" w:after="0"/>
              <w:rPr>
                <w:i/>
                <w:i/>
                <w:strike/>
                <w:sz w:val="20"/>
                <w:szCs w:val="20"/>
              </w:rPr>
            </w:pPr>
            <w:r>
              <w:rPr>
                <w:i/>
                <w:strike/>
                <w:sz w:val="20"/>
                <w:szCs w:val="20"/>
              </w:rPr>
            </w:r>
          </w:p>
          <w:p>
            <w:pPr>
              <w:pStyle w:val="Normal1"/>
              <w:spacing w:lineRule="auto" w:line="240" w:before="0" w:after="0"/>
              <w:rPr>
                <w:i/>
                <w:i/>
                <w:sz w:val="20"/>
                <w:szCs w:val="20"/>
              </w:rPr>
            </w:pPr>
            <w:r>
              <w:rPr>
                <w:i/>
                <w:sz w:val="20"/>
                <w:szCs w:val="20"/>
              </w:rPr>
              <w:t>(*activities should in principle be linked to corresponding output(s) through clear numbering)</w:t>
            </w:r>
          </w:p>
        </w:tc>
        <w:tc>
          <w:tcPr>
            <w:tcW w:w="9625"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before="0" w:after="0"/>
              <w:rPr>
                <w:b/>
                <w:b/>
                <w:i/>
                <w:i/>
                <w:sz w:val="20"/>
                <w:szCs w:val="20"/>
              </w:rPr>
            </w:pPr>
            <w:r>
              <w:rPr>
                <w:b/>
                <w:i/>
                <w:sz w:val="20"/>
                <w:szCs w:val="20"/>
              </w:rPr>
              <w:t>Means</w:t>
            </w:r>
          </w:p>
          <w:p>
            <w:pPr>
              <w:pStyle w:val="Normal1"/>
              <w:spacing w:lineRule="auto" w:line="240" w:before="0" w:after="0"/>
              <w:rPr>
                <w:i/>
                <w:i/>
                <w:sz w:val="20"/>
                <w:szCs w:val="20"/>
              </w:rPr>
            </w:pPr>
            <w:r>
              <w:rPr>
                <w:i/>
                <w:sz w:val="20"/>
                <w:szCs w:val="20"/>
              </w:rPr>
              <w:t xml:space="preserve">What are the political, technical, financial, human and material resources required to implement these activities, e. g. staff, equipment, supplies, operational facilities, etc. </w:t>
            </w:r>
          </w:p>
          <w:p>
            <w:pPr>
              <w:pStyle w:val="Normal1"/>
              <w:spacing w:lineRule="auto" w:line="240" w:before="0" w:after="0"/>
              <w:rPr>
                <w:b/>
                <w:b/>
                <w:i/>
                <w:i/>
                <w:sz w:val="20"/>
                <w:szCs w:val="20"/>
              </w:rPr>
            </w:pPr>
            <w:r>
              <w:rPr>
                <w:b/>
                <w:i/>
                <w:sz w:val="20"/>
                <w:szCs w:val="20"/>
              </w:rPr>
            </w:r>
          </w:p>
          <w:p>
            <w:pPr>
              <w:pStyle w:val="Normal1"/>
              <w:spacing w:lineRule="auto" w:line="240" w:before="0" w:after="0"/>
              <w:rPr>
                <w:b/>
                <w:b/>
                <w:i/>
                <w:i/>
                <w:sz w:val="20"/>
                <w:szCs w:val="20"/>
              </w:rPr>
            </w:pPr>
            <w:r>
              <w:rPr>
                <w:b/>
                <w:i/>
                <w:sz w:val="20"/>
                <w:szCs w:val="20"/>
              </w:rPr>
              <w:t>Costs</w:t>
            </w:r>
          </w:p>
          <w:p>
            <w:pPr>
              <w:pStyle w:val="Normal1"/>
              <w:spacing w:lineRule="auto" w:line="240" w:before="0" w:after="0"/>
              <w:rPr>
                <w:i/>
                <w:i/>
                <w:sz w:val="20"/>
                <w:szCs w:val="20"/>
              </w:rPr>
            </w:pPr>
            <w:r>
              <w:rPr>
                <w:i/>
                <w:sz w:val="20"/>
                <w:szCs w:val="20"/>
              </w:rPr>
              <w:t>What are the action costs? How are they classified? (Breakdown in the Budget for the Action)</w:t>
            </w:r>
          </w:p>
        </w:tc>
        <w:tc>
          <w:tcPr>
            <w:tcW w:w="1533"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b/>
                <w:b/>
                <w:i/>
                <w:i/>
                <w:sz w:val="20"/>
                <w:szCs w:val="20"/>
              </w:rPr>
            </w:pPr>
            <w:r>
              <w:rPr>
                <w:b/>
                <w:i/>
                <w:sz w:val="20"/>
                <w:szCs w:val="20"/>
              </w:rPr>
              <w:t>Assumptions</w:t>
            </w:r>
          </w:p>
          <w:p>
            <w:pPr>
              <w:pStyle w:val="Normal1"/>
              <w:spacing w:lineRule="auto" w:line="240" w:before="0" w:after="0"/>
              <w:rPr>
                <w:i/>
                <w:i/>
                <w:sz w:val="20"/>
                <w:szCs w:val="20"/>
              </w:rPr>
            </w:pPr>
            <w:r>
              <w:rPr>
                <w:i/>
                <w:sz w:val="20"/>
                <w:szCs w:val="20"/>
              </w:rPr>
              <w:t>Factors outside project management's control that may impact on the activities-outputs linkage.</w:t>
            </w:r>
          </w:p>
        </w:tc>
      </w:tr>
    </w:tbl>
    <w:p>
      <w:pPr>
        <w:pStyle w:val="Normal1"/>
        <w:widowControl/>
        <w:bidi w:val="0"/>
        <w:spacing w:lineRule="auto" w:line="240" w:before="0" w:after="240"/>
        <w:jc w:val="both"/>
        <w:rPr/>
      </w:pPr>
      <w:r>
        <w:rPr/>
      </w:r>
    </w:p>
    <w:sectPr>
      <w:headerReference w:type="default" r:id="rId2"/>
      <w:footerReference w:type="default" r:id="rId3"/>
      <w:type w:val="nextPage"/>
      <w:pgSz w:w="16838" w:h="11906"/>
      <w:pgMar w:left="1417" w:right="1417" w:header="708" w:top="1417" w:footer="708"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0"/>
        <w:szCs w:val="20"/>
        <w:u w:val="none"/>
        <w:vertAlign w:val="baseline"/>
      </w:rPr>
    </w:pPr>
    <w:bookmarkStart w:id="0" w:name="_heading=h.gjdgxs"/>
    <w:bookmarkEnd w:id="0"/>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July 2019</w:t>
    </w:r>
  </w:p>
  <w:p>
    <w:pPr>
      <w:pStyle w:val="Normal1"/>
      <w:keepNext w:val="false"/>
      <w:keepLines w:val="false"/>
      <w:widowControl/>
      <w:pBdr/>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e3d_logframe_en.docx</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GB" w:eastAsia="zh-CN" w:bidi="hi-IN"/>
      </w:rPr>
    </w:rPrDefault>
    <w:pPrDefault>
      <w:pPr/>
    </w:pPrDefault>
  </w:docDefaults>
  <w:style w:type="paragraph" w:styleId="Normal" w:default="1">
    <w:name w:val="Normal"/>
    <w:qFormat/>
    <w:rsid w:val="004a15a3"/>
    <w:pPr>
      <w:widowControl/>
      <w:bidi w:val="0"/>
      <w:spacing w:lineRule="auto" w:line="240" w:before="0" w:after="240"/>
      <w:jc w:val="both"/>
    </w:pPr>
    <w:rPr>
      <w:rFonts w:ascii="Times New Roman" w:hAnsi="Times New Roman" w:eastAsia="Times New Roman" w:cs="Times New Roman"/>
      <w:color w:val="auto"/>
      <w:kern w:val="0"/>
      <w:sz w:val="24"/>
      <w:szCs w:val="20"/>
      <w:lang w:val="en-GB"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01330"/>
    <w:rPr>
      <w:rFonts w:ascii="Tahoma" w:hAnsi="Tahoma" w:eastAsia="Times New Roman" w:cs="Tahoma"/>
      <w:sz w:val="16"/>
      <w:szCs w:val="16"/>
    </w:rPr>
  </w:style>
  <w:style w:type="character" w:styleId="Annotationreference">
    <w:name w:val="annotation reference"/>
    <w:basedOn w:val="DefaultParagraphFont"/>
    <w:uiPriority w:val="99"/>
    <w:semiHidden/>
    <w:unhideWhenUsed/>
    <w:qFormat/>
    <w:rsid w:val="00e00f2d"/>
    <w:rPr>
      <w:sz w:val="16"/>
      <w:szCs w:val="16"/>
    </w:rPr>
  </w:style>
  <w:style w:type="character" w:styleId="CommentTextChar" w:customStyle="1">
    <w:name w:val="Comment Text Char"/>
    <w:basedOn w:val="DefaultParagraphFont"/>
    <w:link w:val="CommentText"/>
    <w:uiPriority w:val="99"/>
    <w:semiHidden/>
    <w:qFormat/>
    <w:rsid w:val="00e00f2d"/>
    <w:rPr>
      <w:rFonts w:ascii="Times New Roman" w:hAnsi="Times New Roman" w:eastAsia="Times New Roman" w:cs="Times New Roman"/>
      <w:sz w:val="20"/>
      <w:szCs w:val="20"/>
    </w:rPr>
  </w:style>
  <w:style w:type="character" w:styleId="HeaderChar" w:customStyle="1">
    <w:name w:val="Header Char"/>
    <w:basedOn w:val="DefaultParagraphFont"/>
    <w:link w:val="Header"/>
    <w:uiPriority w:val="99"/>
    <w:qFormat/>
    <w:rsid w:val="00c426ae"/>
    <w:rPr>
      <w:rFonts w:ascii="Times New Roman" w:hAnsi="Times New Roman" w:eastAsia="Times New Roman" w:cs="Times New Roman"/>
      <w:sz w:val="24"/>
      <w:szCs w:val="20"/>
    </w:rPr>
  </w:style>
  <w:style w:type="character" w:styleId="FooterChar" w:customStyle="1">
    <w:name w:val="Footer Char"/>
    <w:basedOn w:val="DefaultParagraphFont"/>
    <w:link w:val="Footer"/>
    <w:uiPriority w:val="99"/>
    <w:qFormat/>
    <w:rsid w:val="00c426ae"/>
    <w:rPr>
      <w:rFonts w:ascii="Times New Roman" w:hAnsi="Times New Roman" w:eastAsia="Times New Roman" w:cs="Times New Roman"/>
      <w:sz w:val="24"/>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40" w:before="0" w:after="240"/>
      <w:jc w:val="both"/>
    </w:pPr>
    <w:rPr>
      <w:rFonts w:ascii="Times New Roman" w:hAnsi="Times New Roman" w:eastAsia="Noto Serif CJK SC" w:cs="Lohit Devanagari"/>
      <w:color w:val="auto"/>
      <w:kern w:val="0"/>
      <w:sz w:val="24"/>
      <w:szCs w:val="24"/>
      <w:lang w:val="en-GB"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uiPriority w:val="34"/>
    <w:qFormat/>
    <w:rsid w:val="004a15a3"/>
    <w:pPr>
      <w:spacing w:before="0" w:after="80"/>
      <w:ind w:left="720" w:hanging="0"/>
      <w:contextualSpacing/>
    </w:pPr>
    <w:rPr>
      <w:rFonts w:ascii="Calibri" w:hAnsi="Calibri" w:eastAsia="Calibri"/>
      <w:sz w:val="22"/>
      <w:szCs w:val="22"/>
      <w:lang w:val="en-IE"/>
    </w:rPr>
  </w:style>
  <w:style w:type="paragraph" w:styleId="Default" w:customStyle="1">
    <w:name w:val="Default"/>
    <w:qFormat/>
    <w:rsid w:val="004a15a3"/>
    <w:pPr>
      <w:widowControl/>
      <w:bidi w:val="0"/>
      <w:spacing w:lineRule="auto" w:line="240" w:before="0" w:after="0"/>
      <w:jc w:val="both"/>
    </w:pPr>
    <w:rPr>
      <w:rFonts w:ascii="Times New Roman" w:hAnsi="Times New Roman" w:eastAsia="Times New Roman" w:cs="Times New Roman"/>
      <w:color w:val="000000"/>
      <w:kern w:val="0"/>
      <w:sz w:val="24"/>
      <w:szCs w:val="24"/>
      <w:lang w:eastAsia="en-GB" w:val="en-GB" w:bidi="hi-IN"/>
    </w:rPr>
  </w:style>
  <w:style w:type="paragraph" w:styleId="BalloonText">
    <w:name w:val="Balloon Text"/>
    <w:basedOn w:val="Normal1"/>
    <w:link w:val="BalloonTextChar"/>
    <w:uiPriority w:val="99"/>
    <w:semiHidden/>
    <w:unhideWhenUsed/>
    <w:qFormat/>
    <w:rsid w:val="00a01330"/>
    <w:pPr>
      <w:spacing w:before="0" w:after="0"/>
    </w:pPr>
    <w:rPr>
      <w:rFonts w:ascii="Tahoma" w:hAnsi="Tahoma" w:cs="Tahoma"/>
      <w:sz w:val="16"/>
      <w:szCs w:val="16"/>
    </w:rPr>
  </w:style>
  <w:style w:type="paragraph" w:styleId="Annotationtext">
    <w:name w:val="annotation text"/>
    <w:basedOn w:val="Normal1"/>
    <w:link w:val="CommentTextChar"/>
    <w:uiPriority w:val="99"/>
    <w:semiHidden/>
    <w:unhideWhenUsed/>
    <w:qFormat/>
    <w:rsid w:val="00e00f2d"/>
    <w:pPr/>
    <w:rPr>
      <w:sz w:val="20"/>
    </w:rPr>
  </w:style>
  <w:style w:type="paragraph" w:styleId="HeaderandFooter">
    <w:name w:val="Header and Footer"/>
    <w:basedOn w:val="Normal"/>
    <w:qFormat/>
    <w:pPr/>
    <w:rPr/>
  </w:style>
  <w:style w:type="paragraph" w:styleId="Header">
    <w:name w:val="Header"/>
    <w:basedOn w:val="Normal1"/>
    <w:link w:val="HeaderChar"/>
    <w:uiPriority w:val="99"/>
    <w:unhideWhenUsed/>
    <w:rsid w:val="00c426ae"/>
    <w:pPr>
      <w:tabs>
        <w:tab w:val="clear" w:pos="720"/>
        <w:tab w:val="center" w:pos="4513" w:leader="none"/>
        <w:tab w:val="right" w:pos="9026" w:leader="none"/>
      </w:tabs>
      <w:spacing w:before="0" w:after="0"/>
    </w:pPr>
    <w:rPr/>
  </w:style>
  <w:style w:type="paragraph" w:styleId="Footer">
    <w:name w:val="Footer"/>
    <w:basedOn w:val="Normal1"/>
    <w:link w:val="FooterChar"/>
    <w:uiPriority w:val="99"/>
    <w:unhideWhenUsed/>
    <w:rsid w:val="00c426ae"/>
    <w:pPr>
      <w:tabs>
        <w:tab w:val="clear" w:pos="720"/>
        <w:tab w:val="center" w:pos="4513" w:leader="none"/>
        <w:tab w:val="right" w:pos="9026" w:leader="none"/>
      </w:tabs>
      <w:spacing w:before="0" w:after="0"/>
    </w:pPr>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Gj5l134H1OqZo2QhzAr/xWOO5Gw==">AMUW2mVLpoIlc1VO91QjbUMlenWMnHgdNJXCh1yShEnGaawLZxLA+1FmyIsFkQr+qhS8k/K1UBH7nnWyT4m32cCPGUGdutyx80iYuqMlszUD4j8VN1UGwylyj3lcpu+xwPCxFKSmYVRM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LibreOffice/6.3.5.2$Linux_X86_64 LibreOffice_project/30$Build-2</Application>
  <Pages>3</Pages>
  <Words>526</Words>
  <Characters>3144</Characters>
  <CharactersWithSpaces>3627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2018-03-27T10:26:00Z</dcterms:created>
  <dc:creator>PELLACANI Enrica (DEVCO)</dc:creator>
  <dc:description/>
  <dc:language>en-US</dc:language>
  <cp:lastModifiedBy/>
  <dcterms:modified xsi:type="dcterms:W3CDTF">2020-03-31T15:21:57Z</dcterms:modified>
  <cp:revision>1</cp:revision>
  <dc:subject/>
  <dc:title/>
</cp:coreProperties>
</file>