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UNIVERSIDAD NACIONAL RAÚL SCALABRINI ORTIZ</w:t>
        <w:br/>
        <w:t>(UNSO)</w:t>
        <w:br/>
        <w:br/>
        <w:t>LICENCIATURA EN CIBERSEGURIDAD</w:t>
        <w:br/>
        <w:br/>
        <w:t>TRABAJO FINAL INTEGRADOR (TFI)</w:t>
      </w:r>
    </w:p>
    <w:p>
      <w:r>
        <w:br/>
        <w:br/>
        <w:br/>
        <w:br/>
      </w:r>
    </w:p>
    <w:p>
      <w:pPr>
        <w:jc w:val="center"/>
      </w:pPr>
      <w:r>
        <w:rPr>
          <w:rFonts w:ascii="Times New Roman" w:hAnsi="Times New Roman" w:eastAsia="Times New Roman"/>
          <w:b/>
          <w:i w:val="0"/>
          <w:sz w:val="24"/>
        </w:rPr>
        <w:t>TÍTULO DEL PROYECTO DE TRABAJO FINAL INTEGRADOR:</w:t>
        <w:br/>
      </w:r>
      <w:r>
        <w:rPr>
          <w:rFonts w:ascii="Times New Roman" w:hAnsi="Times New Roman" w:eastAsia="Times New Roman"/>
          <w:b/>
          <w:i w:val="0"/>
          <w:sz w:val="28"/>
        </w:rPr>
        <w:t>OSINT Deck: Desarrollo de una plataforma inteligente de orquestación de herramientas para investigaciones digitales bajo estándares OWASP 2025</w:t>
      </w:r>
    </w:p>
    <w:p>
      <w:r>
        <w:br/>
        <w:br/>
        <w:br/>
        <w:br/>
      </w:r>
    </w:p>
    <w:p>
      <w:pPr>
        <w:jc w:val="left"/>
      </w:pPr>
      <w:r>
        <w:rPr>
          <w:rFonts w:ascii="Times New Roman" w:hAnsi="Times New Roman" w:eastAsia="Times New Roman"/>
          <w:b w:val="0"/>
          <w:i w:val="0"/>
          <w:sz w:val="24"/>
        </w:rPr>
        <w:t>Autor/a: Sebastián Cendra, Claudio Pandelo, Paolo Peña Ramírez, Guillermo Quintana, Damián Radiminsky.</w:t>
      </w:r>
    </w:p>
    <w:p>
      <w:r>
        <w:br/>
      </w:r>
    </w:p>
    <w:p>
      <w:pPr>
        <w:jc w:val="left"/>
      </w:pPr>
      <w:r>
        <w:rPr>
          <w:rFonts w:ascii="Times New Roman" w:hAnsi="Times New Roman" w:eastAsia="Times New Roman"/>
          <w:b w:val="0"/>
          <w:i w:val="0"/>
          <w:sz w:val="24"/>
        </w:rPr>
        <w:t>Fecha de Presentación: Febrero de 2026</w:t>
      </w:r>
    </w:p>
    <w:p>
      <w:r>
        <w:br/>
        <w:br/>
        <w:br/>
      </w:r>
    </w:p>
    <w:p>
      <w:pPr>
        <w:jc w:val="center"/>
      </w:pPr>
      <w:r>
        <w:rPr>
          <w:rFonts w:ascii="Times New Roman" w:hAnsi="Times New Roman" w:eastAsia="Times New Roman"/>
          <w:b w:val="0"/>
          <w:i w:val="0"/>
          <w:sz w:val="24"/>
        </w:rPr>
        <w:t>CABA, Buenos Aires</w:t>
      </w:r>
    </w:p>
    <w:p>
      <w:r>
        <w:br w:type="page"/>
      </w:r>
    </w:p>
    <w:p>
      <w:pPr>
        <w:spacing w:line="360" w:lineRule="auto" w:after="240"/>
        <w:jc w:val="center"/>
      </w:pPr>
      <w:r>
        <w:rPr>
          <w:rFonts w:ascii="Times New Roman" w:hAnsi="Times New Roman" w:eastAsia="Times New Roman"/>
          <w:b/>
          <w:i w:val="0"/>
          <w:sz w:val="24"/>
        </w:rPr>
        <w:t>ÍNDICE GENERAL</w:t>
      </w:r>
    </w:p>
    <w:p>
      <w:pPr>
        <w:jc w:val="center"/>
      </w:pPr>
      <w:r>
        <w:t>(El índice se generará automáticamente en la versión final del documento Word)</w:t>
      </w:r>
    </w:p>
    <w:p>
      <w:r>
        <w:br w:type="page"/>
      </w:r>
    </w:p>
    <w:p>
      <w:pPr>
        <w:spacing w:line="360" w:lineRule="auto" w:after="240"/>
        <w:jc w:val="both"/>
      </w:pPr>
      <w:r>
        <w:rPr>
          <w:rFonts w:ascii="Times New Roman" w:hAnsi="Times New Roman" w:eastAsia="Times New Roman"/>
          <w:b/>
          <w:i w:val="0"/>
          <w:sz w:val="24"/>
        </w:rPr>
        <w:t>1. Resumen del Proyecto</w:t>
      </w:r>
    </w:p>
    <w:p>
      <w:pPr>
        <w:spacing w:line="360" w:lineRule="auto" w:after="240"/>
        <w:jc w:val="both"/>
      </w:pPr>
      <w:r>
        <w:rPr>
          <w:rFonts w:ascii="Times New Roman" w:hAnsi="Times New Roman" w:eastAsia="Times New Roman"/>
          <w:b w:val="0"/>
          <w:i w:val="0"/>
          <w:sz w:val="24"/>
        </w:rPr>
        <w:t>El presente Proyecto de Trabajo Final Integrador (PTFI) propone el desarrollo de OSINT Deck, un plugin para WordPress diseñado para centralizar y automatizar el acceso a herramientas de investigación digital de fuentes abiertas (OSINT). El problema abordado es la fragmentación y carga cognitiva que enfrentan los analistas al utilizar múltiples plataformas dispersas. La metodología combina el desarrollo ágil con una arquitectura de capas (Clean Architecture) y un motor de decisión híbrido basado en Inteligencia Artificial (Naive Bayes) para la clasificación de intenciones de búsqueda. Como resultado esperado, se entregará una herramienta funcional auditada bajo el estándar OWASP Top 10:2025, mejorando la eficiencia operativa en investigaciones de ciberseguridad en un entorno web seguro.</w:t>
      </w:r>
    </w:p>
    <w:p>
      <w:pPr>
        <w:spacing w:line="360" w:lineRule="auto" w:after="240"/>
        <w:jc w:val="both"/>
      </w:pPr>
      <w:r>
        <w:rPr>
          <w:rFonts w:ascii="Times New Roman" w:hAnsi="Times New Roman" w:eastAsia="Times New Roman"/>
          <w:b/>
          <w:i w:val="0"/>
          <w:sz w:val="24"/>
        </w:rPr>
        <w:t>2. Justificación</w:t>
      </w:r>
    </w:p>
    <w:p>
      <w:pPr>
        <w:spacing w:line="360" w:lineRule="auto" w:after="240"/>
        <w:jc w:val="both"/>
      </w:pPr>
      <w:r>
        <w:rPr>
          <w:rFonts w:ascii="Times New Roman" w:hAnsi="Times New Roman" w:eastAsia="Times New Roman"/>
          <w:b w:val="0"/>
          <w:i w:val="0"/>
          <w:sz w:val="24"/>
        </w:rPr>
        <w:t>La ciberinteligencia moderna requiere agilidad y precisión. La dispersión actual de recursos OSINT genera tiempos muertos y aumenta el riesgo de omitir fuentes críticas. OSINT Deck es relevante porque transforma catálogos estáticos en un entorno operativo dinámico. Su importancia radica en la integración de capacidades de detección inteligente y la mitigación de vulnerabilidades web según estándares internacionales (OWASP 2025). Este proyecto aporta a la comunidad de ciberseguridad una herramienta de código abierto que estandariza y asegura el flujo de trabajo investigativo, alineándose con las competencias de la Licenciatura en Ciberseguridad de la UNSO.</w:t>
      </w:r>
    </w:p>
    <w:p>
      <w:pPr>
        <w:spacing w:line="360" w:lineRule="auto" w:after="240"/>
        <w:jc w:val="both"/>
      </w:pPr>
      <w:r>
        <w:rPr>
          <w:rFonts w:ascii="Times New Roman" w:hAnsi="Times New Roman" w:eastAsia="Times New Roman"/>
          <w:b/>
          <w:i w:val="0"/>
          <w:sz w:val="24"/>
        </w:rPr>
        <w:t>3. Planteamiento del tema/problema</w:t>
      </w:r>
    </w:p>
    <w:p>
      <w:pPr>
        <w:spacing w:line="360" w:lineRule="auto" w:after="240"/>
        <w:jc w:val="both"/>
      </w:pPr>
      <w:r>
        <w:rPr>
          <w:rFonts w:ascii="Times New Roman" w:hAnsi="Times New Roman" w:eastAsia="Times New Roman"/>
          <w:b w:val="0"/>
          <w:i w:val="0"/>
          <w:sz w:val="24"/>
        </w:rPr>
        <w:t>En la práctica de la investigación digital, el analista debe navegar manualmente entre decenas de plataformas (Shodan, VirusTotal, IntelTechniques, etc.), lo que fragmenta el flujo de análisis. Esta situación se agrava por la obsolescencia de los directorios OSINT actuales, donde muchos enlaces están inactivos. El problema central se define como la ineficiencia operativa y la falta de un entorno seguro y unificado que asista al investigador mediante la detección automática del contexto del dato (IP, dominio, email, etc.). ¿Cómo puede una arquitectura de software inteligente y segura optimizar la orquestación de herramientas OSINT y reducir la superficie de ataque en aplicaciones de investigación basadas en CMS?</w:t>
      </w:r>
    </w:p>
    <w:p>
      <w:pPr>
        <w:spacing w:line="360" w:lineRule="auto" w:after="240"/>
        <w:jc w:val="both"/>
      </w:pPr>
      <w:r>
        <w:rPr>
          <w:rFonts w:ascii="Times New Roman" w:hAnsi="Times New Roman" w:eastAsia="Times New Roman"/>
          <w:b/>
          <w:i w:val="0"/>
          <w:sz w:val="24"/>
        </w:rPr>
        <w:t>4. Objetivos</w:t>
      </w:r>
    </w:p>
    <w:p>
      <w:pPr>
        <w:spacing w:line="360" w:lineRule="auto" w:after="240"/>
        <w:jc w:val="both"/>
      </w:pPr>
      <w:r>
        <w:rPr>
          <w:rFonts w:ascii="Times New Roman" w:hAnsi="Times New Roman" w:eastAsia="Times New Roman"/>
          <w:b w:val="0"/>
          <w:i/>
          <w:sz w:val="24"/>
        </w:rPr>
        <w:t>4.1 Objetivo General</w:t>
      </w:r>
    </w:p>
    <w:p>
      <w:pPr>
        <w:spacing w:line="360" w:lineRule="auto" w:after="240"/>
        <w:jc w:val="both"/>
      </w:pPr>
      <w:r>
        <w:rPr>
          <w:rFonts w:ascii="Times New Roman" w:hAnsi="Times New Roman" w:eastAsia="Times New Roman"/>
          <w:b w:val="0"/>
          <w:i w:val="0"/>
          <w:sz w:val="24"/>
        </w:rPr>
        <w:t>Desarrollar un plugin para WordPress basado en una arquitectura de capas segura que integre y automatice el uso de herramientas OSINT mediante inteligencia artificial.</w:t>
      </w:r>
    </w:p>
    <w:p>
      <w:pPr>
        <w:spacing w:line="360" w:lineRule="auto" w:after="240"/>
        <w:jc w:val="both"/>
      </w:pPr>
      <w:r>
        <w:rPr>
          <w:rFonts w:ascii="Times New Roman" w:hAnsi="Times New Roman" w:eastAsia="Times New Roman"/>
          <w:b w:val="0"/>
          <w:i/>
          <w:sz w:val="24"/>
        </w:rPr>
        <w:t>4.2 Objetivos Específicos</w:t>
      </w:r>
    </w:p>
    <w:p>
      <w:pPr>
        <w:pStyle w:val="ListBullet"/>
        <w:spacing w:line="360" w:lineRule="auto"/>
      </w:pPr>
      <w:r>
        <w:rPr>
          <w:rFonts w:ascii="Times New Roman" w:hAnsi="Times New Roman" w:eastAsia="Times New Roman"/>
          <w:b w:val="0"/>
          <w:i w:val="0"/>
          <w:sz w:val="24"/>
        </w:rPr>
        <w:t>Desarrollar una librería de dominio propietaria (OSINT Core Library) para el procesamiento y clasificación de datos de investigación.</w:t>
      </w:r>
    </w:p>
    <w:p>
      <w:pPr>
        <w:pStyle w:val="ListBullet"/>
        <w:spacing w:line="360" w:lineRule="auto"/>
      </w:pPr>
      <w:r>
        <w:rPr>
          <w:rFonts w:ascii="Times New Roman" w:hAnsi="Times New Roman" w:eastAsia="Times New Roman"/>
          <w:b w:val="0"/>
          <w:i w:val="0"/>
          <w:sz w:val="24"/>
        </w:rPr>
        <w:t>Diseñar una arquitectura de capas (Domain-Driven Design) que aísle la lógica de investigación de la infraestructura web.</w:t>
      </w:r>
    </w:p>
    <w:p>
      <w:pPr>
        <w:pStyle w:val="ListBullet"/>
        <w:spacing w:line="360" w:lineRule="auto"/>
      </w:pPr>
      <w:r>
        <w:rPr>
          <w:rFonts w:ascii="Times New Roman" w:hAnsi="Times New Roman" w:eastAsia="Times New Roman"/>
          <w:b w:val="0"/>
          <w:i w:val="0"/>
          <w:sz w:val="24"/>
        </w:rPr>
        <w:t>Implementar un motor de clasificación probabilístico (Naive Bayes) dentro de la librería core para identificar intenciones de búsqueda.</w:t>
      </w:r>
    </w:p>
    <w:p>
      <w:pPr>
        <w:pStyle w:val="ListBullet"/>
        <w:spacing w:line="360" w:lineRule="auto"/>
      </w:pPr>
      <w:r>
        <w:rPr>
          <w:rFonts w:ascii="Times New Roman" w:hAnsi="Times New Roman" w:eastAsia="Times New Roman"/>
          <w:b w:val="0"/>
          <w:i w:val="0"/>
          <w:sz w:val="24"/>
        </w:rPr>
        <w:t>Desarrollar un sistema de gestión de persistencia mediante tablas SQL personalizadas para optimizar el rendimiento.</w:t>
      </w:r>
    </w:p>
    <w:p>
      <w:pPr>
        <w:pStyle w:val="ListBullet"/>
        <w:spacing w:line="360" w:lineRule="auto"/>
      </w:pPr>
      <w:r>
        <w:rPr>
          <w:rFonts w:ascii="Times New Roman" w:hAnsi="Times New Roman" w:eastAsia="Times New Roman"/>
          <w:b w:val="0"/>
          <w:i w:val="0"/>
          <w:sz w:val="24"/>
        </w:rPr>
        <w:t>Auditar y mitigar riesgos de seguridad siguiendo el estándar OWASP Top 10 versión 2025.</w:t>
      </w:r>
    </w:p>
    <w:p>
      <w:pPr>
        <w:pStyle w:val="ListBullet"/>
        <w:spacing w:line="360" w:lineRule="auto"/>
      </w:pPr>
      <w:r>
        <w:rPr>
          <w:rFonts w:ascii="Times New Roman" w:hAnsi="Times New Roman" w:eastAsia="Times New Roman"/>
          <w:b w:val="0"/>
          <w:i w:val="0"/>
          <w:sz w:val="24"/>
        </w:rPr>
        <w:t>Validar la efectividad de la herramienta mediante casos de uso reales de investigación digital.</w:t>
      </w:r>
    </w:p>
    <w:p>
      <w:pPr>
        <w:spacing w:line="360" w:lineRule="auto" w:after="240"/>
        <w:jc w:val="both"/>
      </w:pPr>
      <w:r>
        <w:rPr>
          <w:rFonts w:ascii="Times New Roman" w:hAnsi="Times New Roman" w:eastAsia="Times New Roman"/>
          <w:b/>
          <w:i w:val="0"/>
          <w:sz w:val="24"/>
        </w:rPr>
        <w:t>5. Hipótesis / Pregunta de Investigación</w:t>
      </w:r>
    </w:p>
    <w:p>
      <w:pPr>
        <w:spacing w:line="360" w:lineRule="auto" w:after="240"/>
        <w:jc w:val="both"/>
      </w:pPr>
      <w:r>
        <w:rPr>
          <w:rFonts w:ascii="Times New Roman" w:hAnsi="Times New Roman" w:eastAsia="Times New Roman"/>
          <w:b w:val="0"/>
          <w:i w:val="0"/>
          <w:sz w:val="24"/>
        </w:rPr>
        <w:t>La implementación de un motor de decisión híbrido basado en Inteligencia Artificial y una arquitectura de capas segura permite reducir el tiempo de recolección de información en un 40% y mitigar las vulnerabilidades críticas del estándar OWASP 2025 en comparación con el uso de directorios OSINT tradicionales.</w:t>
      </w:r>
    </w:p>
    <w:p>
      <w:pPr>
        <w:spacing w:line="360" w:lineRule="auto" w:after="240"/>
        <w:jc w:val="both"/>
      </w:pPr>
      <w:r>
        <w:rPr>
          <w:rFonts w:ascii="Times New Roman" w:hAnsi="Times New Roman" w:eastAsia="Times New Roman"/>
          <w:b/>
          <w:i w:val="0"/>
          <w:sz w:val="24"/>
        </w:rPr>
        <w:t>6. Marco Teórico (preliminar)</w:t>
      </w:r>
    </w:p>
    <w:p>
      <w:pPr>
        <w:spacing w:line="360" w:lineRule="auto" w:after="240"/>
        <w:jc w:val="both"/>
      </w:pPr>
      <w:r>
        <w:rPr>
          <w:rFonts w:ascii="Times New Roman" w:hAnsi="Times New Roman" w:eastAsia="Times New Roman"/>
          <w:b w:val="0"/>
          <w:i w:val="0"/>
          <w:sz w:val="24"/>
        </w:rPr>
        <w:t>El marco teórico se sustenta en la Psicología del Análisis de Inteligencia (Heuer, 1999) y el Ciclo de Inteligencia (Kent, 1949). Técnicamente, se fundamenta en el Teorema de Bayes para la clasificación de texto y en los principios de Clean Architecture para el diseño de software seguro. Asimismo, se incorpora el estándar OWASP Top 10:2025 como marco de referencia para la seguridad de aplicaciones web, enfocándose en la mitigación de fallas en el control de acceso (A01), inyecciones (A05) y fallas en la cadena de suministro (A03). Se considera además la Ley 25.326 de Protección de Datos Personales en Argentina como base legal para la recolección ética de información de fuentes abiertas.</w:t>
      </w:r>
    </w:p>
    <w:p>
      <w:pPr>
        <w:spacing w:line="360" w:lineRule="auto" w:after="240"/>
        <w:jc w:val="both"/>
      </w:pPr>
      <w:r>
        <w:rPr>
          <w:rFonts w:ascii="Times New Roman" w:hAnsi="Times New Roman" w:eastAsia="Times New Roman"/>
          <w:b/>
          <w:i w:val="0"/>
          <w:sz w:val="24"/>
        </w:rPr>
        <w:t>7. Metodología y técnicas a utilizar</w:t>
      </w:r>
    </w:p>
    <w:p>
      <w:pPr>
        <w:spacing w:line="360" w:lineRule="auto" w:after="240"/>
        <w:jc w:val="both"/>
      </w:pPr>
      <w:r>
        <w:rPr>
          <w:rFonts w:ascii="Times New Roman" w:hAnsi="Times New Roman" w:eastAsia="Times New Roman"/>
          <w:b w:val="0"/>
          <w:i w:val="0"/>
          <w:sz w:val="24"/>
        </w:rPr>
        <w:t>Se utilizará una metodología de desarrollo ágil (Scrum) centrada en la seguridad (Security by Design). Las técnicas incluyen: 1) Desarrollo de una librería de dominio propia y desacoplada (OSINT Core Library) bajo estándares PSR-4, lo que permite que la lógica de clasificación y decisión sea independiente del CMS. 2) Análisis comparativo de herramientas OSINT. 3) Modelado de amenazas basado en el flujo de datos del plugin. 4) Desarrollo en PHP y JavaScript respetando los hooks de WordPress. 5) Entrenamiento del clasificador Naive Bayes con datasets de dorks OSINT. 6) Pruebas de seguridad estáticas y dinámicas para validar el cumplimiento con OWASP 2025.</w:t>
      </w:r>
    </w:p>
    <w:p>
      <w:pPr>
        <w:spacing w:line="360" w:lineRule="auto" w:after="240"/>
        <w:jc w:val="both"/>
      </w:pPr>
      <w:r>
        <w:rPr>
          <w:rFonts w:ascii="Times New Roman" w:hAnsi="Times New Roman" w:eastAsia="Times New Roman"/>
          <w:b/>
          <w:i w:val="0"/>
          <w:sz w:val="24"/>
        </w:rPr>
        <w:t>8. Cronograma</w:t>
      </w:r>
    </w:p>
    <w:p>
      <w:r>
        <w:t>A continuación se detalla la planificación temporal de las actividades del proyecto:</w:t>
      </w:r>
    </w:p>
    <w:tbl>
      <w:tblPr>
        <w:tblStyle w:val="TableGrid"/>
        <w:tblW w:type="auto" w:w="0"/>
        <w:tblLook w:firstColumn="1" w:firstRow="1" w:lastColumn="0" w:lastRow="0" w:noHBand="0" w:noVBand="1" w:val="04A0"/>
      </w:tblPr>
      <w:tblGrid>
        <w:gridCol w:w="3043"/>
        <w:gridCol w:w="3043"/>
        <w:gridCol w:w="3043"/>
      </w:tblGrid>
      <w:tr>
        <w:tc>
          <w:tcPr>
            <w:tcW w:type="dxa" w:w="3043"/>
          </w:tcPr>
          <w:p>
            <w:r>
              <w:t>Fase</w:t>
            </w:r>
          </w:p>
        </w:tc>
        <w:tc>
          <w:tcPr>
            <w:tcW w:type="dxa" w:w="3043"/>
          </w:tcPr>
          <w:p>
            <w:r>
              <w:t>Actividad</w:t>
            </w:r>
          </w:p>
        </w:tc>
        <w:tc>
          <w:tcPr>
            <w:tcW w:type="dxa" w:w="3043"/>
          </w:tcPr>
          <w:p>
            <w:r>
              <w:t>Semanas</w:t>
            </w:r>
          </w:p>
        </w:tc>
      </w:tr>
      <w:tr>
        <w:tc>
          <w:tcPr>
            <w:tcW w:type="dxa" w:w="3043"/>
          </w:tcPr>
          <w:p>
            <w:r>
              <w:t>Fase 1: Planificación</w:t>
            </w:r>
          </w:p>
        </w:tc>
        <w:tc>
          <w:tcPr>
            <w:tcW w:type="dxa" w:w="3043"/>
          </w:tcPr>
          <w:p>
            <w:r>
              <w:t>Revisión bibliográfica y delimitación del tema</w:t>
            </w:r>
          </w:p>
        </w:tc>
        <w:tc>
          <w:tcPr>
            <w:tcW w:type="dxa" w:w="3043"/>
          </w:tcPr>
          <w:p>
            <w:r>
              <w:t>1-3</w:t>
            </w:r>
          </w:p>
        </w:tc>
      </w:tr>
      <w:tr>
        <w:tc>
          <w:tcPr>
            <w:tcW w:type="dxa" w:w="3043"/>
          </w:tcPr>
          <w:p>
            <w:r>
              <w:t>Fase 1: Planificación</w:t>
            </w:r>
          </w:p>
        </w:tc>
        <w:tc>
          <w:tcPr>
            <w:tcW w:type="dxa" w:w="3043"/>
          </w:tcPr>
          <w:p>
            <w:r>
              <w:t>Redacción del plan de trabajo</w:t>
            </w:r>
          </w:p>
        </w:tc>
        <w:tc>
          <w:tcPr>
            <w:tcW w:type="dxa" w:w="3043"/>
          </w:tcPr>
          <w:p>
            <w:r>
              <w:t>4-5</w:t>
            </w:r>
          </w:p>
        </w:tc>
      </w:tr>
      <w:tr>
        <w:tc>
          <w:tcPr>
            <w:tcW w:type="dxa" w:w="3043"/>
          </w:tcPr>
          <w:p>
            <w:r>
              <w:t>Fase 2: Ejecución</w:t>
            </w:r>
          </w:p>
        </w:tc>
        <w:tc>
          <w:tcPr>
            <w:tcW w:type="dxa" w:w="3043"/>
          </w:tcPr>
          <w:p>
            <w:r>
              <w:t>Diseño de arquitectura y metodología</w:t>
            </w:r>
          </w:p>
        </w:tc>
        <w:tc>
          <w:tcPr>
            <w:tcW w:type="dxa" w:w="3043"/>
          </w:tcPr>
          <w:p>
            <w:r>
              <w:t>6-7</w:t>
            </w:r>
          </w:p>
        </w:tc>
      </w:tr>
      <w:tr>
        <w:tc>
          <w:tcPr>
            <w:tcW w:type="dxa" w:w="3043"/>
          </w:tcPr>
          <w:p>
            <w:r>
              <w:t>Fase 2: Ejecución</w:t>
            </w:r>
          </w:p>
        </w:tc>
        <w:tc>
          <w:tcPr>
            <w:tcW w:type="dxa" w:w="3043"/>
          </w:tcPr>
          <w:p>
            <w:r>
              <w:t>Desarrollo del motor de IA y Core</w:t>
            </w:r>
          </w:p>
        </w:tc>
        <w:tc>
          <w:tcPr>
            <w:tcW w:type="dxa" w:w="3043"/>
          </w:tcPr>
          <w:p>
            <w:r>
              <w:t>8-12</w:t>
            </w:r>
          </w:p>
        </w:tc>
      </w:tr>
      <w:tr>
        <w:tc>
          <w:tcPr>
            <w:tcW w:type="dxa" w:w="3043"/>
          </w:tcPr>
          <w:p>
            <w:r>
              <w:t>Fase 2: Ejecución</w:t>
            </w:r>
          </w:p>
        </w:tc>
        <w:tc>
          <w:tcPr>
            <w:tcW w:type="dxa" w:w="3043"/>
          </w:tcPr>
          <w:p>
            <w:r>
              <w:t>Auditoría de seguridad OWASP y Pruebas</w:t>
            </w:r>
          </w:p>
        </w:tc>
        <w:tc>
          <w:tcPr>
            <w:tcW w:type="dxa" w:w="3043"/>
          </w:tcPr>
          <w:p>
            <w:r>
              <w:t>13-14</w:t>
            </w:r>
          </w:p>
        </w:tc>
      </w:tr>
      <w:tr>
        <w:tc>
          <w:tcPr>
            <w:tcW w:type="dxa" w:w="3043"/>
          </w:tcPr>
          <w:p>
            <w:r>
              <w:t>Fase 3: Cierre</w:t>
            </w:r>
          </w:p>
        </w:tc>
        <w:tc>
          <w:tcPr>
            <w:tcW w:type="dxa" w:w="3043"/>
          </w:tcPr>
          <w:p>
            <w:r>
              <w:t>Análisis de resultados y redacción final</w:t>
            </w:r>
          </w:p>
        </w:tc>
        <w:tc>
          <w:tcPr>
            <w:tcW w:type="dxa" w:w="3043"/>
          </w:tcPr>
          <w:p>
            <w:r>
              <w:t>15-16</w:t>
            </w:r>
          </w:p>
        </w:tc>
      </w:tr>
    </w:tbl>
    <w:p>
      <w:r>
        <w:br/>
      </w:r>
    </w:p>
    <w:p>
      <w:pPr>
        <w:spacing w:line="360" w:lineRule="auto" w:after="240"/>
        <w:jc w:val="both"/>
      </w:pPr>
      <w:r>
        <w:rPr>
          <w:rFonts w:ascii="Times New Roman" w:hAnsi="Times New Roman" w:eastAsia="Times New Roman"/>
          <w:b/>
          <w:i w:val="0"/>
          <w:sz w:val="24"/>
        </w:rPr>
        <w:t>9. Referencias bibliográficas y bibliografía (preliminar)</w:t>
      </w:r>
    </w:p>
    <w:p>
      <w:pPr>
        <w:spacing w:line="360" w:lineRule="auto"/>
      </w:pPr>
      <w:r>
        <w:t>Fernández, J. (2023). La ciberseguridad como prioridad empresarial. Revista de Ciberinteligencia.</w:t>
      </w:r>
      <w:r>
        <w:rPr>
          <w:rFonts w:ascii="Times New Roman" w:hAnsi="Times New Roman" w:eastAsia="Times New Roman"/>
          <w:b w:val="0"/>
          <w:i w:val="0"/>
          <w:sz w:val="24"/>
        </w:rPr>
      </w:r>
    </w:p>
    <w:p>
      <w:pPr>
        <w:spacing w:line="360" w:lineRule="auto"/>
      </w:pPr>
      <w:r>
        <w:t>Heuer, R. J. (1999). Psychology of Intelligence Analysis. Center for the Study of Intelligence.</w:t>
      </w:r>
      <w:r>
        <w:rPr>
          <w:rFonts w:ascii="Times New Roman" w:hAnsi="Times New Roman" w:eastAsia="Times New Roman"/>
          <w:b w:val="0"/>
          <w:i w:val="0"/>
          <w:sz w:val="24"/>
        </w:rPr>
      </w:r>
    </w:p>
    <w:p>
      <w:pPr>
        <w:spacing w:line="360" w:lineRule="auto"/>
      </w:pPr>
      <w:r>
        <w:t>Kent, S. (1949). Strategic Intelligence for American World Policy. Princeton University Press.</w:t>
      </w:r>
      <w:r>
        <w:rPr>
          <w:rFonts w:ascii="Times New Roman" w:hAnsi="Times New Roman" w:eastAsia="Times New Roman"/>
          <w:b w:val="0"/>
          <w:i w:val="0"/>
          <w:sz w:val="24"/>
        </w:rPr>
      </w:r>
    </w:p>
    <w:p>
      <w:pPr>
        <w:spacing w:line="360" w:lineRule="auto"/>
      </w:pPr>
      <w:r>
        <w:t>OWASP. (2025). Top 10 Web Application Security Risks. https://owasp.org/Top10/2025/</w:t>
      </w:r>
      <w:r>
        <w:rPr>
          <w:rFonts w:ascii="Times New Roman" w:hAnsi="Times New Roman" w:eastAsia="Times New Roman"/>
          <w:b w:val="0"/>
          <w:i w:val="0"/>
          <w:sz w:val="24"/>
        </w:rPr>
      </w:r>
    </w:p>
    <w:p>
      <w:pPr>
        <w:spacing w:line="360" w:lineRule="auto"/>
      </w:pPr>
      <w:r>
        <w:t>Universidad Nacional Raúl Scalabrini Ortiz. (2024). Reglamento de Trabajo Final de Licenciatura.</w:t>
      </w:r>
      <w:r>
        <w:rPr>
          <w:rFonts w:ascii="Times New Roman" w:hAnsi="Times New Roman" w:eastAsia="Times New Roman"/>
          <w:b w:val="0"/>
          <w:i w:val="0"/>
          <w:sz w:val="24"/>
        </w:rPr>
      </w:r>
    </w:p>
    <w:p>
      <w:pPr>
        <w:spacing w:line="360" w:lineRule="auto" w:after="240"/>
        <w:jc w:val="both"/>
      </w:pPr>
      <w:r>
        <w:rPr>
          <w:rFonts w:ascii="Times New Roman" w:hAnsi="Times New Roman" w:eastAsia="Times New Roman"/>
          <w:b/>
          <w:i w:val="0"/>
          <w:sz w:val="24"/>
        </w:rPr>
        <w:t>10. Anexos</w:t>
      </w:r>
    </w:p>
    <w:p>
      <w:r>
        <w:t>Anexo A: Código fuente del Clasificador Naive Bayes (src/Domain/Service/NaiveBayesClassifier.php)</w:t>
      </w:r>
    </w:p>
    <w:p>
      <w:r>
        <w:t>Anexo B: Mapeo detallado de controles OWASP 2025 implementados.</w:t>
      </w:r>
    </w:p>
    <w:sectPr w:rsidR="00FC693F" w:rsidRPr="0006063C"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