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8"/>
        </w:rPr>
        <w:t>UNIVERSIDAD NACIONAL RAÚL SCALABRINI ORTIZ</w:t>
        <w:br/>
        <w:t>(UNSO)</w:t>
        <w:br/>
        <w:br/>
        <w:t>LICENCIATURA EN CIBERSEGURIDAD</w:t>
        <w:br/>
        <w:br/>
        <w:t>TRABAJO FINAL INTEGRADOR (TFI)</w:t>
      </w:r>
    </w:p>
    <w:p>
      <w:r>
        <w:br/>
        <w:br/>
        <w:br/>
      </w:r>
    </w:p>
    <w:p>
      <w:pPr>
        <w:jc w:val="center"/>
      </w:pPr>
      <w:r>
        <w:rPr>
          <w:rFonts w:ascii="Times New Roman" w:hAnsi="Times New Roman" w:eastAsia="Times New Roman"/>
          <w:b/>
          <w:i w:val="0"/>
          <w:sz w:val="24"/>
        </w:rPr>
        <w:t>TÍTULO DEL PROYECTO DE TRABAJO FINAL INTEGRADOR:</w:t>
        <w:br/>
      </w:r>
      <w:r>
        <w:rPr>
          <w:rFonts w:ascii="Times New Roman" w:hAnsi="Times New Roman" w:eastAsia="Times New Roman"/>
          <w:b/>
          <w:i w:val="0"/>
          <w:sz w:val="28"/>
        </w:rPr>
        <w:t>OSINT Deck: Orquestación Inteligente y Arquitectura de Capas para la Optimización del Flujo de Inteligencia de Fuentes Abiertas</w:t>
      </w:r>
    </w:p>
    <w:p>
      <w:r>
        <w:br/>
        <w:br/>
        <w:br/>
        <w:br/>
      </w:r>
    </w:p>
    <w:p>
      <w:pPr>
        <w:jc w:val="left"/>
      </w:pPr>
      <w:r>
        <w:rPr>
          <w:rFonts w:ascii="Times New Roman" w:hAnsi="Times New Roman" w:eastAsia="Times New Roman"/>
          <w:b w:val="0"/>
          <w:i w:val="0"/>
          <w:sz w:val="24"/>
        </w:rPr>
        <w:t>Autor/a: Sebastián Cendra, Claudio Pandelo, Paolo Peña Ramírez, Guillermo Quintana, Damián Radiminsky.</w:t>
      </w:r>
    </w:p>
    <w:p>
      <w:r>
        <w:br/>
      </w:r>
    </w:p>
    <w:p>
      <w:pPr>
        <w:jc w:val="left"/>
      </w:pPr>
      <w:r>
        <w:rPr>
          <w:rFonts w:ascii="Times New Roman" w:hAnsi="Times New Roman" w:eastAsia="Times New Roman"/>
          <w:b w:val="0"/>
          <w:i w:val="0"/>
          <w:sz w:val="24"/>
        </w:rPr>
        <w:t>Fecha de Presentación: Febrero de 2026</w:t>
      </w:r>
    </w:p>
    <w:p>
      <w:r>
        <w:br/>
        <w:br/>
        <w:br/>
      </w:r>
    </w:p>
    <w:p>
      <w:pPr>
        <w:jc w:val="center"/>
      </w:pPr>
      <w:r>
        <w:rPr>
          <w:rFonts w:ascii="Times New Roman" w:hAnsi="Times New Roman" w:eastAsia="Times New Roman"/>
          <w:b w:val="0"/>
          <w:i w:val="0"/>
          <w:sz w:val="24"/>
        </w:rPr>
        <w:t>CABA, Buenos Aires</w:t>
      </w:r>
    </w:p>
    <w:p>
      <w:r>
        <w:br w:type="page"/>
      </w:r>
    </w:p>
    <w:p>
      <w:pPr>
        <w:spacing w:line="360" w:lineRule="auto" w:after="240"/>
        <w:jc w:val="both"/>
      </w:pPr>
      <w:r>
        <w:rPr>
          <w:rFonts w:ascii="Times New Roman" w:hAnsi="Times New Roman" w:eastAsia="Times New Roman"/>
          <w:b/>
          <w:i w:val="0"/>
          <w:sz w:val="24"/>
        </w:rPr>
        <w:t>1. Resumen del Proyecto</w:t>
      </w:r>
    </w:p>
    <w:p>
      <w:pPr>
        <w:spacing w:line="360" w:lineRule="auto" w:after="240"/>
        <w:jc w:val="both"/>
      </w:pPr>
      <w:r>
        <w:rPr>
          <w:rFonts w:ascii="Times New Roman" w:hAnsi="Times New Roman" w:eastAsia="Times New Roman"/>
          <w:b w:val="0"/>
          <w:i w:val="0"/>
          <w:sz w:val="24"/>
        </w:rPr>
        <w:t>El presente Proyecto de Trabajo Final Integrador (PTFI) propone el desarrollo de OSINT Deck, una plataforma de orquestación diseñada para centralizar y automatizar el flujo de inteligencia de fuentes abiertas (OSINT). El proyecto aborda la problemática de la carga cognitiva y la fragmentación operativa en investigaciones digitales mediante una arquitectura de capas (Clean Architecture) y un motor de decisión híbrido que integra Inteligencia Artificial (Naive Bayes). Se busca demostrar cómo la automatización del triage de indicadores de compromiso (IOCs) y la aplicación de estándares OWASP 2025 optimizan la respuesta ante incidentes. El resultado esperado es una herramienta profesional que trasciende el modelo de directorio estático, ofreciendo una solución escalable y segura alineada con las competencias de la Licenciatura en Ciberseguridad.</w:t>
      </w:r>
    </w:p>
    <w:p>
      <w:pPr>
        <w:spacing w:line="360" w:lineRule="auto" w:after="240"/>
        <w:jc w:val="both"/>
      </w:pPr>
      <w:r>
        <w:rPr>
          <w:rFonts w:ascii="Times New Roman" w:hAnsi="Times New Roman" w:eastAsia="Times New Roman"/>
          <w:b/>
          <w:i w:val="0"/>
          <w:sz w:val="24"/>
        </w:rPr>
        <w:t>2. Vinculación con el Perfil Profesional de la Licenciatura</w:t>
      </w:r>
    </w:p>
    <w:p>
      <w:pPr>
        <w:spacing w:line="360" w:lineRule="auto" w:after="240"/>
        <w:jc w:val="both"/>
      </w:pPr>
      <w:r>
        <w:rPr>
          <w:rFonts w:ascii="Times New Roman" w:hAnsi="Times New Roman" w:eastAsia="Times New Roman"/>
          <w:b w:val="0"/>
          <w:i w:val="0"/>
          <w:sz w:val="24"/>
        </w:rPr>
        <w:t xml:space="preserve">El proyecto OSINT Deck constituye una síntesis integradora de las competencias adquiridas durante la Licenciatura en Ciberseguridad de la UNSO. Se correlaciona directamente con los objetivos de la carrera en tres ejes fundamentales: </w:t>
        <w:br/>
        <w:t xml:space="preserve">1) Ciberinteligencia y Vigilancia Tecnológica: Al proponer un sistema de recolección y análisis proactivo de información pública para la detección de amenazas. </w:t>
        <w:br/>
        <w:t xml:space="preserve">2) Desarrollo Seguro de Software (Security by Design): Al implementar una arquitectura de capas auditada bajo estándares internacionales (OWASP 2025), demostrando la capacidad de diseñar sistemas resilientes. </w:t>
        <w:br/>
        <w:t>3) Respuesta ante Incidentes: Al optimizar los tiempos de respuesta mediante la orquestación automática de recursos, facilitando el análisis forense preliminar y la mitigación de ataques basados en ingeniería social o filtración de datos.</w:t>
      </w:r>
    </w:p>
    <w:p>
      <w:pPr>
        <w:spacing w:line="360" w:lineRule="auto" w:after="240"/>
        <w:jc w:val="both"/>
      </w:pPr>
      <w:r>
        <w:rPr>
          <w:rFonts w:ascii="Times New Roman" w:hAnsi="Times New Roman" w:eastAsia="Times New Roman"/>
          <w:b/>
          <w:i w:val="0"/>
          <w:sz w:val="24"/>
        </w:rPr>
        <w:t>3. Planteamiento del Problema y Estado de la Técnica</w:t>
      </w:r>
    </w:p>
    <w:p>
      <w:pPr>
        <w:spacing w:line="360" w:lineRule="auto" w:after="240"/>
        <w:jc w:val="both"/>
      </w:pPr>
      <w:r>
        <w:rPr>
          <w:rFonts w:ascii="Times New Roman" w:hAnsi="Times New Roman" w:eastAsia="Times New Roman"/>
          <w:b w:val="0"/>
          <w:i w:val="0"/>
          <w:sz w:val="24"/>
        </w:rPr>
        <w:t>En la actualidad, el ecosistema OSINT se caracteriza por una paradoja de sobreabundancia informativa. Frameworks como 'OSINT Framework' u 'Awesome OSINT' funcionan como catálogos estáticos de enlaces que, si bien son valiosos, obligan al analista a una verificación manual constante y a una carga cognitiva elevada (Heuer, 1999). Herramientas más avanzadas como 'Maltego' ofrecen capacidades de correlación, pero su curva de aprendizaje y costos limitan su accesibilidad. OSINT Deck se sitúa en un punto intermedio crítico: ofrece la simplicidad de una interfaz web con la potencia de un motor de decisión inteligente. El problema central radica en la ausencia de herramientas que armonicen la automatización del triage con un entorno de ejecución seguro y accesible, protegiendo tanto al investigador como a la integridad de la investigación.</w:t>
      </w:r>
    </w:p>
    <w:p>
      <w:pPr>
        <w:spacing w:line="360" w:lineRule="auto" w:after="240"/>
        <w:jc w:val="both"/>
      </w:pPr>
      <w:r>
        <w:rPr>
          <w:rFonts w:ascii="Times New Roman" w:hAnsi="Times New Roman" w:eastAsia="Times New Roman"/>
          <w:b/>
          <w:i w:val="0"/>
          <w:sz w:val="24"/>
        </w:rPr>
        <w:t>4. Objetivos</w:t>
      </w:r>
    </w:p>
    <w:p>
      <w:pPr>
        <w:spacing w:line="360" w:lineRule="auto" w:after="240"/>
        <w:jc w:val="both"/>
      </w:pPr>
      <w:r>
        <w:rPr>
          <w:rFonts w:ascii="Times New Roman" w:hAnsi="Times New Roman" w:eastAsia="Times New Roman"/>
          <w:b w:val="0"/>
          <w:i/>
          <w:sz w:val="24"/>
        </w:rPr>
        <w:t>4.1 Objetivo General</w:t>
      </w:r>
    </w:p>
    <w:p>
      <w:pPr>
        <w:spacing w:line="360" w:lineRule="auto" w:after="240"/>
        <w:jc w:val="both"/>
      </w:pPr>
      <w:r>
        <w:rPr>
          <w:rFonts w:ascii="Times New Roman" w:hAnsi="Times New Roman" w:eastAsia="Times New Roman"/>
          <w:b w:val="0"/>
          <w:i w:val="0"/>
          <w:sz w:val="24"/>
        </w:rPr>
        <w:t>Desarrollar una plataforma orquestadora de servicios OSINT basada en una librería core propietaria y una arquitectura de capas, orientada a la optimización de procesos de ciberinteligencia y respuesta ante incidentes.</w:t>
      </w:r>
    </w:p>
    <w:p>
      <w:pPr>
        <w:spacing w:line="360" w:lineRule="auto" w:after="240"/>
        <w:jc w:val="both"/>
      </w:pPr>
      <w:r>
        <w:rPr>
          <w:rFonts w:ascii="Times New Roman" w:hAnsi="Times New Roman" w:eastAsia="Times New Roman"/>
          <w:b w:val="0"/>
          <w:i/>
          <w:sz w:val="24"/>
        </w:rPr>
        <w:t>4.2 Objetivos Específicos</w:t>
      </w:r>
    </w:p>
    <w:p>
      <w:pPr>
        <w:pStyle w:val="ListBullet"/>
        <w:spacing w:line="360" w:lineRule="auto"/>
      </w:pPr>
      <w:r>
        <w:rPr>
          <w:rFonts w:ascii="Times New Roman" w:hAnsi="Times New Roman" w:eastAsia="Times New Roman"/>
          <w:b w:val="0"/>
          <w:i w:val="0"/>
          <w:sz w:val="24"/>
        </w:rPr>
        <w:t>Desarrollar la 'OSINT Core Library' bajo estándares PSR-4 para garantizar un desacoplamiento total de la lógica de negocio respecto al CMS.</w:t>
      </w:r>
    </w:p>
    <w:p>
      <w:pPr>
        <w:pStyle w:val="ListBullet"/>
        <w:spacing w:line="360" w:lineRule="auto"/>
      </w:pPr>
      <w:r>
        <w:rPr>
          <w:rFonts w:ascii="Times New Roman" w:hAnsi="Times New Roman" w:eastAsia="Times New Roman"/>
          <w:b w:val="0"/>
          <w:i w:val="0"/>
          <w:sz w:val="24"/>
        </w:rPr>
        <w:t>Implementar un motor de clasificación probabilístico basado en Naive Bayes para la detección de intenciones en lenguaje natural.</w:t>
      </w:r>
    </w:p>
    <w:p>
      <w:pPr>
        <w:pStyle w:val="ListBullet"/>
        <w:spacing w:line="360" w:lineRule="auto"/>
      </w:pPr>
      <w:r>
        <w:rPr>
          <w:rFonts w:ascii="Times New Roman" w:hAnsi="Times New Roman" w:eastAsia="Times New Roman"/>
          <w:b w:val="0"/>
          <w:i w:val="0"/>
          <w:sz w:val="24"/>
        </w:rPr>
        <w:t>Diseñar un sistema de persistencia híbrido utilizando tablas SQL personalizadas para garantizar la integridad y trazabilidad de los datos (Logs/Herramientas).</w:t>
      </w:r>
    </w:p>
    <w:p>
      <w:pPr>
        <w:pStyle w:val="ListBullet"/>
        <w:spacing w:line="360" w:lineRule="auto"/>
      </w:pPr>
      <w:r>
        <w:rPr>
          <w:rFonts w:ascii="Times New Roman" w:hAnsi="Times New Roman" w:eastAsia="Times New Roman"/>
          <w:b w:val="0"/>
          <w:i w:val="0"/>
          <w:sz w:val="24"/>
        </w:rPr>
        <w:t>Auditar la plataforma bajo el estándar OWASP Top 10:2025, enfocándose en la mitigación de inyecciones y fallas en el control de acceso.</w:t>
      </w:r>
    </w:p>
    <w:p>
      <w:pPr>
        <w:pStyle w:val="ListBullet"/>
        <w:spacing w:line="360" w:lineRule="auto"/>
      </w:pPr>
      <w:r>
        <w:rPr>
          <w:rFonts w:ascii="Times New Roman" w:hAnsi="Times New Roman" w:eastAsia="Times New Roman"/>
          <w:b w:val="0"/>
          <w:i w:val="0"/>
          <w:sz w:val="24"/>
        </w:rPr>
        <w:t>Establecer un marco ético-legal basado en la Ley 25.326 para la recolección responsable de datos en fuentes abiertas.</w:t>
      </w:r>
    </w:p>
    <w:p>
      <w:pPr>
        <w:spacing w:line="360" w:lineRule="auto" w:after="240"/>
        <w:jc w:val="both"/>
      </w:pPr>
      <w:r>
        <w:rPr>
          <w:rFonts w:ascii="Times New Roman" w:hAnsi="Times New Roman" w:eastAsia="Times New Roman"/>
          <w:b/>
          <w:i w:val="0"/>
          <w:sz w:val="24"/>
        </w:rPr>
        <w:t>5. Marco Teórico</w:t>
      </w:r>
    </w:p>
    <w:p>
      <w:pPr>
        <w:spacing w:line="360" w:lineRule="auto" w:after="240"/>
        <w:jc w:val="both"/>
      </w:pPr>
      <w:r>
        <w:rPr>
          <w:rFonts w:ascii="Times New Roman" w:hAnsi="Times New Roman" w:eastAsia="Times New Roman"/>
          <w:b w:val="0"/>
          <w:i w:val="0"/>
          <w:sz w:val="24"/>
        </w:rPr>
        <w:t>El sustento teórico de este trabajo trasciende la mera descripción de herramientas. Se apoya en la 'Teoría de la Inteligencia Centrada en el Objetivo' (Clark, 2019), que propone que la organización de la información debe responder al problema de análisis y no a la herramienta. Desde la ciberseguridad, se adopta el modelo de 'Defensa en Profundidad' aplicado al desarrollo de aplicaciones web, integrando controles técnicos (Nonces, Sanitización) y arquitectónicos (Separación de Capas). El uso de IA mediante el Teorema de Bayes se fundamenta como una solución técnica a las limitaciones del análisis heurístico tradicional, permitiendo una interpretación contextual de los indicadores de compromiso (IOCs) analizados.</w:t>
      </w:r>
    </w:p>
    <w:p>
      <w:pPr>
        <w:spacing w:line="360" w:lineRule="auto" w:after="240"/>
        <w:jc w:val="both"/>
      </w:pPr>
      <w:r>
        <w:rPr>
          <w:rFonts w:ascii="Times New Roman" w:hAnsi="Times New Roman" w:eastAsia="Times New Roman"/>
          <w:b/>
          <w:i w:val="0"/>
          <w:sz w:val="24"/>
        </w:rPr>
        <w:t>6. Metodología y Técnicas</w:t>
      </w:r>
    </w:p>
    <w:p>
      <w:pPr>
        <w:spacing w:line="360" w:lineRule="auto" w:after="240"/>
        <w:jc w:val="both"/>
      </w:pPr>
      <w:r>
        <w:rPr>
          <w:rFonts w:ascii="Times New Roman" w:hAnsi="Times New Roman" w:eastAsia="Times New Roman"/>
          <w:b w:val="0"/>
          <w:i w:val="0"/>
          <w:sz w:val="24"/>
        </w:rPr>
        <w:t>Se adoptará un enfoque de investigación aplicada mediante el método de desarrollo iterativo e incremental. Se priorizará la seguridad por diseño (Security by Design) realizando auditorías continuas en cada sprint. Las técnicas de recolección de datos incluyen el análisis de patrones de dorks y la normalización de inputs técnicos. La validación se llevará a cabo mediante pruebas de regresión y auditorías de caja blanca sobre la librería de dominio propia, asegurando que la lógica de decisión sea consistente y resistente a manipulaciones externas.</w:t>
      </w:r>
    </w:p>
    <w:p>
      <w:pPr>
        <w:spacing w:line="360" w:lineRule="auto" w:after="240"/>
        <w:jc w:val="both"/>
      </w:pPr>
      <w:r>
        <w:rPr>
          <w:rFonts w:ascii="Times New Roman" w:hAnsi="Times New Roman" w:eastAsia="Times New Roman"/>
          <w:b/>
          <w:i w:val="0"/>
          <w:sz w:val="24"/>
        </w:rPr>
        <w:t>7. Cronograma</w:t>
      </w:r>
    </w:p>
    <w:tbl>
      <w:tblPr>
        <w:tblStyle w:val="TableGrid"/>
        <w:tblW w:type="auto" w:w="0"/>
        <w:tblLook w:firstColumn="1" w:firstRow="1" w:lastColumn="0" w:lastRow="0" w:noHBand="0" w:noVBand="1" w:val="04A0"/>
      </w:tblPr>
      <w:tblGrid>
        <w:gridCol w:w="3043"/>
        <w:gridCol w:w="3043"/>
        <w:gridCol w:w="3043"/>
      </w:tblGrid>
      <w:tr>
        <w:tc>
          <w:tcPr>
            <w:tcW w:type="dxa" w:w="3043"/>
          </w:tcPr>
          <w:p>
            <w:r>
              <w:t>Fase</w:t>
            </w:r>
          </w:p>
        </w:tc>
        <w:tc>
          <w:tcPr>
            <w:tcW w:type="dxa" w:w="3043"/>
          </w:tcPr>
          <w:p>
            <w:r>
              <w:t>Actividad</w:t>
            </w:r>
          </w:p>
        </w:tc>
        <w:tc>
          <w:tcPr>
            <w:tcW w:type="dxa" w:w="3043"/>
          </w:tcPr>
          <w:p>
            <w:r>
              <w:t>Semanas</w:t>
            </w:r>
          </w:p>
        </w:tc>
      </w:tr>
      <w:tr>
        <w:tc>
          <w:tcPr>
            <w:tcW w:type="dxa" w:w="3043"/>
          </w:tcPr>
          <w:p>
            <w:r>
              <w:t>Fase 1: Planificación</w:t>
            </w:r>
          </w:p>
        </w:tc>
        <w:tc>
          <w:tcPr>
            <w:tcW w:type="dxa" w:w="3043"/>
          </w:tcPr>
          <w:p>
            <w:r>
              <w:t>Revisión bibliográfica y mapeo de competencias UNSO</w:t>
            </w:r>
          </w:p>
        </w:tc>
        <w:tc>
          <w:tcPr>
            <w:tcW w:type="dxa" w:w="3043"/>
          </w:tcPr>
          <w:p>
            <w:r>
              <w:t>1-3</w:t>
            </w:r>
          </w:p>
        </w:tc>
      </w:tr>
      <w:tr>
        <w:tc>
          <w:tcPr>
            <w:tcW w:type="dxa" w:w="3043"/>
          </w:tcPr>
          <w:p>
            <w:r>
              <w:t>Fase 1: Planificación</w:t>
            </w:r>
          </w:p>
        </w:tc>
        <w:tc>
          <w:tcPr>
            <w:tcW w:type="dxa" w:w="3043"/>
          </w:tcPr>
          <w:p>
            <w:r>
              <w:t>Redacción del plan de trabajo y diseño de arquitectura</w:t>
            </w:r>
          </w:p>
        </w:tc>
        <w:tc>
          <w:tcPr>
            <w:tcW w:type="dxa" w:w="3043"/>
          </w:tcPr>
          <w:p>
            <w:r>
              <w:t>4-5</w:t>
            </w:r>
          </w:p>
        </w:tc>
      </w:tr>
      <w:tr>
        <w:tc>
          <w:tcPr>
            <w:tcW w:type="dxa" w:w="3043"/>
          </w:tcPr>
          <w:p>
            <w:r>
              <w:t>Fase 2: Ejecución</w:t>
            </w:r>
          </w:p>
        </w:tc>
        <w:tc>
          <w:tcPr>
            <w:tcW w:type="dxa" w:w="3043"/>
          </w:tcPr>
          <w:p>
            <w:r>
              <w:t>Desarrollo de la OSINT Core Library (Domain Layer)</w:t>
            </w:r>
          </w:p>
        </w:tc>
        <w:tc>
          <w:tcPr>
            <w:tcW w:type="dxa" w:w="3043"/>
          </w:tcPr>
          <w:p>
            <w:r>
              <w:t>6-9</w:t>
            </w:r>
          </w:p>
        </w:tc>
      </w:tr>
      <w:tr>
        <w:tc>
          <w:tcPr>
            <w:tcW w:type="dxa" w:w="3043"/>
          </w:tcPr>
          <w:p>
            <w:r>
              <w:t>Fase 2: Ejecución</w:t>
            </w:r>
          </w:p>
        </w:tc>
        <w:tc>
          <w:tcPr>
            <w:tcW w:type="dxa" w:w="3043"/>
          </w:tcPr>
          <w:p>
            <w:r>
              <w:t>Integración con WordPress y motor de IA</w:t>
            </w:r>
          </w:p>
        </w:tc>
        <w:tc>
          <w:tcPr>
            <w:tcW w:type="dxa" w:w="3043"/>
          </w:tcPr>
          <w:p>
            <w:r>
              <w:t>10-12</w:t>
            </w:r>
          </w:p>
        </w:tc>
      </w:tr>
      <w:tr>
        <w:tc>
          <w:tcPr>
            <w:tcW w:type="dxa" w:w="3043"/>
          </w:tcPr>
          <w:p>
            <w:r>
              <w:t>Fase 2: Ejecución</w:t>
            </w:r>
          </w:p>
        </w:tc>
        <w:tc>
          <w:tcPr>
            <w:tcW w:type="dxa" w:w="3043"/>
          </w:tcPr>
          <w:p>
            <w:r>
              <w:t>Auditoría OWASP 2025 y QA de seguridad</w:t>
            </w:r>
          </w:p>
        </w:tc>
        <w:tc>
          <w:tcPr>
            <w:tcW w:type="dxa" w:w="3043"/>
          </w:tcPr>
          <w:p>
            <w:r>
              <w:t>13-14</w:t>
            </w:r>
          </w:p>
        </w:tc>
      </w:tr>
      <w:tr>
        <w:tc>
          <w:tcPr>
            <w:tcW w:type="dxa" w:w="3043"/>
          </w:tcPr>
          <w:p>
            <w:r>
              <w:t>Fase 3: Cierre</w:t>
            </w:r>
          </w:p>
        </w:tc>
        <w:tc>
          <w:tcPr>
            <w:tcW w:type="dxa" w:w="3043"/>
          </w:tcPr>
          <w:p>
            <w:r>
              <w:t>Análisis de impacto y redacción del TFI final</w:t>
            </w:r>
          </w:p>
        </w:tc>
        <w:tc>
          <w:tcPr>
            <w:tcW w:type="dxa" w:w="3043"/>
          </w:tcPr>
          <w:p>
            <w:r>
              <w:t>15-16</w:t>
            </w:r>
          </w:p>
        </w:tc>
      </w:tr>
    </w:tbl>
    <w:p>
      <w:r>
        <w:br w:type="page"/>
      </w:r>
    </w:p>
    <w:p>
      <w:pPr>
        <w:spacing w:line="360" w:lineRule="auto" w:after="240"/>
        <w:jc w:val="both"/>
      </w:pPr>
      <w:r>
        <w:rPr>
          <w:rFonts w:ascii="Times New Roman" w:hAnsi="Times New Roman" w:eastAsia="Times New Roman"/>
          <w:b/>
          <w:i w:val="0"/>
          <w:sz w:val="24"/>
        </w:rPr>
        <w:t>8. Referencias Bibliográficas</w:t>
      </w:r>
    </w:p>
    <w:p>
      <w:pPr>
        <w:spacing w:line="360" w:lineRule="auto"/>
      </w:pPr>
      <w:r>
        <w:t>Clark, R. M. (2019). Intelligence Analysis: A Target-Centric Approach. CQ Press.</w:t>
      </w:r>
      <w:r>
        <w:rPr>
          <w:rFonts w:ascii="Times New Roman" w:hAnsi="Times New Roman" w:eastAsia="Times New Roman"/>
          <w:b w:val="0"/>
          <w:i w:val="0"/>
          <w:sz w:val="24"/>
        </w:rPr>
      </w:r>
    </w:p>
    <w:p>
      <w:pPr>
        <w:spacing w:line="360" w:lineRule="auto"/>
      </w:pPr>
      <w:r>
        <w:t>Heuer, R. J. (1999). Psychology of Intelligence Analysis. Center for the Study of Intelligence.</w:t>
      </w:r>
      <w:r>
        <w:rPr>
          <w:rFonts w:ascii="Times New Roman" w:hAnsi="Times New Roman" w:eastAsia="Times New Roman"/>
          <w:b w:val="0"/>
          <w:i w:val="0"/>
          <w:sz w:val="24"/>
        </w:rPr>
      </w:r>
    </w:p>
    <w:p>
      <w:pPr>
        <w:spacing w:line="360" w:lineRule="auto"/>
      </w:pPr>
      <w:r>
        <w:t>Kent, S. (1949). Strategic Intelligence for American World Policy. Princeton University Press.</w:t>
      </w:r>
      <w:r>
        <w:rPr>
          <w:rFonts w:ascii="Times New Roman" w:hAnsi="Times New Roman" w:eastAsia="Times New Roman"/>
          <w:b w:val="0"/>
          <w:i w:val="0"/>
          <w:sz w:val="24"/>
        </w:rPr>
      </w:r>
    </w:p>
    <w:p>
      <w:pPr>
        <w:spacing w:line="360" w:lineRule="auto"/>
      </w:pPr>
      <w:r>
        <w:t>OWASP. (2025). Top 10 Web Application Security Risks. https://owasp.org/Top10/2025/</w:t>
      </w:r>
      <w:r>
        <w:rPr>
          <w:rFonts w:ascii="Times New Roman" w:hAnsi="Times New Roman" w:eastAsia="Times New Roman"/>
          <w:b w:val="0"/>
          <w:i w:val="0"/>
          <w:sz w:val="24"/>
        </w:rPr>
      </w:r>
    </w:p>
    <w:p>
      <w:pPr>
        <w:spacing w:line="360" w:lineRule="auto"/>
      </w:pPr>
      <w:r>
        <w:t>Universidad Nacional Raúl Scalabrini Ortiz. (2019). Resolución Ministerial N° 4313: Licenciatura en Ciberseguridad.</w:t>
      </w:r>
      <w:r>
        <w:rPr>
          <w:rFonts w:ascii="Times New Roman" w:hAnsi="Times New Roman" w:eastAsia="Times New Roman"/>
          <w:b w:val="0"/>
          <w:i w:val="0"/>
          <w:sz w:val="24"/>
        </w:rPr>
      </w:r>
    </w:p>
    <w:sectPr w:rsidR="00FC693F" w:rsidRPr="0006063C" w:rsidSect="00034616">
      <w:pgSz w:w="12240" w:h="15840"/>
      <w:pgMar w:top="1411" w:right="1411"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