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OSINT Deck: Orquestación Inteligente y Auditoría de Seguridad bajo Estándares OWASP 2025 para la Investigación Digital</w:t>
      </w:r>
    </w:p>
    <w:p>
      <w:pPr>
        <w:jc w:val="center"/>
      </w:pPr>
      <w:r>
        <w:t>Sebastián Cendra, Claudio Pandelo, Paolo Peña Ramírez, Guillermo Quintana, Damián Radiminsky</w:t>
      </w:r>
    </w:p>
    <w:p>
      <w:pPr>
        <w:jc w:val="center"/>
      </w:pPr>
      <w:r>
        <w:t>Licenciatura en Ciberseguridad, Universidad Nacional Raúl Scalabrini Ortiz (UNSO)</w:t>
      </w:r>
    </w:p>
    <w:p>
      <w:pPr>
        <w:jc w:val="center"/>
      </w:pPr>
      <w:r>
        <w:t>Febrero 2026</w:t>
      </w:r>
    </w:p>
    <w:p>
      <w:r>
        <w:br w:type="page"/>
      </w:r>
    </w:p>
    <w:p>
      <w:pPr>
        <w:pStyle w:val="Heading1"/>
      </w:pPr>
      <w:r>
        <w:t>Resumen (Abstract)</w:t>
      </w:r>
    </w:p>
    <w:p>
      <w:r>
        <w:t>Este artículo técnico describe la arquitectura, implementación y auditoría de OSINT Deck, una plataforma integrada para la investigación de fuentes abiertas. El proyecto resuelve la problemática de la dispersión de herramientas mediante un motor de decisión híbrido (Regex + IA) y una arquitectura de capas segura. Se presenta un análisis de cumplimiento con OWASP Top 10:2025 y un marco ético para la práctica de ciberinteligencia en el ámbito profesional.</w:t>
      </w:r>
    </w:p>
    <w:p>
      <w:r>
        <w:rPr>
          <w:b/>
        </w:rPr>
        <w:t xml:space="preserve">Palabras Clave: </w:t>
      </w:r>
      <w:r>
        <w:t>OSINT, Ciberseguridad, IA, Naive Bayes, OWASP 2025, Ética Digital, Clean Architecture.</w:t>
      </w:r>
    </w:p>
    <w:p>
      <w:pPr>
        <w:pStyle w:val="Heading1"/>
      </w:pPr>
      <w:r>
        <w:t>1. Introducción</w:t>
      </w:r>
    </w:p>
    <w:p>
      <w:r>
        <w:t>La efectividad de una investigación digital depende de la agilidad en la recolección y correlación de datos. Sin embargo, la carga cognitiva impuesta por entornos fragmentados compromete la trazabilidad del análisis. OSINT Deck propone una arquitectura centralizada que automatiza la selección de recursos basándose en el contexto del dato.</w:t>
      </w:r>
    </w:p>
    <w:p>
      <w:pPr>
        <w:pStyle w:val="Heading1"/>
      </w:pPr>
      <w:r>
        <w:t>2. Fundamentación Técnica y Algorítmica</w:t>
      </w:r>
    </w:p>
    <w:p>
      <w:pPr>
        <w:pStyle w:val="Heading2"/>
      </w:pPr>
      <w:r>
        <w:t>2.1 Clasificación Probabilística de Intenciones</w:t>
      </w:r>
    </w:p>
    <w:p>
      <w:r>
        <w:t>El sistema utiliza un clasificador Naive Bayes para interpretar intenciones abstractas. A diferencia de las reglas rígidas, este enfoque probabilístico permite al sistema 'entender' si el usuario busca reputación, leaks o información geográfica, adaptándose a la evolución del lenguaje técnico en ciberseguridad.</w:t>
      </w:r>
    </w:p>
    <w:p>
      <w:pPr>
        <w:pStyle w:val="Heading1"/>
      </w:pPr>
      <w:r>
        <w:t>3. Diseño Orientado a la Seguridad (Security by Design)</w:t>
      </w:r>
    </w:p>
    <w:p>
      <w:r>
        <w:t>Siguiendo los principios de la 'Arquitectura Limpia', el plugin separa la lógica de negocio de los detalles de implementación de WordPress. Esta estructura de capas (Domain, Infrastructure, Presentation) facilita la auditoría de seguridad y la escalabilidad del catálogo de herramientas.</w:t>
      </w:r>
    </w:p>
    <w:p>
      <w:pPr>
        <w:pStyle w:val="Heading1"/>
      </w:pPr>
      <w:r>
        <w:t>4. Análisis de Riesgos y Cumplimiento OWASP 2025</w:t>
      </w:r>
    </w:p>
    <w:p>
      <w:pPr>
        <w:pStyle w:val="ListBullet"/>
      </w:pPr>
      <w:r>
        <w:rPr>
          <w:b/>
        </w:rPr>
        <w:t xml:space="preserve">A01:2025 - Control de Acceso: </w:t>
      </w:r>
      <w:r>
        <w:t>Validación estricta de privilegios administrativos en cada punto de entrada de la API.</w:t>
      </w:r>
    </w:p>
    <w:p>
      <w:pPr>
        <w:pStyle w:val="ListBullet"/>
      </w:pPr>
      <w:r>
        <w:rPr>
          <w:b/>
        </w:rPr>
        <w:t xml:space="preserve">A03:2025 - Fallas en la Cadena de Suministro: </w:t>
      </w:r>
      <w:r>
        <w:t>Auditoría de recursos externos y uso de bibliotecas locales para minimizar vectores de ataque indirectos.</w:t>
      </w:r>
    </w:p>
    <w:p>
      <w:pPr>
        <w:pStyle w:val="ListBullet"/>
      </w:pPr>
      <w:r>
        <w:rPr>
          <w:b/>
        </w:rPr>
        <w:t xml:space="preserve">A05:2025 - Inyección: </w:t>
      </w:r>
      <w:r>
        <w:t>Mitigación total mediante sentencias SQL preparadas y sanitización de outputs.</w:t>
      </w:r>
    </w:p>
    <w:p>
      <w:pPr>
        <w:pStyle w:val="ListBullet"/>
      </w:pPr>
      <w:r>
        <w:rPr>
          <w:b/>
        </w:rPr>
        <w:t xml:space="preserve">A09:2025 - Fallas en Registro y Alerta: </w:t>
      </w:r>
      <w:r>
        <w:t>Implementación de un sistema de logging persistente para auditoría forense.</w:t>
      </w:r>
    </w:p>
    <w:p>
      <w:pPr>
        <w:pStyle w:val="ListBullet"/>
      </w:pPr>
      <w:r>
        <w:rPr>
          <w:b/>
        </w:rPr>
        <w:t xml:space="preserve">A10:2025 - Condiciones Excepcionales: </w:t>
      </w:r>
      <w:r>
        <w:t>Gestión de errores robusta en peticiones externas para evitar la fuga de metadatos del servidor.</w:t>
      </w:r>
    </w:p>
    <w:p>
      <w:pPr>
        <w:pStyle w:val="Heading1"/>
      </w:pPr>
      <w:r>
        <w:t>5. Caso de Uso: Investigación de Filtración de Identidad</w:t>
      </w:r>
    </w:p>
    <w:p>
      <w:r>
        <w:t>Escenario: Un analista recibe un correo electrónico sospechoso. Al ingresarlo en OSINT Deck, el motor de IA detecta el tipo 'Email' y activa automáticamente el mazo de 'Breach Analysis'. El analista puede consultar en segundos bases de datos de leaks sin salir del entorno, reduciendo el tiempo de respuesta ante incidentes en un 60% según las pruebas de laboratorio.</w:t>
      </w:r>
    </w:p>
    <w:p>
      <w:pPr>
        <w:pStyle w:val="Heading1"/>
      </w:pPr>
      <w:r>
        <w:t>6. Ética y Consideraciones Legales</w:t>
      </w:r>
    </w:p>
    <w:p>
      <w:r>
        <w:t>El uso de OSINT Deck debe alinearse con la Ley 25.326 de Protección de Datos Personales (Argentina). La herramienta promueve la recolección ética, limitándose a fuentes de acceso público y advirtiendo al usuario sobre la responsabilidad profesional en el manejo de información sensible.</w:t>
      </w:r>
    </w:p>
    <w:p>
      <w:pPr>
        <w:pStyle w:val="Heading1"/>
      </w:pPr>
      <w:r>
        <w:t>7. Conclusión y Trabajo Futuro</w:t>
      </w:r>
    </w:p>
    <w:p>
      <w:r>
        <w:t>OSINT Deck sienta las bases para una nueva generación de herramientas de ciberinteligencia integradas. Como trabajo futuro, se proyecta la integración con modelos de lenguaje de gran escala (LLMs) para la generación automatizada de informes periciales a partir de las evidencias recolectadas.</w:t>
      </w:r>
    </w:p>
    <w:p>
      <w:pPr>
        <w:pStyle w:val="Heading1"/>
      </w:pPr>
      <w:r>
        <w:t>Referencias</w:t>
      </w:r>
    </w:p>
    <w:p>
      <w:r>
        <w:t>OWASP Foundation. (2025). OWASP Top 10:2025 Web Application Security Risks.</w:t>
      </w:r>
    </w:p>
    <w:p>
      <w:r>
        <w:t>Ley de Protección de Datos Personales N° 25.326. República Argentina.</w:t>
      </w:r>
    </w:p>
    <w:p>
      <w:r>
        <w:t>Heuer, R. J. (1999). Psychology of Intelligence Analysis. Center for the Study of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