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/>
        </w:rPr>
        <w:t>Pharma Garde — Workflows &amp; User Stories</w:t>
      </w:r>
    </w:p>
    <w:p>
      <w:r>
        <w:rPr>
          <w:rFonts w:ascii="Aptos" w:hAnsi="Aptos"/>
          <w:color w:val="667085"/>
          <w:sz w:val="22"/>
        </w:rPr>
        <w:t>Document dérivé du PRD révisé du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80"/>
            <w:shd w:fill="F3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/>
                <w:b/>
                <w:color w:val="1F2430"/>
              </w:rPr>
              <w:t xml:space="preserve">Parcours central : </w:t>
            </w:r>
            <w:r>
              <w:rPr>
                <w:rFonts w:ascii="Aptos" w:hAnsi="Aptos"/>
                <w:color w:val="1F2430"/>
              </w:rPr>
              <w:t>trouver → vérifier → contacter ou rejoindre → mesurer l’arrivée.</w:t>
            </w:r>
          </w:p>
        </w:tc>
      </w:tr>
    </w:tbl>
    <w:p/>
    <w:p>
      <w:pPr>
        <w:pStyle w:val="Heading1"/>
      </w:pPr>
      <w:r>
        <w:t>1. Workflows</w:t>
      </w:r>
    </w:p>
    <w:p>
      <w:r>
        <w:t>Le MVP se découpe en six workflows utilisateur et deux workflows internes. Les workflows ci-dessous restent alignés avec le périmètre du PRD et n’ajoutent pas de fonctionnalités non prévues.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shd w:fill="6D3E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</w:rPr>
              <w:t>Workflow</w:t>
            </w:r>
          </w:p>
        </w:tc>
        <w:tc>
          <w:tcPr>
            <w:tcW w:type="dxa" w:w="2016"/>
            <w:shd w:fill="6D3E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</w:rPr>
              <w:t>Acteur</w:t>
            </w:r>
          </w:p>
        </w:tc>
        <w:tc>
          <w:tcPr>
            <w:tcW w:type="dxa" w:w="2016"/>
            <w:shd w:fill="6D3E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</w:rPr>
              <w:t>Déclencheur</w:t>
            </w:r>
          </w:p>
        </w:tc>
        <w:tc>
          <w:tcPr>
            <w:tcW w:type="dxa" w:w="2016"/>
            <w:shd w:fill="6D3E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</w:rPr>
              <w:t>Flow nominal</w:t>
            </w:r>
          </w:p>
        </w:tc>
        <w:tc>
          <w:tcPr>
            <w:tcW w:type="dxa" w:w="2016"/>
            <w:shd w:fill="6D3E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</w:rPr>
              <w:t>États / règles clés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F2430"/>
                <w:sz w:val="16"/>
              </w:rPr>
              <w:t>WF01 — Trouver une pharmacie de garde</w:t>
            </w:r>
          </w:p>
        </w:tc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Utilisateur</w:t>
            </w:r>
          </w:p>
        </w:tc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Ouverture de l’application</w:t>
            </w:r>
          </w:p>
        </w:tc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Ouverture → Gardes actives → Recherche/filtre éventuel → Résultats → Sélection d’une pharmacie</w:t>
            </w:r>
          </w:p>
        </w:tc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Aucune pharmacie active ; recherche sans résultat ; zone sans résultat ; données de garde incertaines.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F2430"/>
                <w:sz w:val="16"/>
              </w:rPr>
              <w:t>WF02 — Consulter une pharmacie</w:t>
            </w:r>
          </w:p>
        </w:tc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Utilisateur</w:t>
            </w:r>
          </w:p>
        </w:tc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Sélection d’une pharmacie</w:t>
            </w:r>
          </w:p>
        </w:tc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Résultat → Fiche pharmacie → Statut de garde → Heure de fin → Appeler ou Itinéraire</w:t>
            </w:r>
          </w:p>
        </w:tc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Le statut « Ouverte maintenant » est calculé à partir de la période de garde et de l’heure actuelle.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F2430"/>
                <w:sz w:val="16"/>
              </w:rPr>
              <w:t>WF03 — Appeler une pharmacie</w:t>
            </w:r>
          </w:p>
        </w:tc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Utilisateur</w:t>
            </w:r>
          </w:p>
        </w:tc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Clic sur « Appeler »</w:t>
            </w:r>
          </w:p>
        </w:tc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Fiche pharmacie → Appeler → Application téléphone</w:t>
            </w:r>
          </w:p>
        </w:tc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Le clic est comptabilisé dans les analytics.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F2430"/>
                <w:sz w:val="16"/>
              </w:rPr>
              <w:t>WF04 — Rejoindre une pharmacie</w:t>
            </w:r>
          </w:p>
        </w:tc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Utilisateur</w:t>
            </w:r>
          </w:p>
        </w:tc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Clic sur « Itinéraire »</w:t>
            </w:r>
          </w:p>
        </w:tc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Fiche → Itinéraire → Demande de localisation → Accord → Position → Trajet → Navigation</w:t>
            </w:r>
          </w:p>
        </w:tc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Si la localisation est refusée, l’adresse et la position de la pharmacie restent accessibles ; l’arrivée ne peut pas être détectée.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F2430"/>
                <w:sz w:val="16"/>
              </w:rPr>
              <w:t>WF05 — Arriver à la pharmacie</w:t>
            </w:r>
          </w:p>
        </w:tc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Utilisateur</w:t>
            </w:r>
          </w:p>
        </w:tc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Navigation active avec consentement de localisation</w:t>
            </w:r>
          </w:p>
        </w:tc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Navigation → Suivi limité au trajet → Entrée dans le rayon d’arrivée → Arrivée confirmée → Fin du trajet</w:t>
            </w:r>
          </w:p>
        </w:tc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Le rayon doit être configurable. Le PRD cite 50 m comme exemple. Le suivi doit s’arrêter après le trajet et aucun historique individuel ne doit être conservé.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F2430"/>
                <w:sz w:val="16"/>
              </w:rPr>
              <w:t>WF06 — Consulter les urgences</w:t>
            </w:r>
          </w:p>
        </w:tc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Utilisateur</w:t>
            </w:r>
          </w:p>
        </w:tc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Ouverture de la page Urgences</w:t>
            </w:r>
          </w:p>
        </w:tc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Navigation → Urgences → Numéros validés → Appeler</w:t>
            </w:r>
          </w:p>
        </w:tc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Le PRD ne précise pas davantage ce workflow ; aucune fonctionnalité supplémentaire n’est déduite.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F2430"/>
                <w:sz w:val="16"/>
              </w:rPr>
              <w:t>WF07 — Gérer le planning des gardes</w:t>
            </w:r>
          </w:p>
        </w:tc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Interne / équipe produit</w:t>
            </w:r>
          </w:p>
        </w:tc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Réception d’un planning de garde</w:t>
            </w:r>
          </w:p>
        </w:tc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Planning reçu → Saisie/import → Pharmacie associée → Début → Fin → Source → Date de mise à jour → Publication</w:t>
            </w:r>
          </w:p>
        </w:tc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Les horaires habituels et les périodes de garde sont des données distinctes. La fiabilité prime sur la quantité.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F2430"/>
                <w:sz w:val="16"/>
              </w:rPr>
              <w:t>WF08 — Suivre les performances</w:t>
            </w:r>
          </w:p>
        </w:tc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Interne / équipe produit</w:t>
            </w:r>
          </w:p>
        </w:tc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Consultation du dashboard</w:t>
            </w:r>
          </w:p>
        </w:tc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Dashboard → KPIs → Funnel → Analyse</w:t>
            </w:r>
          </w:p>
        </w:tc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6"/>
              </w:rPr>
              <w:t>Mesurer notamment : visites, recherches, filtres, recherches sans résultat, fiches, appels, itinéraires, arrivées et taux du tunnel.</w:t>
            </w:r>
          </w:p>
        </w:tc>
      </w:tr>
    </w:tbl>
    <w:p>
      <w:pPr>
        <w:pStyle w:val="Heading1"/>
      </w:pPr>
      <w:r>
        <w:t>2. Workflow global du MVP</w:t>
      </w:r>
    </w:p>
    <w:p>
      <w:pPr>
        <w:jc w:val="center"/>
      </w:pPr>
      <w:r>
        <w:rPr>
          <w:rFonts w:ascii="Aptos" w:hAnsi="Aptos"/>
          <w:b/>
          <w:color w:val="6D3EF2"/>
        </w:rPr>
        <w:t>Ouverture</w:t>
      </w:r>
      <w:r>
        <w:rPr>
          <w:rFonts w:ascii="Aptos" w:hAnsi="Aptos"/>
          <w:b w:val="0"/>
          <w:color w:val="667085"/>
        </w:rPr>
        <w:t xml:space="preserve">  →  </w:t>
      </w:r>
      <w:r>
        <w:rPr>
          <w:rFonts w:ascii="Aptos" w:hAnsi="Aptos"/>
          <w:b/>
          <w:color w:val="6D3EF2"/>
        </w:rPr>
        <w:t>Gardes actives</w:t>
      </w:r>
      <w:r>
        <w:rPr>
          <w:rFonts w:ascii="Aptos" w:hAnsi="Aptos"/>
          <w:b w:val="0"/>
          <w:color w:val="667085"/>
        </w:rPr>
        <w:t xml:space="preserve">  →  </w:t>
      </w:r>
      <w:r>
        <w:rPr>
          <w:rFonts w:ascii="Aptos" w:hAnsi="Aptos"/>
          <w:b/>
          <w:color w:val="6D3EF2"/>
        </w:rPr>
        <w:t>Recherche / Filtres</w:t>
      </w:r>
      <w:r>
        <w:rPr>
          <w:rFonts w:ascii="Aptos" w:hAnsi="Aptos"/>
          <w:b w:val="0"/>
          <w:color w:val="667085"/>
        </w:rPr>
        <w:t xml:space="preserve">  →  </w:t>
      </w:r>
      <w:r>
        <w:rPr>
          <w:rFonts w:ascii="Aptos" w:hAnsi="Aptos"/>
          <w:b/>
          <w:color w:val="6D3EF2"/>
        </w:rPr>
        <w:t>Fiche pharmacie</w:t>
      </w:r>
    </w:p>
    <w:p>
      <w:pPr>
        <w:jc w:val="center"/>
      </w:pPr>
      <w:r>
        <w:rPr>
          <w:rFonts w:ascii="Aptos" w:hAnsi="Aptos"/>
          <w:color w:val="1F2430"/>
          <w:sz w:val="22"/>
        </w:rPr>
        <w:t>↙  Appeler                                  Itinéraire  ↘</w:t>
      </w:r>
    </w:p>
    <w:p>
      <w:pPr>
        <w:jc w:val="center"/>
      </w:pPr>
      <w:r>
        <w:rPr>
          <w:rFonts w:ascii="Aptos" w:hAnsi="Aptos"/>
          <w:b/>
          <w:color w:val="16B879"/>
        </w:rPr>
        <w:t>Géolocalisation → Navigation → Arrivée confirmée</w:t>
      </w:r>
    </w:p>
    <w:p>
      <w:r>
        <w:br w:type="page"/>
      </w:r>
    </w:p>
    <w:p>
      <w:pPr>
        <w:pStyle w:val="Heading1"/>
      </w:pPr>
      <w:r>
        <w:t>3. User stories</w:t>
      </w:r>
    </w:p>
    <w:p>
      <w:pPr>
        <w:pStyle w:val="Heading2"/>
      </w:pPr>
      <w:r>
        <w:t>EPIC 1 — Découverte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F3F0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F2430"/>
              </w:rPr>
              <w:t>ID</w:t>
            </w:r>
          </w:p>
        </w:tc>
        <w:tc>
          <w:tcPr>
            <w:tcW w:type="dxa" w:w="3360"/>
            <w:shd w:fill="F3F0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F2430"/>
              </w:rPr>
              <w:t>User story</w:t>
            </w:r>
          </w:p>
        </w:tc>
        <w:tc>
          <w:tcPr>
            <w:tcW w:type="dxa" w:w="3360"/>
            <w:shd w:fill="F3F0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F2430"/>
              </w:rPr>
              <w:t>Formulation</w:t>
            </w:r>
          </w:p>
        </w:tc>
      </w:tr>
      <w:t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color w:val="6D3EF2"/>
                <w:sz w:val="18"/>
              </w:rPr>
              <w:t>US01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sz w:val="18"/>
              </w:rPr>
              <w:t>Consulter les gardes actives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En tant qu’utilisateur, je veux voir les pharmacies actuellement de garde afin d’identifier rapidement une pharmacie disponible.</w:t>
            </w:r>
          </w:p>
        </w:tc>
      </w:tr>
      <w:t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color w:val="6D3EF2"/>
                <w:sz w:val="18"/>
              </w:rPr>
              <w:t>US02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sz w:val="18"/>
              </w:rPr>
              <w:t>Rechercher une pharmacie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En tant qu’utilisateur, je veux rechercher une pharmacie par son nom afin de vérifier rapidement si elle est de garde.</w:t>
            </w:r>
          </w:p>
        </w:tc>
      </w:tr>
      <w:t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color w:val="6D3EF2"/>
                <w:sz w:val="18"/>
              </w:rPr>
              <w:t>US03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sz w:val="18"/>
              </w:rPr>
              <w:t>Filtrer géographiquement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En tant qu’utilisateur, je veux filtrer les pharmacies par quartier ou arrondissement afin de limiter les résultats à une zone pertinente.</w:t>
            </w:r>
          </w:p>
        </w:tc>
      </w:tr>
      <w:t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color w:val="6D3EF2"/>
                <w:sz w:val="18"/>
              </w:rPr>
              <w:t>US04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sz w:val="18"/>
              </w:rPr>
              <w:t>Utiliser l’application sans compte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En tant qu’utilisateur, je veux accéder aux pharmacies de garde sans créer de compte afin d’obtenir l’information immédiatement.</w:t>
            </w:r>
          </w:p>
        </w:tc>
      </w:tr>
    </w:tbl>
    <w:p/>
    <w:p>
      <w:pPr>
        <w:pStyle w:val="Heading2"/>
      </w:pPr>
      <w:r>
        <w:t>EPIC 2 — Pharmacie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F3F0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F2430"/>
              </w:rPr>
              <w:t>ID</w:t>
            </w:r>
          </w:p>
        </w:tc>
        <w:tc>
          <w:tcPr>
            <w:tcW w:type="dxa" w:w="3360"/>
            <w:shd w:fill="F3F0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F2430"/>
              </w:rPr>
              <w:t>User story</w:t>
            </w:r>
          </w:p>
        </w:tc>
        <w:tc>
          <w:tcPr>
            <w:tcW w:type="dxa" w:w="3360"/>
            <w:shd w:fill="F3F0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F2430"/>
              </w:rPr>
              <w:t>Formulation</w:t>
            </w:r>
          </w:p>
        </w:tc>
      </w:tr>
      <w:t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color w:val="6D3EF2"/>
                <w:sz w:val="18"/>
              </w:rPr>
              <w:t>US05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sz w:val="18"/>
              </w:rPr>
              <w:t>Consulter une pharmacie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En tant qu’utilisateur, je veux consulter les informations d’une pharmacie afin de décider si je dois m’y rendre.</w:t>
            </w:r>
          </w:p>
        </w:tc>
      </w:tr>
      <w:t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color w:val="6D3EF2"/>
                <w:sz w:val="18"/>
              </w:rPr>
              <w:t>US06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sz w:val="18"/>
              </w:rPr>
              <w:t>Connaître son statut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En tant qu’utilisateur, je veux savoir si une pharmacie est actuellement de garde afin d’éviter un déplacement inutile.</w:t>
            </w:r>
          </w:p>
        </w:tc>
      </w:tr>
      <w:t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color w:val="6D3EF2"/>
                <w:sz w:val="18"/>
              </w:rPr>
              <w:t>US07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sz w:val="18"/>
              </w:rPr>
              <w:t>Connaître la fin de garde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En tant qu’utilisateur, je veux connaître l’heure de fin de la garde afin de savoir si j’ai encore le temps de m’y rendre.</w:t>
            </w:r>
          </w:p>
        </w:tc>
      </w:tr>
      <w:t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color w:val="6D3EF2"/>
                <w:sz w:val="18"/>
              </w:rPr>
              <w:t>US08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sz w:val="18"/>
              </w:rPr>
              <w:t>Appeler la pharmacie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En tant qu’utilisateur, je veux appeler directement une pharmacie depuis sa fiche afin de la contacter avant mon déplacement.</w:t>
            </w:r>
          </w:p>
        </w:tc>
      </w:tr>
    </w:tbl>
    <w:p/>
    <w:p>
      <w:pPr>
        <w:pStyle w:val="Heading2"/>
      </w:pPr>
      <w:r>
        <w:t>EPIC 3 —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F3F0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F2430"/>
              </w:rPr>
              <w:t>ID</w:t>
            </w:r>
          </w:p>
        </w:tc>
        <w:tc>
          <w:tcPr>
            <w:tcW w:type="dxa" w:w="3360"/>
            <w:shd w:fill="F3F0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F2430"/>
              </w:rPr>
              <w:t>User story</w:t>
            </w:r>
          </w:p>
        </w:tc>
        <w:tc>
          <w:tcPr>
            <w:tcW w:type="dxa" w:w="3360"/>
            <w:shd w:fill="F3F0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F2430"/>
              </w:rPr>
              <w:t>Formulation</w:t>
            </w:r>
          </w:p>
        </w:tc>
      </w:tr>
      <w:t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color w:val="6D3EF2"/>
                <w:sz w:val="18"/>
              </w:rPr>
              <w:t>US09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sz w:val="18"/>
              </w:rPr>
              <w:t>Voir la position d’une pharmacie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En tant qu’utilisateur, je veux voir où se trouve la pharmacie afin de savoir où je dois me rendre.</w:t>
            </w:r>
          </w:p>
        </w:tc>
      </w:tr>
      <w:t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color w:val="6D3EF2"/>
                <w:sz w:val="18"/>
              </w:rPr>
              <w:t>US10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sz w:val="18"/>
              </w:rPr>
              <w:t>Démarrer un itinéraire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En tant qu’utilisateur, je veux démarrer un itinéraire vers une pharmacie afin d’être guidé jusqu’à elle.</w:t>
            </w:r>
          </w:p>
        </w:tc>
      </w:tr>
      <w:t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color w:val="6D3EF2"/>
                <w:sz w:val="18"/>
              </w:rPr>
              <w:t>US11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sz w:val="18"/>
              </w:rPr>
              <w:t>Autoriser ma localisation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En tant qu’utilisateur, je veux pouvoir choisir si Pharma Garde accède à ma localisation afin de garder le contrôle sur mes données.</w:t>
            </w:r>
          </w:p>
        </w:tc>
      </w:tr>
      <w:t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color w:val="6D3EF2"/>
                <w:sz w:val="18"/>
              </w:rPr>
              <w:t>US12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sz w:val="18"/>
              </w:rPr>
              <w:t>Refuser ma localisation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En tant qu’utilisateur, je veux continuer à consulter l’adresse et la position d’une pharmacie même si je refuse la géolocalisation.</w:t>
            </w:r>
          </w:p>
        </w:tc>
      </w:tr>
      <w:t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color w:val="6D3EF2"/>
                <w:sz w:val="18"/>
              </w:rPr>
              <w:t>US13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sz w:val="18"/>
              </w:rPr>
              <w:t>Terminer automatiquement mon trajet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En tant qu’utilisateur ayant accepté la localisation, je veux que l’application détecte mon arrivée afin que mon parcours puisse se terminer sans action supplémentaire.</w:t>
            </w:r>
          </w:p>
        </w:tc>
      </w:tr>
    </w:tbl>
    <w:p/>
    <w:p>
      <w:pPr>
        <w:pStyle w:val="Heading2"/>
      </w:pPr>
      <w:r>
        <w:t>EPIC 4 — Urgences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F3F0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F2430"/>
              </w:rPr>
              <w:t>ID</w:t>
            </w:r>
          </w:p>
        </w:tc>
        <w:tc>
          <w:tcPr>
            <w:tcW w:type="dxa" w:w="3360"/>
            <w:shd w:fill="F3F0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F2430"/>
              </w:rPr>
              <w:t>User story</w:t>
            </w:r>
          </w:p>
        </w:tc>
        <w:tc>
          <w:tcPr>
            <w:tcW w:type="dxa" w:w="3360"/>
            <w:shd w:fill="F3F0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F2430"/>
              </w:rPr>
              <w:t>Formulation</w:t>
            </w:r>
          </w:p>
        </w:tc>
      </w:tr>
      <w:t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color w:val="6D3EF2"/>
                <w:sz w:val="18"/>
              </w:rPr>
              <w:t>US14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sz w:val="18"/>
              </w:rPr>
              <w:t>Consulter les numéros d’urgence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En tant qu’utilisateur, je veux accéder à des numéros d’urgence validés afin de contacter rapidement le service approprié lorsque mon besoin dépasse la recherche d’une pharmacie.</w:t>
            </w:r>
          </w:p>
        </w:tc>
      </w:tr>
    </w:tbl>
    <w:p/>
    <w:p>
      <w:pPr>
        <w:pStyle w:val="Heading2"/>
      </w:pPr>
      <w:r>
        <w:t>EPIC 5 — Administration des gardes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F3F0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F2430"/>
              </w:rPr>
              <w:t>ID</w:t>
            </w:r>
          </w:p>
        </w:tc>
        <w:tc>
          <w:tcPr>
            <w:tcW w:type="dxa" w:w="3360"/>
            <w:shd w:fill="F3F0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F2430"/>
              </w:rPr>
              <w:t>User story</w:t>
            </w:r>
          </w:p>
        </w:tc>
        <w:tc>
          <w:tcPr>
            <w:tcW w:type="dxa" w:w="3360"/>
            <w:shd w:fill="F3F0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F2430"/>
              </w:rPr>
              <w:t>Formulation</w:t>
            </w:r>
          </w:p>
        </w:tc>
      </w:tr>
      <w:t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color w:val="6D3EF2"/>
                <w:sz w:val="18"/>
              </w:rPr>
              <w:t>US15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sz w:val="18"/>
              </w:rPr>
              <w:t>Enregistrer une période de garde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En tant que membre de l’équipe produit, je veux associer une période de garde à une pharmacie afin qu’elle apparaisse comme active pendant la bonne période.</w:t>
            </w:r>
          </w:p>
        </w:tc>
      </w:tr>
      <w:t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color w:val="6D3EF2"/>
                <w:sz w:val="18"/>
              </w:rPr>
              <w:t>US16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sz w:val="18"/>
              </w:rPr>
              <w:t>Renseigner la source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En tant que membre de l’équipe produit, je veux enregistrer la source d’un planning afin de pouvoir évaluer la fiabilité des informations.</w:t>
            </w:r>
          </w:p>
        </w:tc>
      </w:tr>
      <w:t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color w:val="6D3EF2"/>
                <w:sz w:val="18"/>
              </w:rPr>
              <w:t>US17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sz w:val="18"/>
              </w:rPr>
              <w:t>Gérer les exceptions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En tant que membre de l’équipe produit, je veux corriger les exceptions connues afin de ne pas afficher une pharmacie comme disponible lorsqu’elle ne l’est pas.</w:t>
            </w:r>
          </w:p>
        </w:tc>
      </w:tr>
    </w:tbl>
    <w:p/>
    <w:p>
      <w:pPr>
        <w:pStyle w:val="Heading2"/>
      </w:pPr>
      <w:r>
        <w:t>EPIC 6 —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F3F0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F2430"/>
              </w:rPr>
              <w:t>ID</w:t>
            </w:r>
          </w:p>
        </w:tc>
        <w:tc>
          <w:tcPr>
            <w:tcW w:type="dxa" w:w="3360"/>
            <w:shd w:fill="F3F0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F2430"/>
              </w:rPr>
              <w:t>User story</w:t>
            </w:r>
          </w:p>
        </w:tc>
        <w:tc>
          <w:tcPr>
            <w:tcW w:type="dxa" w:w="3360"/>
            <w:shd w:fill="F3F0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F2430"/>
              </w:rPr>
              <w:t>Formulation</w:t>
            </w:r>
          </w:p>
        </w:tc>
      </w:tr>
      <w:t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color w:val="6D3EF2"/>
                <w:sz w:val="18"/>
              </w:rPr>
              <w:t>US18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sz w:val="18"/>
              </w:rPr>
              <w:t>Mesurer les recherches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En tant qu’équipe produit, nous voulons connaître les recherches et filtres utilisés afin d’identifier les besoins géographiques.</w:t>
            </w:r>
          </w:p>
        </w:tc>
      </w:tr>
      <w:t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color w:val="6D3EF2"/>
                <w:sz w:val="18"/>
              </w:rPr>
              <w:t>US19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sz w:val="18"/>
              </w:rPr>
              <w:t>Identifier les recherches sans résultat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En tant qu’équipe produit, nous voulons identifier les recherches infructueuses afin d’améliorer la couverture des données.</w:t>
            </w:r>
          </w:p>
        </w:tc>
      </w:tr>
      <w:t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color w:val="6D3EF2"/>
                <w:sz w:val="18"/>
              </w:rPr>
              <w:t>US20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sz w:val="18"/>
              </w:rPr>
              <w:t>Mesurer les consultations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En tant qu’équipe produit, nous voulons connaître les pharmacies consultées afin de comprendre la demande.</w:t>
            </w:r>
          </w:p>
        </w:tc>
      </w:tr>
      <w:t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color w:val="6D3EF2"/>
                <w:sz w:val="18"/>
              </w:rPr>
              <w:t>US21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sz w:val="18"/>
              </w:rPr>
              <w:t>Mesurer les appels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En tant qu’équipe produit, nous voulons mesurer les clics sur « Appeler » afin d’évaluer l’intention de contact.</w:t>
            </w:r>
          </w:p>
        </w:tc>
      </w:tr>
      <w:t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color w:val="6D3EF2"/>
                <w:sz w:val="18"/>
              </w:rPr>
              <w:t>US22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sz w:val="18"/>
              </w:rPr>
              <w:t>Mesurer les itinéraires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En tant qu’équipe produit, nous voulons mesurer les itinéraires démarrés afin d’évaluer le passage de la recherche à l’action.</w:t>
            </w:r>
          </w:p>
        </w:tc>
      </w:tr>
      <w:t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color w:val="6D3EF2"/>
                <w:sz w:val="18"/>
              </w:rPr>
              <w:t>US23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sz w:val="18"/>
              </w:rPr>
              <w:t>Mesurer les arrivées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En tant qu’équipe produit, nous voulons mesurer les arrivées consenties afin d’évaluer la finalisation du parcours.</w:t>
            </w:r>
          </w:p>
        </w:tc>
      </w:tr>
      <w:t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color w:val="6D3EF2"/>
                <w:sz w:val="18"/>
              </w:rPr>
              <w:t>US24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b/>
                <w:sz w:val="18"/>
              </w:rPr>
              <w:t>Visualiser le funnel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En tant qu’équipe produit, nous voulons visualiser le tunnel Liste → Fiche → Itinéraire → Arrivée afin d’identifier où les utilisateurs abandonnent.</w:t>
            </w:r>
          </w:p>
        </w:tc>
      </w:tr>
    </w:tbl>
    <w:p/>
    <w:p>
      <w:pPr>
        <w:pStyle w:val="Heading1"/>
      </w:pPr>
      <w:r>
        <w:t>4. Hors périmètre à ne pas introduire dans le MVP</w:t>
      </w:r>
    </w:p>
    <w:p>
      <w:pPr>
        <w:pStyle w:val="ListBullet"/>
      </w:pPr>
      <w:r>
        <w:rPr>
          <w:rFonts w:ascii="Aptos" w:hAnsi="Aptos"/>
        </w:rPr>
        <w:t>Compte utilisateur obligatoire</w:t>
      </w:r>
    </w:p>
    <w:p>
      <w:pPr>
        <w:pStyle w:val="ListBullet"/>
      </w:pPr>
      <w:r>
        <w:rPr>
          <w:rFonts w:ascii="Aptos" w:hAnsi="Aptos"/>
        </w:rPr>
        <w:t>Favoris et historique personnel</w:t>
      </w:r>
    </w:p>
    <w:p>
      <w:pPr>
        <w:pStyle w:val="ListBullet"/>
      </w:pPr>
      <w:r>
        <w:rPr>
          <w:rFonts w:ascii="Aptos" w:hAnsi="Aptos"/>
        </w:rPr>
        <w:t>Réservation ou commande de médicaments</w:t>
      </w:r>
    </w:p>
    <w:p>
      <w:pPr>
        <w:pStyle w:val="ListBullet"/>
      </w:pPr>
      <w:r>
        <w:rPr>
          <w:rFonts w:ascii="Aptos" w:hAnsi="Aptos"/>
        </w:rPr>
        <w:t>Paiement et livraison</w:t>
      </w:r>
    </w:p>
    <w:p>
      <w:pPr>
        <w:pStyle w:val="ListBullet"/>
      </w:pPr>
      <w:r>
        <w:rPr>
          <w:rFonts w:ascii="Aptos" w:hAnsi="Aptos"/>
        </w:rPr>
        <w:t>Stock en temps réel</w:t>
      </w:r>
    </w:p>
    <w:p>
      <w:pPr>
        <w:pStyle w:val="ListBullet"/>
      </w:pPr>
      <w:r>
        <w:rPr>
          <w:rFonts w:ascii="Aptos" w:hAnsi="Aptos"/>
        </w:rPr>
        <w:t>Téléconsultation</w:t>
      </w:r>
    </w:p>
    <w:p>
      <w:pPr>
        <w:pStyle w:val="ListBullet"/>
      </w:pPr>
      <w:r>
        <w:rPr>
          <w:rFonts w:ascii="Aptos" w:hAnsi="Aptos"/>
        </w:rPr>
        <w:t>Notifications personnalisées</w:t>
      </w:r>
    </w:p>
    <w:p>
      <w:pPr>
        <w:pStyle w:val="ListBullet"/>
      </w:pPr>
      <w:r>
        <w:rPr>
          <w:rFonts w:ascii="Aptos" w:hAnsi="Aptos"/>
        </w:rPr>
        <w:t>Commentaires publics</w:t>
      </w:r>
    </w:p>
    <w:p>
      <w:pPr>
        <w:pStyle w:val="ListBullet"/>
      </w:pPr>
      <w:r>
        <w:rPr>
          <w:rFonts w:ascii="Aptos" w:hAnsi="Aptos"/>
        </w:rPr>
        <w:t>Espace autonome pour les pharmacies</w:t>
      </w:r>
    </w:p>
    <w:p>
      <w:pPr>
        <w:pStyle w:val="Heading1"/>
      </w:pPr>
      <w:r>
        <w:t>5. Prochaine étape recommandée</w:t>
      </w:r>
    </w:p>
    <w:p>
      <w:r>
        <w:t>Transformer les 24 user stories en backlog prêt pour le développement avec, pour chaque story : priorité, critères d’acceptation Given/When/Then, écrans concernés, événements analytics et dépendances. Ce découpage permettra ensuite de décider quelles stories doivent réellement entrer dans le sprint d’une semaine.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98A2B3"/>
        <w:sz w:val="16"/>
      </w:rPr>
      <w:t>Pharma Garde — Workflows &amp; User Stories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243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6D3EF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243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Pharma Garde — Workflows &amp; User Stories</dc:title>
  <dc:subject>Workflows et user stories dérivés du PRD révisé du MVP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