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189982" w14:textId="77777777" w:rsidR="00930B79" w:rsidRDefault="00000000">
      <w:pPr>
        <w:keepNext/>
        <w:spacing w:after="240"/>
        <w:jc w:val="center"/>
      </w:pPr>
      <w:r>
        <w:rPr>
          <w:b/>
          <w:sz w:val="28"/>
        </w:rPr>
        <w:t>Rozdział 1. Ryzyko finansowo-sprawozdawcze przedsiębiorstw</w:t>
      </w:r>
    </w:p>
    <w:p w14:paraId="1FC606D7" w14:textId="77777777" w:rsidR="00930B79" w:rsidRDefault="00000000">
      <w:pPr>
        <w:pStyle w:val="BodyText"/>
        <w:ind w:firstLine="709"/>
      </w:pPr>
      <w:r>
        <w:t>Rozdział przedstawia teoretyczne podstawy rozpoznawania przyszłego, wielowymiarowego pogorszenia kondycji finansowej przedsiębiorstwa. Badane zjawisko oznacza szerokie osłabienie zdolności operacyjnej i finansowej, które ujawnia się w kilku obszarach w kolejnym rocznym cyklu sprawozdawczym. Nie jest ono tożsame z bankructwem, niewypłacalnością ani manipulacją sprawozdawczą. Ma charakter konstruktu, którego nie obserwuje się bezpośrednio, lecz można o nim wnioskować na podstawie zgodnego kierunku zmian rentowności, generowania gotówki, płynności, struktury finansowania i skali działalności.</w:t>
      </w:r>
    </w:p>
    <w:p w14:paraId="0B012E31" w14:textId="77777777" w:rsidR="00930B79" w:rsidRDefault="00000000">
      <w:pPr>
        <w:pStyle w:val="BodyText"/>
        <w:ind w:firstLine="709"/>
      </w:pPr>
      <w:r>
        <w:t>Sprawozdawczość finansowa tworzy ustrukturyzowany opis zasobów, roszczeń wobec nich, wyników i przepływów przedsiębiorstwa. Jej funkcją jest dostarczanie informacji użytecznych dla decyzji gospodarczych</w:t>
      </w:r>
      <w:r>
        <w:rPr>
          <w:rStyle w:val="FootnoteReference"/>
        </w:rPr>
        <w:footnoteReference w:id="1"/>
      </w:r>
      <w:r>
        <w:t>. Sprawozdanie nie jest jednak doskonałym odwzorowaniem procesów ekonomicznych: przedstawia je przez zasady ujmowania, wyceny, szacunki i klasyfikacje. Te właściwości jednocześnie uzasadniają wykorzystanie danych sprawozdawczych jako źródła sygnałów oraz wyznaczają granice ich interpretacji.</w:t>
      </w:r>
    </w:p>
    <w:p w14:paraId="4755B73C" w14:textId="77777777" w:rsidR="00930B79" w:rsidRDefault="00000000">
      <w:pPr>
        <w:pStyle w:val="BodyText"/>
        <w:ind w:firstLine="709"/>
      </w:pPr>
      <w:r>
        <w:t xml:space="preserve">Na tej podstawie problem badawczy pracy można sformułować następująco: </w:t>
      </w:r>
      <w:r>
        <w:rPr>
          <w:b/>
        </w:rPr>
        <w:t>Czy informacje zawarte w sprawozdaniach finansowych odzwierciedlają symptomy pozwalające z wyprzedzeniem rozpoznać wielowymiarowe pogorszenie kondycji finansowej przedsiębiorstwa?</w:t>
      </w:r>
    </w:p>
    <w:p w14:paraId="3E6363CB" w14:textId="77777777" w:rsidR="00930B79" w:rsidRDefault="00000000">
      <w:pPr>
        <w:pStyle w:val="BodyText"/>
        <w:ind w:firstLine="709"/>
      </w:pPr>
      <w:r>
        <w:t>Układ rozdziału odpowiada temu problemowi. Podrozdział 1.1 określa znaczenie kondycji finansowej i odróżnia jej pogorszenie od innych niekorzystnych zdarzeń opisywanych w literaturze. Podrozdział 1.2 wyjaśnia informacyjną rolę sprawozdań oraz ograniczenia pomiaru sygnałów. Podrozdział 1.3 uzasadnia ekonomiczne znaczenie pięciu wymiarów D1-D5 i wskazuje teoretyczne przesłanki późniejszego ujęcia zjawiska jako klasyfikacji. Modele uczenia maszynowego są omawiane w rozdziale 2, a operacjonalizacja konstruktu i protokół badania empirycznego - w rozdziale 4.</w:t>
      </w:r>
    </w:p>
    <w:p w14:paraId="05F84B46" w14:textId="77777777" w:rsidR="00930B79" w:rsidRDefault="00000000">
      <w:pPr>
        <w:pStyle w:val="Heading1"/>
        <w:spacing w:after="60"/>
      </w:pPr>
      <w:r>
        <w:t>1.1. Kondycja finansowa przedsiębiorstwa i ryzyko jej pogorszenia</w:t>
      </w:r>
    </w:p>
    <w:p w14:paraId="216C7ED1" w14:textId="77777777" w:rsidR="00930B79" w:rsidRDefault="00000000">
      <w:pPr>
        <w:pStyle w:val="BodyText"/>
        <w:ind w:firstLine="709"/>
      </w:pPr>
      <w:r>
        <w:t xml:space="preserve">Kondycja finansowa jest konstruktem wielowymiarowym. Obejmuje zdolność przedsiębiorstwa do prowadzenia działalności, finansowania aktywów i kapitału obrotowego, regulowania zobowiązań oraz generowania wyników i przepływów adekwatnych do </w:t>
      </w:r>
      <w:r>
        <w:lastRenderedPageBreak/>
        <w:t>zaangażowanych zasobów. Żaden pojedynczy wskaźnik nie opisuje wszystkich tych zdolności. Dodatniej rentowności może towarzyszyć słaby przepływ operacyjny, wysoka płynność może współistnieć z narastającym obciążeniem zobowiązaniami, a wzrost sprzedaży może wymagać finansowania zmniejszającego odporność przedsiębiorstwa na szok. Ocena kondycji wymaga zatem łącznego odczytania kilku powiązanych aspektów działalności.</w:t>
      </w:r>
    </w:p>
    <w:p w14:paraId="5A49EF37" w14:textId="77777777" w:rsidR="00930B79" w:rsidRDefault="00000000">
      <w:pPr>
        <w:pStyle w:val="BodyText"/>
        <w:ind w:firstLine="709"/>
      </w:pPr>
      <w:r>
        <w:t>Pogorszenie kondycji należy odróżnić od jej niskiego poziomu. Poziom opisuje stan w określonej chwili, natomiast pogorszenie odnosi się do niekorzystnego kierunku zmiany. Przedsiębiorstwo o słabych, lecz poprawiających się parametrach znajduje się w innej sytuacji niż podmiot nadal rentowny, u którego jednocześnie słabną wyniki, gotówka i płynność. Zmiana może więc stanowić sygnał ostrzegawczy jeszcze przed przekroczeniem poziomów zwyczajowo kojarzonych z poważnymi trudnościami. Z kolei utrzymywanie się na niekorzystnym poziomie nie musi oznaczać kolejnego pogorszenia.</w:t>
      </w:r>
    </w:p>
    <w:p w14:paraId="616B0245" w14:textId="77777777" w:rsidR="00930B79" w:rsidRDefault="00000000">
      <w:pPr>
        <w:pStyle w:val="BodyText"/>
        <w:ind w:firstLine="709"/>
      </w:pPr>
      <w:r>
        <w:t>Pogorszenie nie jest również synonimem trudności finansowych, niewypłacalności ani upadłości. W klasycznym badaniu Beaver wiązał niepowodzenie między innymi z bankructwem, niewykonaniem zobowiązań i brakiem zdolności do ich terminowej obsługi</w:t>
      </w:r>
      <w:r>
        <w:rPr>
          <w:rStyle w:val="FootnoteReference"/>
        </w:rPr>
        <w:footnoteReference w:id="2"/>
      </w:r>
      <w:r>
        <w:t>. Trudności finansowe są pojęciem szerszym od formalnej upadłości: mogą prowadzić do renegocjacji finansowania, sprzedaży aktywów lub restrukturyzacji, zanim wystąpi zdarzenie prawne, a determinanty obu zjawisk tylko częściowo się pokrywają</w:t>
      </w:r>
      <w:r>
        <w:rPr>
          <w:rStyle w:val="FootnoteReference"/>
        </w:rPr>
        <w:footnoteReference w:id="3"/>
      </w:r>
      <w:r>
        <w:t>. Audytowa ocena zdolności do kontynuowania działalności dotyczy natomiast istotnej wątpliwości co do wykonywania zobowiązań, nie zaś pewnej prognozy bankructwa</w:t>
      </w:r>
      <w:r>
        <w:rPr>
          <w:rStyle w:val="FootnoteReference"/>
        </w:rPr>
        <w:footnoteReference w:id="4"/>
      </w:r>
      <w:r>
        <w:t>.</w:t>
      </w:r>
    </w:p>
    <w:p w14:paraId="6143037B" w14:textId="77777777" w:rsidR="00930B79" w:rsidRDefault="00000000">
      <w:pPr>
        <w:pStyle w:val="BodyText"/>
        <w:ind w:firstLine="709"/>
      </w:pPr>
      <w:r>
        <w:t>Przedmiotem projektu jest wcześniejszy i bardziej ogólny etap osłabienia. Może on wystąpić u przedsiębiorstwa, które zachowuje wypłacalność i kontynuuje działalność, a po okresie niekorzystnych zmian odzyskuje stabilność. Możliwa jest także sytuacja odwrotna: podmiot pozostaje w słabej kondycji, lecz w danym okresie nie doświadcza szerokiego dalszego pogorszenia. Badany konstrukt opisuje zatem kierunek zmian fundamentów, a nie status prawny, audytowy lub kredytowy przedsiębiorstwa.</w:t>
      </w:r>
    </w:p>
    <w:p w14:paraId="62E96D88" w14:textId="77777777" w:rsidR="00930B79" w:rsidRDefault="00000000">
      <w:pPr>
        <w:pStyle w:val="BodyText"/>
        <w:ind w:firstLine="709"/>
      </w:pPr>
      <w:r>
        <w:t xml:space="preserve">Współwystępowanie kilku niekorzystnych zmian ma większe znaczenie diagnostyczne niż pojedyncza anomalia. Jednorazowy odpis może obniżyć rentowność bez równoczesnego spadku gotówki, a przejściowa zmiana kapitału obrotowego może osłabić płynność bez </w:t>
      </w:r>
      <w:r>
        <w:lastRenderedPageBreak/>
        <w:t>trwałego pogorszenia działalności. Jeżeli jednak słabnięcie obejmuje równocześnie wyniki, przepływy, bufor płynności, strukturę zobowiązań lub skalę sprzedaży, obraz staje się bardziej zgodny z szerokim osłabieniem zdolności operacyjnej i finansowej. Ujęcie wielowymiarowe ogranicza zależność diagnozy od nietypowego zdarzenia w jednej pozycji, choć nie usuwa błędu pomiaru.</w:t>
      </w:r>
    </w:p>
    <w:p w14:paraId="301BF12B" w14:textId="77777777" w:rsidR="00930B79" w:rsidRDefault="00000000">
      <w:pPr>
        <w:pStyle w:val="BodyText"/>
        <w:ind w:firstLine="709"/>
      </w:pPr>
      <w:r>
        <w:t>Literatura dotycząca niepowodzenia przedsiębiorstw pokazuje, że znaczenie wyników zależy od definicji przewidywanego zdarzenia. Bankructwo, niewypłacalność, trudności finansowe i osłabienie fundamentów obejmują różne zbiory przypadków oraz mogą ujawniać się w odmiennym czasie</w:t>
      </w:r>
      <w:r>
        <w:rPr>
          <w:rStyle w:val="FootnoteReference"/>
        </w:rPr>
        <w:footnoteReference w:id="5"/>
      </w:r>
      <w:r>
        <w:t>. Dlatego określenie konstruktu poprzedza wybór narzędzia analitycznego. Bez tego podobne wartości wskaźników mogłyby prowadzić do wniosków, które wykraczają poza rzeczywiste znaczenie badanego zjawiska.</w:t>
      </w:r>
    </w:p>
    <w:p w14:paraId="3AFFD4A4" w14:textId="77777777" w:rsidR="00930B79" w:rsidRDefault="00000000">
      <w:pPr>
        <w:pStyle w:val="BodyText"/>
        <w:ind w:firstLine="709"/>
      </w:pPr>
      <w:r>
        <w:t>Klasycznym punktem odniesienia jest Z-score Altmana, łączący kilka wskaźników w celu odróżnienia przedsiębiorstw zagrożonych bankructwem od pozostałych</w:t>
      </w:r>
      <w:r>
        <w:rPr>
          <w:rStyle w:val="FootnoteReference"/>
        </w:rPr>
        <w:footnoteReference w:id="6"/>
      </w:r>
      <w:r>
        <w:t>. Podejście to potwierdziło, że konfiguracja informacji sprawozdawczych może mieć wartość ostrzegawczą, lecz odnosi się do innego wyniku niż przyjęty w projekcie. Altman pozostaje więc alternatywą zakorzenioną w literaturze o upadłości, a nie definicją wielowymiarowego pogorszenia kondycji.</w:t>
      </w:r>
    </w:p>
    <w:p w14:paraId="038D5F23" w14:textId="77777777" w:rsidR="00930B79" w:rsidRDefault="00000000">
      <w:pPr>
        <w:pStyle w:val="BodyText"/>
        <w:ind w:firstLine="709"/>
      </w:pPr>
      <w:r>
        <w:t>Definicja etykiety wyznacza ekonomiczne znaczenie klasy pozytywnej, a tym samym zakres wniosków, które można wyprowadzić z predykcji. Modele przewidujące bankructwo, manipulację wynikiem i wielowymiarowe pogorszenie kondycji nie rozwiązują więc tego samego problemu, nawet jeśli korzystają z podobnych danych sprawozdawczych.</w:t>
      </w:r>
    </w:p>
    <w:p w14:paraId="61878719" w14:textId="77777777" w:rsidR="00930B79" w:rsidRDefault="00000000">
      <w:pPr>
        <w:pStyle w:val="Heading1"/>
        <w:spacing w:after="60"/>
      </w:pPr>
      <w:r>
        <w:t>1.2. Sprawozdawczość finansowa jako źródło sygnałów pogorszenia kondycji i ograniczenia ich pomiaru</w:t>
      </w:r>
    </w:p>
    <w:p w14:paraId="2756AB91" w14:textId="77777777" w:rsidR="00930B79" w:rsidRDefault="00000000">
      <w:pPr>
        <w:pStyle w:val="BodyText"/>
        <w:ind w:firstLine="709"/>
      </w:pPr>
      <w:r>
        <w:t xml:space="preserve">Zdolność sprawozdań do sygnalizowania przyszłego pogorszenia wynika z ciągłości procesów gospodarczych. Presja na marże, słabsza rotacja aktywów, narastające zapotrzebowanie na kapitał obrotowy lub wzrost zależności od finansowania obcego zazwyczaj oddziałują na więcej niż jeden element sytuacji przedsiębiorstwa. Ich skutki mogą pojawiać się w sprawozdaniu wcześniej niż zdarzenie krańcowe, ponieważ bilans, wynik i przepływy </w:t>
      </w:r>
      <w:r>
        <w:lastRenderedPageBreak/>
        <w:t>rejestrują kolejne fazy tego samego procesu. Informacja sprawozdawcza nie przepowiada przyszłości, lecz może ujawniać warunki zwiększające podatność na dalsze osłabienie.</w:t>
      </w:r>
    </w:p>
    <w:p w14:paraId="43009937" w14:textId="77777777" w:rsidR="00930B79" w:rsidRDefault="00000000">
      <w:pPr>
        <w:pStyle w:val="BodyText"/>
        <w:ind w:firstLine="709"/>
      </w:pPr>
      <w:r>
        <w:t>Bilans, rachunek zysków i strat oraz rachunek przepływów pieniężnych dostarczają informacji komplementarnych. Bilans przedstawia zasoby i strukturę roszczeń w określonej chwili, rachunek wyników opisuje efekty działalności w okresie, a rachunek przepływów pokazuje pieniężną realizację procesów operacyjnych, inwestycyjnych i finansowych. Analiza ich wzajemnych relacji pozwala oddzielać wzrost oparty na efektywnym wykorzystaniu zasobów od wzrostu wymagającego narastającego finansowania lub tworzącego słabe przepływy pieniężne</w:t>
      </w:r>
      <w:r>
        <w:rPr>
          <w:rStyle w:val="FootnoteReference"/>
        </w:rPr>
        <w:footnoteReference w:id="7"/>
      </w:r>
      <w:r>
        <w:t>.</w:t>
      </w:r>
    </w:p>
    <w:p w14:paraId="0902AE06" w14:textId="77777777" w:rsidR="00930B79" w:rsidRDefault="00000000">
      <w:pPr>
        <w:pStyle w:val="BodyText"/>
        <w:ind w:firstLine="709"/>
      </w:pPr>
      <w:r>
        <w:t>Szczególnie istotne jest rozróżnienie wyniku memoriałowego i przepływu operacyjnego. Rachunkowość memoriałowa przypisuje przychody i koszty do okresów, w których powstaje ich ekonomiczna treść, dzięki czemu wynik może lepiej niż bieżąca gotówka odzwierciedlać działalność w krótkim okresie. Jednocześnie rozliczenia międzyokresowe, rezerwy, odpisy i szacunki sprawiają, że wynik nie jest równoważny wpływom pieniężnym. Badania wskazują, że memoriał koryguje niedopasowanie przepływów w czasie, lecz wprowadza także błąd estymacji i zależność od osądu</w:t>
      </w:r>
      <w:r>
        <w:rPr>
          <w:rStyle w:val="FootnoteReference"/>
        </w:rPr>
        <w:footnoteReference w:id="8"/>
      </w:r>
      <w:r>
        <w:t>.</w:t>
      </w:r>
    </w:p>
    <w:p w14:paraId="46DAC3E4" w14:textId="77777777" w:rsidR="00930B79" w:rsidRDefault="00000000">
      <w:pPr>
        <w:pStyle w:val="BodyText"/>
        <w:ind w:firstLine="709"/>
      </w:pPr>
      <w:r>
        <w:t>Rozbieżność między wynikiem a gotówką ma więc dwojaką interpretację. Może wynikać z normalnego cyklu działalności, na przykład wzrostu należności lub zapasów, ale może też sygnalizować słabą jakość wyniku albo narastającą presję na kapitał obrotowy. Jakość rozliczeń memoriałowych zależy między innymi od trafności oszacowań przyszłych przepływów, a błędy tych oszacowań obniżają informacyjność zysku</w:t>
      </w:r>
      <w:r>
        <w:rPr>
          <w:rStyle w:val="FootnoteReference"/>
        </w:rPr>
        <w:footnoteReference w:id="9"/>
      </w:r>
      <w:r>
        <w:t>. Przeglądy badań nad jakością wyniku podkreślają przy tym, że żadna pojedyncza miara nie rozstrzyga jednoznacznie o ekonomicznej jakości raportowania</w:t>
      </w:r>
      <w:r>
        <w:rPr>
          <w:rStyle w:val="FootnoteReference"/>
        </w:rPr>
        <w:footnoteReference w:id="10"/>
      </w:r>
      <w:r>
        <w:t>.</w:t>
      </w:r>
    </w:p>
    <w:p w14:paraId="5199E602" w14:textId="77777777" w:rsidR="00930B79" w:rsidRDefault="00000000">
      <w:pPr>
        <w:pStyle w:val="BodyText"/>
        <w:ind w:firstLine="709"/>
      </w:pPr>
      <w:r>
        <w:t xml:space="preserve">Wskaźniki finansowe ułatwiają porównywanie przedsiębiorstw o różnej skali, ale nie usuwają wszystkich różnic ekonomicznych i rachunkowych. Ich wartość zależy od doboru licznika i mianownika, stabilności podstawy odniesienia oraz zgodności definicji pozycji. Mały mianownik może wywołać pozornie dużą zmianę, reklasyfikacja pozycji może zaburzyć porównanie, a ten sam poziom wskaźnika może mieć odmienne znaczenie w różnych branżach. </w:t>
      </w:r>
      <w:r>
        <w:lastRenderedPageBreak/>
        <w:t>Literatura metodologii wskaźników ostrzega również przed automatycznym traktowaniem ilorazów jako wielkości o jednolitych własnościach statystycznych</w:t>
      </w:r>
      <w:r>
        <w:rPr>
          <w:rStyle w:val="FootnoteReference"/>
        </w:rPr>
        <w:footnoteReference w:id="11"/>
      </w:r>
      <w:r>
        <w:t>.</w:t>
      </w:r>
    </w:p>
    <w:p w14:paraId="1819AEF3" w14:textId="77777777" w:rsidR="00930B79" w:rsidRDefault="00000000">
      <w:pPr>
        <w:pStyle w:val="BodyText"/>
        <w:ind w:firstLine="709"/>
      </w:pPr>
      <w:r>
        <w:t>Interpretacja sygnału wymaga połączenia poziomu i kierunku zmiany. Poziom informuje o bieżącym buforze lub ekspozycji, natomiast dynamika wskazuje, czy przedsiębiorstwo zbliża się do mniej korzystnego stanu. Sam wzrost zobowiązań może towarzyszyć rentownej ekspansji, a spadek sprzedaży może być skutkiem celowego wycofania nierentownej linii. Znaczenie zmiany ujawnia się dopiero w konfiguracji z rentownością, gotówką i płynnością. Z tego powodu sygnały sprawozdawcze należy traktować jako przesłanki wymagające wspólnej interpretacji, a nie samodzielne diagnozy.</w:t>
      </w:r>
    </w:p>
    <w:p w14:paraId="2C595A0C" w14:textId="77777777" w:rsidR="00930B79" w:rsidRDefault="00000000">
      <w:pPr>
        <w:pStyle w:val="BodyText"/>
        <w:ind w:firstLine="709"/>
      </w:pPr>
      <w:r>
        <w:t>Standaryzacja raportowania cyfrowego zwiększa możliwość zestawiania danych, lecz nie gwarantuje pełnej porównywalności semantycznej. XBRL porządkuje fakty według taksonomii, jednak emitenci mogą stosować różne dopuszczalne pojęcia, rozszerzenia własne i odmienne sposoby prezentacji tej samej treści ekonomicznej. SEC wskazuje, że znaczący udział rozszerzeń może ograniczać łatwość porównywania ujawnień</w:t>
      </w:r>
      <w:r>
        <w:rPr>
          <w:rStyle w:val="FootnoteReference"/>
        </w:rPr>
        <w:footnoteReference w:id="12"/>
      </w:r>
      <w:r>
        <w:t>. Odczyt sygnału wymaga zatem zgodności znaczenia pozycji i okresu, nie tylko zgodności nazwy technicznej. Standaryzacja zmniejsza koszt dostępu do danych, ale nie eliminuje ryzyka błędu pomiaru.</w:t>
      </w:r>
    </w:p>
    <w:p w14:paraId="7AE059EB" w14:textId="77777777" w:rsidR="00930B79" w:rsidRDefault="00000000">
      <w:pPr>
        <w:pStyle w:val="BodyText"/>
        <w:ind w:firstLine="709"/>
      </w:pPr>
      <w:r>
        <w:t>Ograniczenia pomiaru nie zmieniają badanego zjawiska w problem wykrywania manipulacji. Zarządzanie wynikiem oznacza wykorzystywanie osądu w raportowaniu lub kształtowanie transakcji w sposób wpływający na obraz dokonań przedsiębiorstwa</w:t>
      </w:r>
      <w:r>
        <w:rPr>
          <w:rStyle w:val="FootnoteReference"/>
        </w:rPr>
        <w:footnoteReference w:id="13"/>
      </w:r>
      <w:r>
        <w:t>, natomiast oszustwo sprawozdawcze wiąże się z umyślnym istotnym zniekształceniem</w:t>
      </w:r>
      <w:r>
        <w:rPr>
          <w:rStyle w:val="FootnoteReference"/>
        </w:rPr>
        <w:footnoteReference w:id="14"/>
      </w:r>
      <w:r>
        <w:t>. Pogorszenie kondycji może występować przy rzetelnym raportowaniu, a nietypowe rozliczenia memoriałowe nie dowodzą ani pogorszenia, ani intencjonalnej manipulacji. Te pojęcia mogą się przecinać w obserwowanych danych, lecz mają odmienną treść teoretyczną.</w:t>
      </w:r>
    </w:p>
    <w:p w14:paraId="0BE68B3A" w14:textId="77777777" w:rsidR="00930B79" w:rsidRDefault="00000000">
      <w:pPr>
        <w:pStyle w:val="BodyText"/>
        <w:ind w:firstLine="709"/>
      </w:pPr>
      <w:r>
        <w:t>M-score Beneisha jest klasycznym podejściem przesiewowym ukierunkowanym na ryzyko manipulacji wynikiem i wykorzystuje konfigurację wskaźników mogących odzwierciedlać nietypowe praktyki raportowania</w:t>
      </w:r>
      <w:r>
        <w:rPr>
          <w:rStyle w:val="FootnoteReference"/>
        </w:rPr>
        <w:footnoteReference w:id="15"/>
      </w:r>
      <w:r>
        <w:t xml:space="preserve">. W niniejszej pracy stanowi on alternatywny punkt odniesienia w literaturze, podobnie jak Z-score Altmana dla bankructwa. Nie definiuje </w:t>
      </w:r>
      <w:r>
        <w:lastRenderedPageBreak/>
        <w:t>jednak badanego konstruktu: celem jest rozpoznanie szerokiego pogorszenia kondycji, a nie przypisanie kierownictwu określonej intencji lub stwierdzenie nieprawidłowości sprawozdawczej.</w:t>
      </w:r>
    </w:p>
    <w:p w14:paraId="2677F77B" w14:textId="77777777" w:rsidR="00930B79" w:rsidRDefault="00000000">
      <w:pPr>
        <w:pStyle w:val="BodyText"/>
        <w:ind w:firstLine="709"/>
      </w:pPr>
      <w:r>
        <w:t>Wartość ostrzegawcza informacji zależy także od jej dostępności w czasie. Sygnałem wyprzedzającym może być tylko informacja opublikowana przed ujawnieniem się ocenianego pogorszenia; późniejsze korekty lub reklasyfikacje nie mogą być interpretowane jako wiedza dostępna wcześniej. Jest to teoretyczna konsekwencja rozróżnienia między informacją ex ante a opisem wyniku ex post. Szczegółowe zasady wyboru wersji sprawozdania i zapewnienia porównywalności należą już do metodyki badania.</w:t>
      </w:r>
    </w:p>
    <w:p w14:paraId="635DE121" w14:textId="77777777" w:rsidR="00930B79" w:rsidRDefault="00000000">
      <w:pPr>
        <w:pStyle w:val="Heading1"/>
        <w:spacing w:after="60"/>
      </w:pPr>
      <w:r>
        <w:t>1.3. Ekonomiczne wymiary pogorszenia kondycji finansowej</w:t>
      </w:r>
    </w:p>
    <w:p w14:paraId="239298B7" w14:textId="77777777" w:rsidR="00930B79" w:rsidRDefault="00000000">
      <w:pPr>
        <w:pStyle w:val="BodyText"/>
        <w:ind w:firstLine="709"/>
      </w:pPr>
      <w:r>
        <w:t>Wielowymiarowy konstrukt przyjęty w projekcie obejmuje pięć obszarów obecnych w teorii analizy finansowej: rentowność aktywów (D1), generowanie gotówki operacyjnej w relacji do aktywów (D2), płynność bieżącą (D3), udział zobowiązań w aktywach (D4) oraz przychody jako miarę skali działalności (D5). Każdy wymiar opisuje inną stronę zdolności przedsiębiorstwa do utrzymywania działalności. Ich łączne ujęcie nie zakłada pełnej niezależności, lecz ogranicza ryzyko utożsamienia kondycji z jednym wynikiem księgowym.</w:t>
      </w:r>
    </w:p>
    <w:p w14:paraId="49F96345" w14:textId="77777777" w:rsidR="00930B79" w:rsidRDefault="00000000">
      <w:pPr>
        <w:pStyle w:val="BodyText"/>
        <w:ind w:firstLine="709"/>
      </w:pPr>
      <w:r>
        <w:t>D1 odnosi się do rentowności aktywów, czyli zdolności do osiągania wyniku z zaangażowanej bazy zasobów. Jej osłabienie może wynikać ze spadku marży, gorszego wykorzystania aktywów albo współwystępowania obu mechanizmów. Rozłożenie zmian rentowności na komponent marży i rotacji pokazuje, że sam spadek syntetycznego wskaźnika nie wyjaśnia źródła pogorszenia</w:t>
      </w:r>
      <w:r>
        <w:rPr>
          <w:rStyle w:val="FootnoteReference"/>
        </w:rPr>
        <w:footnoteReference w:id="16"/>
      </w:r>
      <w:r>
        <w:t>. Mimo tej niejednoznaczności kierunek rentowności pozostaje podstawową informacją o tym, czy zasoby przedsiębiorstwa tworzą słabszy wynik ekonomiczny.</w:t>
      </w:r>
    </w:p>
    <w:p w14:paraId="7F623025" w14:textId="77777777" w:rsidR="00930B79" w:rsidRDefault="00000000">
      <w:pPr>
        <w:pStyle w:val="BodyText"/>
        <w:ind w:firstLine="709"/>
      </w:pPr>
      <w:r>
        <w:t xml:space="preserve">D2 opisuje zdolność podstawowej działalności do generowania gotówki względem skali zaangażowanych aktywów. Osłabienie tego wymiaru zmniejsza możliwości finansowania działalności ze źródeł wewnętrznych, obsługi zobowiązań i absorpcji zakłóceń. D1 i D2 są komplementarne, ponieważ wynik memoriałowy i przepływ pieniężny ujmują inne aspekty tego samego procesu operacyjnego. Nie są jednak niezależne: trwałe osłabienie działalności powinno z czasem oddziaływać na obie miary. Ich równoczesna interpretacja wymaga więc </w:t>
      </w:r>
      <w:r>
        <w:lastRenderedPageBreak/>
        <w:t>uwzględnienia wspólnego źródła informacji oraz ryzyka nadmiernego wzmacniania jednego mechanizmu.</w:t>
      </w:r>
    </w:p>
    <w:p w14:paraId="74DDF2B9" w14:textId="77777777" w:rsidR="00930B79" w:rsidRDefault="00000000">
      <w:pPr>
        <w:pStyle w:val="BodyText"/>
        <w:ind w:firstLine="709"/>
      </w:pPr>
      <w:r>
        <w:t>D3 dotyczy płynności bieżącej, rozumianej jako krótkoterminowy bufor służący pokrywaniu zobowiązań wymagalnych w zwykłym cyklu działalności. Jego kurczenie się może ograniczać elastyczność płatniczą i zwiększać zależność od rolowania finansowania. Klasyczne badania predykcji niepowodzenia wskazywały wartość relacji płynnościowych i przepływowych jako sygnałów poprzedzających problemy przedsiębiorstwa</w:t>
      </w:r>
      <w:r>
        <w:rPr>
          <w:rStyle w:val="FootnoteReference"/>
        </w:rPr>
        <w:footnoteReference w:id="17"/>
      </w:r>
      <w:r>
        <w:t>. Płynność bieżąca nie jest jednak normą uniwersalną: zapotrzebowanie na kapitał obrotowy zależy od modelu biznesowego, sezonowości i szybkości konwersji zapasów oraz należności w gotówkę.</w:t>
      </w:r>
    </w:p>
    <w:p w14:paraId="01B5AA02" w14:textId="77777777" w:rsidR="00930B79" w:rsidRDefault="00000000">
      <w:pPr>
        <w:pStyle w:val="BodyText"/>
        <w:ind w:firstLine="709"/>
      </w:pPr>
      <w:r>
        <w:t>D4 ujmuje udział zobowiązań w finansowaniu aktywów. Jego wzrost oznacza zwiększenie znaczenia roszczeń wierzycieli względem bazy zasobów i może podnosić wrażliwość na koszt, dostępność oraz warunki refinansowania. Zobowiązania nie są same w sobie zjawiskiem negatywnym: dźwignia może wspierać rentowną ekspansję. Znaczenie ma relacja między finansowaniem a zdolnością aktywów do tworzenia wyniku i gotówki. Analiza sprawozdawcza dźwigni powinna zatem łączyć strukturę zobowiązań z rentownością operacyjną i kosztem finansowania</w:t>
      </w:r>
      <w:r>
        <w:rPr>
          <w:rStyle w:val="FootnoteReference"/>
        </w:rPr>
        <w:footnoteReference w:id="18"/>
      </w:r>
      <w:r>
        <w:t>.</w:t>
      </w:r>
    </w:p>
    <w:p w14:paraId="3147B983" w14:textId="77777777" w:rsidR="00930B79" w:rsidRDefault="00000000">
      <w:pPr>
        <w:pStyle w:val="BodyText"/>
        <w:ind w:firstLine="709"/>
      </w:pPr>
      <w:r>
        <w:t>D5 odnosi się do przychodów jako obrazu skali działalności rynkowej. Ich spadek może odzwierciedlać słabszy popyt, utratę pozycji konkurencyjnej, redukcję wolumenu lub presję cenową, a tym samym ograniczać bazę pokrywania kosztów stałych. Trudności finansowe mogą oddziaływać na sprzedaż również pośrednio, na przykład przez ostrożność klientów i dostawców</w:t>
      </w:r>
      <w:r>
        <w:rPr>
          <w:rStyle w:val="FootnoteReference"/>
        </w:rPr>
        <w:footnoteReference w:id="19"/>
      </w:r>
      <w:r>
        <w:t>. Samo kurczenie się przychodów nie przesądza jednak o pogorszeniu całej kondycji, ponieważ może towarzyszyć zamierzonej restrukturyzacji lub poprawie marż. Jego znaczenie ujawnia się w powiązaniu z pozostałymi wymiarami.</w:t>
      </w:r>
    </w:p>
    <w:p w14:paraId="73C522C9" w14:textId="77777777" w:rsidR="00930B79" w:rsidRDefault="00000000">
      <w:pPr>
        <w:pStyle w:val="BodyText"/>
        <w:ind w:firstLine="709"/>
      </w:pPr>
      <w:r>
        <w:t xml:space="preserve">Łączne odczytanie wymiarów D1-D5 odpowiada logice wskaźnika złożonego: różne symptomy tworzą syntetyczny obraz zjawiska, którego żadna składowa nie mierzy samodzielnie. Takie ujęcie zwiększa zgodność treściową konstruktu, ale wymaga ostrożności. Składowe mogą być skorelowane, a ich znaczenie ekonomiczne nie musi być jednakowe. Literatura dotycząca wskaźników złożonych podkreśla, że wybór wymiarów, sposób agregacji </w:t>
      </w:r>
      <w:r>
        <w:lastRenderedPageBreak/>
        <w:t>i zależności między nimi wpływają na interpretację wyniku</w:t>
      </w:r>
      <w:r>
        <w:rPr>
          <w:rStyle w:val="FootnoteReference"/>
        </w:rPr>
        <w:footnoteReference w:id="20"/>
      </w:r>
      <w:r>
        <w:t>. Teoria uzasadnia więc wspólne rozpatrywanie sygnałów, nie wyznacza natomiast jednej uniwersalnej granicy pogorszenia.</w:t>
      </w:r>
    </w:p>
    <w:p w14:paraId="3EAD86F2" w14:textId="77777777" w:rsidR="002C79C0" w:rsidRDefault="002C79C0" w:rsidP="002C79C0">
      <w:pPr>
        <w:pStyle w:val="Caption"/>
        <w:keepNext/>
      </w:pPr>
      <w:r>
        <w:t>Tabela 1. Teoretyczne wymiary pogorszenia kondycji finansowej przedsiębiorstwa</w:t>
      </w:r>
    </w:p>
    <w:tbl>
      <w:tblPr>
        <w:tblStyle w:val="TableGrid"/>
        <w:tblW w:w="907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3256"/>
        <w:gridCol w:w="5814"/>
      </w:tblGrid>
      <w:tr w:rsidR="002C79C0" w14:paraId="442D8470" w14:textId="77777777" w:rsidTr="00E170F1">
        <w:trPr>
          <w:cantSplit/>
          <w:tblHeader/>
        </w:trPr>
        <w:tc>
          <w:tcPr>
            <w:tcW w:w="3256" w:type="dxa"/>
            <w:shd w:val="clear" w:color="auto" w:fill="D9E2F3"/>
            <w:tcMar>
              <w:top w:w="70" w:type="dxa"/>
              <w:left w:w="100" w:type="dxa"/>
              <w:bottom w:w="70" w:type="dxa"/>
              <w:right w:w="100" w:type="dxa"/>
            </w:tcMar>
            <w:vAlign w:val="center"/>
          </w:tcPr>
          <w:p w14:paraId="221EC383" w14:textId="77777777" w:rsidR="002C79C0" w:rsidRDefault="002C79C0" w:rsidP="00A12D9B">
            <w:pPr>
              <w:spacing w:line="252" w:lineRule="auto"/>
              <w:jc w:val="center"/>
            </w:pPr>
            <w:r>
              <w:rPr>
                <w:b/>
                <w:sz w:val="19"/>
              </w:rPr>
              <w:t>Wymiar kondycji</w:t>
            </w:r>
          </w:p>
        </w:tc>
        <w:tc>
          <w:tcPr>
            <w:tcW w:w="5814" w:type="dxa"/>
            <w:shd w:val="clear" w:color="auto" w:fill="D9E2F3"/>
            <w:tcMar>
              <w:top w:w="70" w:type="dxa"/>
              <w:left w:w="100" w:type="dxa"/>
              <w:bottom w:w="70" w:type="dxa"/>
              <w:right w:w="100" w:type="dxa"/>
            </w:tcMar>
            <w:vAlign w:val="center"/>
          </w:tcPr>
          <w:p w14:paraId="113F4B04" w14:textId="77777777" w:rsidR="002C79C0" w:rsidRDefault="002C79C0" w:rsidP="00A12D9B">
            <w:pPr>
              <w:spacing w:line="252" w:lineRule="auto"/>
              <w:jc w:val="center"/>
            </w:pPr>
            <w:r>
              <w:rPr>
                <w:b/>
                <w:sz w:val="19"/>
              </w:rPr>
              <w:t>Ekonomiczne znaczenie sygnału pogorszenia</w:t>
            </w:r>
          </w:p>
        </w:tc>
      </w:tr>
      <w:tr w:rsidR="002C79C0" w14:paraId="73BD92F8" w14:textId="77777777" w:rsidTr="00E170F1">
        <w:trPr>
          <w:cantSplit/>
        </w:trPr>
        <w:tc>
          <w:tcPr>
            <w:tcW w:w="3256" w:type="dxa"/>
            <w:tcMar>
              <w:top w:w="75" w:type="dxa"/>
              <w:left w:w="100" w:type="dxa"/>
              <w:bottom w:w="75" w:type="dxa"/>
              <w:right w:w="100" w:type="dxa"/>
            </w:tcMar>
          </w:tcPr>
          <w:p w14:paraId="213E8811" w14:textId="77777777" w:rsidR="002C79C0" w:rsidRPr="00E170F1" w:rsidRDefault="002C79C0" w:rsidP="00A12D9B">
            <w:pPr>
              <w:spacing w:line="252" w:lineRule="auto"/>
              <w:rPr>
                <w:bCs/>
              </w:rPr>
            </w:pPr>
            <w:r w:rsidRPr="00E170F1">
              <w:rPr>
                <w:bCs/>
                <w:sz w:val="19"/>
              </w:rPr>
              <w:t>D1 - rentowność aktywów</w:t>
            </w:r>
          </w:p>
        </w:tc>
        <w:tc>
          <w:tcPr>
            <w:tcW w:w="5814" w:type="dxa"/>
            <w:tcMar>
              <w:top w:w="75" w:type="dxa"/>
              <w:left w:w="100" w:type="dxa"/>
              <w:bottom w:w="75" w:type="dxa"/>
              <w:right w:w="100" w:type="dxa"/>
            </w:tcMar>
          </w:tcPr>
          <w:p w14:paraId="76F6C3AC" w14:textId="77777777" w:rsidR="002C79C0" w:rsidRDefault="002C79C0" w:rsidP="00A12D9B">
            <w:pPr>
              <w:spacing w:line="252" w:lineRule="auto"/>
            </w:pPr>
            <w:r>
              <w:rPr>
                <w:sz w:val="19"/>
              </w:rPr>
              <w:t>Spadek zdolności przedsiębiorstwa do osiągania wyniku z zaangażowanej bazy aktywów, wskazujący na osłabienie efektywności wykorzystania zasobów.</w:t>
            </w:r>
          </w:p>
        </w:tc>
      </w:tr>
      <w:tr w:rsidR="002C79C0" w14:paraId="1C84E2EA" w14:textId="77777777" w:rsidTr="00E170F1">
        <w:trPr>
          <w:cantSplit/>
        </w:trPr>
        <w:tc>
          <w:tcPr>
            <w:tcW w:w="3256" w:type="dxa"/>
            <w:shd w:val="clear" w:color="auto" w:fill="F4F6F8"/>
            <w:tcMar>
              <w:top w:w="75" w:type="dxa"/>
              <w:left w:w="100" w:type="dxa"/>
              <w:bottom w:w="75" w:type="dxa"/>
              <w:right w:w="100" w:type="dxa"/>
            </w:tcMar>
          </w:tcPr>
          <w:p w14:paraId="4ABC2D1A" w14:textId="77777777" w:rsidR="002C79C0" w:rsidRPr="00E170F1" w:rsidRDefault="002C79C0" w:rsidP="00A12D9B">
            <w:pPr>
              <w:spacing w:line="252" w:lineRule="auto"/>
              <w:rPr>
                <w:bCs/>
              </w:rPr>
            </w:pPr>
            <w:r w:rsidRPr="00E170F1">
              <w:rPr>
                <w:bCs/>
                <w:sz w:val="19"/>
              </w:rPr>
              <w:t>D2 - generowanie gotówki operacyjnej</w:t>
            </w:r>
          </w:p>
        </w:tc>
        <w:tc>
          <w:tcPr>
            <w:tcW w:w="5814" w:type="dxa"/>
            <w:shd w:val="clear" w:color="auto" w:fill="F4F6F8"/>
            <w:tcMar>
              <w:top w:w="75" w:type="dxa"/>
              <w:left w:w="100" w:type="dxa"/>
              <w:bottom w:w="75" w:type="dxa"/>
              <w:right w:w="100" w:type="dxa"/>
            </w:tcMar>
          </w:tcPr>
          <w:p w14:paraId="301B25C6" w14:textId="77777777" w:rsidR="002C79C0" w:rsidRDefault="002C79C0" w:rsidP="00A12D9B">
            <w:pPr>
              <w:spacing w:line="252" w:lineRule="auto"/>
            </w:pPr>
            <w:r>
              <w:rPr>
                <w:sz w:val="19"/>
              </w:rPr>
              <w:t>Osłabienie zdolności podstawowej działalności do dostarczania gotówki, ograniczające możliwości finansowania wewnętrznego i obsługi zobowiązań.</w:t>
            </w:r>
          </w:p>
        </w:tc>
      </w:tr>
      <w:tr w:rsidR="002C79C0" w14:paraId="7BEFEFB6" w14:textId="77777777" w:rsidTr="00E170F1">
        <w:trPr>
          <w:cantSplit/>
        </w:trPr>
        <w:tc>
          <w:tcPr>
            <w:tcW w:w="3256" w:type="dxa"/>
            <w:tcMar>
              <w:top w:w="75" w:type="dxa"/>
              <w:left w:w="100" w:type="dxa"/>
              <w:bottom w:w="75" w:type="dxa"/>
              <w:right w:w="100" w:type="dxa"/>
            </w:tcMar>
          </w:tcPr>
          <w:p w14:paraId="3101F783" w14:textId="77777777" w:rsidR="002C79C0" w:rsidRPr="00E170F1" w:rsidRDefault="002C79C0" w:rsidP="00A12D9B">
            <w:pPr>
              <w:spacing w:line="252" w:lineRule="auto"/>
              <w:rPr>
                <w:bCs/>
              </w:rPr>
            </w:pPr>
            <w:r w:rsidRPr="00E170F1">
              <w:rPr>
                <w:bCs/>
                <w:sz w:val="19"/>
              </w:rPr>
              <w:t>D3 - płynność bieżąca</w:t>
            </w:r>
          </w:p>
        </w:tc>
        <w:tc>
          <w:tcPr>
            <w:tcW w:w="5814" w:type="dxa"/>
            <w:tcMar>
              <w:top w:w="75" w:type="dxa"/>
              <w:left w:w="100" w:type="dxa"/>
              <w:bottom w:w="75" w:type="dxa"/>
              <w:right w:w="100" w:type="dxa"/>
            </w:tcMar>
          </w:tcPr>
          <w:p w14:paraId="33812186" w14:textId="77777777" w:rsidR="002C79C0" w:rsidRDefault="002C79C0" w:rsidP="00A12D9B">
            <w:pPr>
              <w:spacing w:line="252" w:lineRule="auto"/>
            </w:pPr>
            <w:r>
              <w:rPr>
                <w:sz w:val="19"/>
              </w:rPr>
              <w:t>Zmniejszenie krótkoterminowego bufora finansowego służącego regulowaniu bieżących zobowiązań.</w:t>
            </w:r>
          </w:p>
        </w:tc>
      </w:tr>
      <w:tr w:rsidR="002C79C0" w14:paraId="452D488D" w14:textId="77777777" w:rsidTr="00E170F1">
        <w:trPr>
          <w:cantSplit/>
        </w:trPr>
        <w:tc>
          <w:tcPr>
            <w:tcW w:w="3256" w:type="dxa"/>
            <w:shd w:val="clear" w:color="auto" w:fill="F4F6F8"/>
            <w:tcMar>
              <w:top w:w="75" w:type="dxa"/>
              <w:left w:w="100" w:type="dxa"/>
              <w:bottom w:w="75" w:type="dxa"/>
              <w:right w:w="100" w:type="dxa"/>
            </w:tcMar>
          </w:tcPr>
          <w:p w14:paraId="3ECC17BF" w14:textId="77777777" w:rsidR="002C79C0" w:rsidRPr="00E170F1" w:rsidRDefault="002C79C0" w:rsidP="00A12D9B">
            <w:pPr>
              <w:spacing w:line="252" w:lineRule="auto"/>
              <w:rPr>
                <w:bCs/>
              </w:rPr>
            </w:pPr>
            <w:r w:rsidRPr="00E170F1">
              <w:rPr>
                <w:bCs/>
                <w:sz w:val="19"/>
              </w:rPr>
              <w:t>D4 - udział zobowiązań w aktywach</w:t>
            </w:r>
          </w:p>
        </w:tc>
        <w:tc>
          <w:tcPr>
            <w:tcW w:w="5814" w:type="dxa"/>
            <w:shd w:val="clear" w:color="auto" w:fill="F4F6F8"/>
            <w:tcMar>
              <w:top w:w="75" w:type="dxa"/>
              <w:left w:w="100" w:type="dxa"/>
              <w:bottom w:w="75" w:type="dxa"/>
              <w:right w:w="100" w:type="dxa"/>
            </w:tcMar>
          </w:tcPr>
          <w:p w14:paraId="36B7D32D" w14:textId="77777777" w:rsidR="002C79C0" w:rsidRDefault="002C79C0" w:rsidP="00A12D9B">
            <w:pPr>
              <w:spacing w:line="252" w:lineRule="auto"/>
            </w:pPr>
            <w:r>
              <w:rPr>
                <w:sz w:val="19"/>
              </w:rPr>
              <w:t>Wzrost znaczenia roszczeń wierzycieli w finansowaniu aktywów, zwiększający wrażliwość przedsiębiorstwa na warunki finansowania.</w:t>
            </w:r>
          </w:p>
        </w:tc>
      </w:tr>
      <w:tr w:rsidR="002C79C0" w14:paraId="7A4020E1" w14:textId="77777777" w:rsidTr="00E170F1">
        <w:trPr>
          <w:cantSplit/>
        </w:trPr>
        <w:tc>
          <w:tcPr>
            <w:tcW w:w="3256" w:type="dxa"/>
            <w:tcMar>
              <w:top w:w="75" w:type="dxa"/>
              <w:left w:w="100" w:type="dxa"/>
              <w:bottom w:w="75" w:type="dxa"/>
              <w:right w:w="100" w:type="dxa"/>
            </w:tcMar>
          </w:tcPr>
          <w:p w14:paraId="754535F1" w14:textId="77777777" w:rsidR="002C79C0" w:rsidRPr="00E170F1" w:rsidRDefault="002C79C0" w:rsidP="00A12D9B">
            <w:pPr>
              <w:spacing w:line="252" w:lineRule="auto"/>
              <w:rPr>
                <w:bCs/>
              </w:rPr>
            </w:pPr>
            <w:r w:rsidRPr="00E170F1">
              <w:rPr>
                <w:bCs/>
                <w:sz w:val="19"/>
              </w:rPr>
              <w:t>D5 - przychody</w:t>
            </w:r>
          </w:p>
        </w:tc>
        <w:tc>
          <w:tcPr>
            <w:tcW w:w="5814" w:type="dxa"/>
            <w:tcMar>
              <w:top w:w="75" w:type="dxa"/>
              <w:left w:w="100" w:type="dxa"/>
              <w:bottom w:w="75" w:type="dxa"/>
              <w:right w:w="100" w:type="dxa"/>
            </w:tcMar>
          </w:tcPr>
          <w:p w14:paraId="7B334DE4" w14:textId="77777777" w:rsidR="002C79C0" w:rsidRDefault="002C79C0" w:rsidP="00A12D9B">
            <w:pPr>
              <w:spacing w:line="252" w:lineRule="auto"/>
            </w:pPr>
            <w:r>
              <w:rPr>
                <w:sz w:val="19"/>
              </w:rPr>
              <w:t>Kurczenie się skali działalności, które może odzwierciedlać osłabienie popytu lub pozycji konkurencyjnej, choć samo nie przesądza o pogorszeniu całej kondycji.</w:t>
            </w:r>
          </w:p>
        </w:tc>
      </w:tr>
    </w:tbl>
    <w:p w14:paraId="410ED3C8" w14:textId="0CDF4F68" w:rsidR="002C79C0" w:rsidRDefault="002C79C0" w:rsidP="002C79C0">
      <w:pPr>
        <w:spacing w:before="40" w:after="80" w:line="240" w:lineRule="auto"/>
      </w:pPr>
      <w:r>
        <w:rPr>
          <w:i/>
          <w:sz w:val="17"/>
        </w:rPr>
        <w:t>Źródło: opracowanie własne na podstawie przywołanej literatury.</w:t>
      </w:r>
    </w:p>
    <w:p w14:paraId="6CD472DA" w14:textId="27E96D32" w:rsidR="00930B79" w:rsidRDefault="00000000">
      <w:pPr>
        <w:pStyle w:val="BodyText"/>
        <w:ind w:firstLine="709"/>
      </w:pPr>
      <w:r>
        <w:t>Precedensem dla przejrzystego łączenia informacji kierunkowych jest F-score Piotroskiego. Autor zestawił sygnały rentowności, przepływów, dźwigni, płynności i efektywności operacyjnej w celu rozróżnienia spółek o silniejszych i słabszych fundamentach w określonej grupie inwestycyjnej</w:t>
      </w:r>
      <w:r>
        <w:rPr>
          <w:rStyle w:val="FootnoteReference"/>
        </w:rPr>
        <w:footnoteReference w:id="21"/>
      </w:r>
      <w:r>
        <w:t>. Rozwiązanie to pokazuje, że wielowymiarowy obraz może pozostać interpretowalny. F-score nie stanowi jednak wzorca etykiety użytej w projekcie, ponieważ powstał dla innego celu, populacji i zestawu sygnałów.</w:t>
      </w:r>
    </w:p>
    <w:p w14:paraId="2D46FC5F" w14:textId="77777777" w:rsidR="00930B79" w:rsidRDefault="00000000">
      <w:pPr>
        <w:pStyle w:val="BodyText"/>
        <w:ind w:firstLine="709"/>
      </w:pPr>
      <w:r>
        <w:t>Pięć wymiarów jest zatem obserwowalnym przybliżeniem szerokiego pogorszenia, a nie jego pełną definicją ontologiczną. Nie obejmuje między innymi jakości zarządzania, zmian technologicznych, utraty kluczowych kontraktów ani warunków finansowania niewidocznych w podstawowych wielkościach liczbowych. Różnice branżowe, zdarzenia jednorazowe i wybory rachunkowe mogą ponadto zmieniać znaczenie poszczególnych sygnałów. Wnioski powinny więc dotyczyć rozpoznawania sprawozdawczych symptomów pogorszenia, nie pełnej diagnozy przyczyn sytuacji przedsiębiorstwa.</w:t>
      </w:r>
    </w:p>
    <w:p w14:paraId="174CA700" w14:textId="77777777" w:rsidR="00930B79" w:rsidRDefault="00000000">
      <w:pPr>
        <w:pStyle w:val="BodyText"/>
        <w:ind w:firstLine="709"/>
      </w:pPr>
      <w:r>
        <w:t xml:space="preserve">Mimo tych ograniczeń dane sprawozdawcze tworzą uzasadnioną podstawę wczesnego rozpoznawania. Są cykliczne, liczbowe i odnoszą się do powiązanych elementów działalności, a procesy prowadzące do pogorszenia mogą wcześniej wpływać na poziomy oraz kierunki zmian tych elementów. Zależność ma przy tym charakter wielowymiarowy: identyczny sygnał </w:t>
      </w:r>
      <w:r>
        <w:lastRenderedPageBreak/>
        <w:t>może oznaczać co innego w zależności od konfiguracji pozostałych informacji. Uzasadnia to analizę wspólnego wzorca, zamiast mechanicznego stosowania pojedynczego wskaźnika.</w:t>
      </w:r>
    </w:p>
    <w:p w14:paraId="72AF6059" w14:textId="77777777" w:rsidR="00930B79" w:rsidRDefault="00000000">
      <w:pPr>
        <w:pStyle w:val="BodyText"/>
        <w:ind w:firstLine="709"/>
      </w:pPr>
      <w:r>
        <w:t>Ujęcie późniejszego, wielowymiarowego pogorszenia jako wystąpienia albo niewystąpienia zdarzenia prowadzi do klasyfikacji nadzorowanej. Uzasadniają ją ustrukturyzowane wcześniejsze dane liczbowe, dwukategorialny wynik i współzależności sygnałów. Klasyfikacja służy rozpoznawaniu symptomów pogorszenia, nie bankructwa ani manipulacji; szczegóły należą do dalszych rozdziałów.</w:t>
      </w:r>
    </w:p>
    <w:sectPr w:rsidR="00930B79" w:rsidSect="00034616">
      <w:footerReference w:type="default" r:id="rId7"/>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ECA94A8" w14:textId="77777777" w:rsidR="004E4201" w:rsidRDefault="004E4201">
      <w:pPr>
        <w:spacing w:line="240" w:lineRule="auto"/>
      </w:pPr>
      <w:r>
        <w:separator/>
      </w:r>
    </w:p>
  </w:endnote>
  <w:endnote w:type="continuationSeparator" w:id="0">
    <w:p w14:paraId="1BA97453" w14:textId="77777777" w:rsidR="004E4201" w:rsidRDefault="004E420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75B2BB" w14:textId="77777777" w:rsidR="00930B79" w:rsidRDefault="00000000">
    <w:pPr>
      <w:pStyle w:val="Footer"/>
      <w:jc w:val="center"/>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25D569" w14:textId="77777777" w:rsidR="004E4201" w:rsidRDefault="004E4201">
      <w:r>
        <w:separator/>
      </w:r>
    </w:p>
  </w:footnote>
  <w:footnote w:type="continuationSeparator" w:id="0">
    <w:p w14:paraId="69A770B0" w14:textId="77777777" w:rsidR="004E4201" w:rsidRDefault="004E4201">
      <w:r>
        <w:continuationSeparator/>
      </w:r>
    </w:p>
  </w:footnote>
  <w:footnote w:id="1">
    <w:p w14:paraId="1DD6BD5A" w14:textId="77777777" w:rsidR="00930B79" w:rsidRPr="002C79C0" w:rsidRDefault="00000000">
      <w:pPr>
        <w:pStyle w:val="FootnoteText"/>
        <w:rPr>
          <w:lang w:val="en-US"/>
        </w:rPr>
      </w:pPr>
      <w:r>
        <w:rPr>
          <w:rStyle w:val="FootnoteReference"/>
        </w:rPr>
        <w:footnoteRef/>
      </w:r>
      <w:r w:rsidRPr="002C79C0">
        <w:rPr>
          <w:lang w:val="en-US"/>
        </w:rPr>
        <w:t xml:space="preserve"> Financial Accounting Standards Board, </w:t>
      </w:r>
      <w:r w:rsidRPr="002C79C0">
        <w:rPr>
          <w:i/>
          <w:iCs/>
          <w:lang w:val="en-US"/>
        </w:rPr>
        <w:t>Conceptual Framework for Financial Reporting</w:t>
      </w:r>
      <w:r w:rsidRPr="002C79C0">
        <w:rPr>
          <w:lang w:val="en-US"/>
        </w:rPr>
        <w:t>, rozdz. 1 i 3, Norwalk 2021.</w:t>
      </w:r>
    </w:p>
  </w:footnote>
  <w:footnote w:id="2">
    <w:p w14:paraId="522AEA67" w14:textId="77777777" w:rsidR="00930B79" w:rsidRPr="002C79C0" w:rsidRDefault="00000000">
      <w:pPr>
        <w:pStyle w:val="FootnoteText"/>
        <w:rPr>
          <w:lang w:val="en-US"/>
        </w:rPr>
      </w:pPr>
      <w:r>
        <w:rPr>
          <w:rStyle w:val="FootnoteReference"/>
        </w:rPr>
        <w:footnoteRef/>
      </w:r>
      <w:r w:rsidRPr="002C79C0">
        <w:rPr>
          <w:lang w:val="en-US"/>
        </w:rPr>
        <w:t xml:space="preserve"> W.H. Beaver, </w:t>
      </w:r>
      <w:r w:rsidRPr="002C79C0">
        <w:rPr>
          <w:i/>
          <w:iCs/>
          <w:lang w:val="en-US"/>
        </w:rPr>
        <w:t>Financial Ratios as Predictors of Failure</w:t>
      </w:r>
      <w:r w:rsidRPr="002C79C0">
        <w:rPr>
          <w:lang w:val="en-US"/>
        </w:rPr>
        <w:t>, „Journal of Accounting Research” 1966, vol. 4, s. 71–111.</w:t>
      </w:r>
    </w:p>
  </w:footnote>
  <w:footnote w:id="3">
    <w:p w14:paraId="536F60E9" w14:textId="77777777" w:rsidR="00930B79" w:rsidRPr="002C79C0" w:rsidRDefault="00000000">
      <w:pPr>
        <w:pStyle w:val="FootnoteText"/>
        <w:rPr>
          <w:lang w:val="en-US"/>
        </w:rPr>
      </w:pPr>
      <w:r>
        <w:rPr>
          <w:rStyle w:val="FootnoteReference"/>
        </w:rPr>
        <w:footnoteRef/>
      </w:r>
      <w:r w:rsidRPr="002C79C0">
        <w:rPr>
          <w:lang w:val="en-US"/>
        </w:rPr>
        <w:t xml:space="preserve"> H.D. Platt, M.B. Platt, </w:t>
      </w:r>
      <w:r w:rsidRPr="002C79C0">
        <w:rPr>
          <w:i/>
          <w:iCs/>
          <w:lang w:val="en-US"/>
        </w:rPr>
        <w:t>Comparing Financial Distress and Bankruptcy</w:t>
      </w:r>
      <w:r w:rsidRPr="002C79C0">
        <w:rPr>
          <w:lang w:val="en-US"/>
        </w:rPr>
        <w:t>, „Review of Applied Economics” 2006, vol. 2, nr 2, s. 141–157.</w:t>
      </w:r>
    </w:p>
  </w:footnote>
  <w:footnote w:id="4">
    <w:p w14:paraId="72E5AF45" w14:textId="77777777" w:rsidR="00930B79" w:rsidRPr="002C79C0" w:rsidRDefault="00000000">
      <w:pPr>
        <w:pStyle w:val="FootnoteText"/>
        <w:rPr>
          <w:lang w:val="en-US"/>
        </w:rPr>
      </w:pPr>
      <w:r>
        <w:rPr>
          <w:rStyle w:val="FootnoteReference"/>
        </w:rPr>
        <w:footnoteRef/>
      </w:r>
      <w:r w:rsidRPr="002C79C0">
        <w:rPr>
          <w:lang w:val="en-US"/>
        </w:rPr>
        <w:t xml:space="preserve"> Public Company Accounting Oversight Board, </w:t>
      </w:r>
      <w:r w:rsidRPr="002C79C0">
        <w:rPr>
          <w:i/>
          <w:iCs/>
          <w:lang w:val="en-US"/>
        </w:rPr>
        <w:t>AS 2415: Consideration of an Entity’s Ability to Continue as a Going Concern</w:t>
      </w:r>
      <w:r w:rsidRPr="002C79C0">
        <w:rPr>
          <w:lang w:val="en-US"/>
        </w:rPr>
        <w:t>.</w:t>
      </w:r>
    </w:p>
  </w:footnote>
  <w:footnote w:id="5">
    <w:p w14:paraId="7081E818" w14:textId="77777777" w:rsidR="00930B79" w:rsidRPr="002C79C0" w:rsidRDefault="00000000">
      <w:pPr>
        <w:pStyle w:val="FootnoteText"/>
        <w:rPr>
          <w:lang w:val="en-US"/>
        </w:rPr>
      </w:pPr>
      <w:r>
        <w:rPr>
          <w:rStyle w:val="FootnoteReference"/>
        </w:rPr>
        <w:footnoteRef/>
      </w:r>
      <w:r w:rsidRPr="002C79C0">
        <w:rPr>
          <w:lang w:val="en-US"/>
        </w:rPr>
        <w:t xml:space="preserve"> S. Balcaen, H. Ooghe, </w:t>
      </w:r>
      <w:r w:rsidRPr="002C79C0">
        <w:rPr>
          <w:i/>
          <w:iCs/>
          <w:lang w:val="en-US"/>
        </w:rPr>
        <w:t>35 years of studies on business failure: an overview of the classic statistical methodologies and their related problems</w:t>
      </w:r>
      <w:r w:rsidRPr="002C79C0">
        <w:rPr>
          <w:lang w:val="en-US"/>
        </w:rPr>
        <w:t>, „The British Accounting Review” 2006, vol. 38, nr 1, s. 63–93.</w:t>
      </w:r>
    </w:p>
  </w:footnote>
  <w:footnote w:id="6">
    <w:p w14:paraId="42B1CE7D" w14:textId="77777777" w:rsidR="00930B79" w:rsidRPr="002C79C0" w:rsidRDefault="00000000">
      <w:pPr>
        <w:pStyle w:val="FootnoteText"/>
        <w:rPr>
          <w:lang w:val="en-US"/>
        </w:rPr>
      </w:pPr>
      <w:r>
        <w:rPr>
          <w:rStyle w:val="FootnoteReference"/>
        </w:rPr>
        <w:footnoteRef/>
      </w:r>
      <w:r w:rsidRPr="002C79C0">
        <w:rPr>
          <w:lang w:val="en-US"/>
        </w:rPr>
        <w:t xml:space="preserve"> E.I. Altman, </w:t>
      </w:r>
      <w:r w:rsidRPr="002C79C0">
        <w:rPr>
          <w:i/>
          <w:iCs/>
          <w:lang w:val="en-US"/>
        </w:rPr>
        <w:t>Financial Ratios, Discriminant Analysis and the Prediction of Corporate Bankruptcy</w:t>
      </w:r>
      <w:r w:rsidRPr="002C79C0">
        <w:rPr>
          <w:lang w:val="en-US"/>
        </w:rPr>
        <w:t>, „The Journal of Finance” 1968, vol. 23, nr 4, s. 589–609.</w:t>
      </w:r>
    </w:p>
  </w:footnote>
  <w:footnote w:id="7">
    <w:p w14:paraId="3A4B6F4C" w14:textId="77777777" w:rsidR="00930B79" w:rsidRPr="002C79C0" w:rsidRDefault="00000000">
      <w:pPr>
        <w:pStyle w:val="FootnoteText"/>
        <w:rPr>
          <w:lang w:val="en-US"/>
        </w:rPr>
      </w:pPr>
      <w:r>
        <w:rPr>
          <w:rStyle w:val="FootnoteReference"/>
        </w:rPr>
        <w:footnoteRef/>
      </w:r>
      <w:r w:rsidRPr="002C79C0">
        <w:rPr>
          <w:lang w:val="en-US"/>
        </w:rPr>
        <w:t xml:space="preserve"> D. Nissim, S.H. Penman, </w:t>
      </w:r>
      <w:r w:rsidRPr="002C79C0">
        <w:rPr>
          <w:i/>
          <w:iCs/>
          <w:lang w:val="en-US"/>
        </w:rPr>
        <w:t>Ratio Analysis and Equity Valuation: From Research to Practice</w:t>
      </w:r>
      <w:r w:rsidRPr="002C79C0">
        <w:rPr>
          <w:lang w:val="en-US"/>
        </w:rPr>
        <w:t>, „Review of Accounting Studies” 2001, vol. 6, s. 109–154.</w:t>
      </w:r>
    </w:p>
  </w:footnote>
  <w:footnote w:id="8">
    <w:p w14:paraId="7AF980EF" w14:textId="77777777" w:rsidR="00930B79" w:rsidRPr="002C79C0" w:rsidRDefault="00000000">
      <w:pPr>
        <w:pStyle w:val="FootnoteText"/>
        <w:rPr>
          <w:lang w:val="en-US"/>
        </w:rPr>
      </w:pPr>
      <w:r>
        <w:rPr>
          <w:rStyle w:val="FootnoteReference"/>
        </w:rPr>
        <w:footnoteRef/>
      </w:r>
      <w:r w:rsidRPr="002C79C0">
        <w:rPr>
          <w:lang w:val="en-US"/>
        </w:rPr>
        <w:t xml:space="preserve"> P.M. Dechow, </w:t>
      </w:r>
      <w:r w:rsidRPr="002C79C0">
        <w:rPr>
          <w:i/>
          <w:iCs/>
          <w:lang w:val="en-US"/>
        </w:rPr>
        <w:t>Accounting earnings and cash flows as measures of firm performance: The role of accounting accruals</w:t>
      </w:r>
      <w:r w:rsidRPr="002C79C0">
        <w:rPr>
          <w:lang w:val="en-US"/>
        </w:rPr>
        <w:t>, „Journal of Accounting and Economics” 1994, vol. 18, nr 1, s. 3–42.</w:t>
      </w:r>
    </w:p>
  </w:footnote>
  <w:footnote w:id="9">
    <w:p w14:paraId="50D45838" w14:textId="77777777" w:rsidR="00930B79" w:rsidRPr="002C79C0" w:rsidRDefault="00000000">
      <w:pPr>
        <w:pStyle w:val="FootnoteText"/>
        <w:rPr>
          <w:lang w:val="en-US"/>
        </w:rPr>
      </w:pPr>
      <w:r>
        <w:rPr>
          <w:rStyle w:val="FootnoteReference"/>
        </w:rPr>
        <w:footnoteRef/>
      </w:r>
      <w:r w:rsidRPr="002C79C0">
        <w:rPr>
          <w:lang w:val="en-US"/>
        </w:rPr>
        <w:t xml:space="preserve"> P.M. Dechow, I.D. Dichev, </w:t>
      </w:r>
      <w:r w:rsidRPr="002C79C0">
        <w:rPr>
          <w:i/>
          <w:iCs/>
          <w:lang w:val="en-US"/>
        </w:rPr>
        <w:t>The Quality of Accruals and Earnings: The Role of Accrual Estimation Errors</w:t>
      </w:r>
      <w:r w:rsidRPr="002C79C0">
        <w:rPr>
          <w:lang w:val="en-US"/>
        </w:rPr>
        <w:t>, „The Accounting Review” 2002, vol. 77, Supplement, s. 35–59.</w:t>
      </w:r>
    </w:p>
  </w:footnote>
  <w:footnote w:id="10">
    <w:p w14:paraId="7D493EDF" w14:textId="77777777" w:rsidR="00930B79" w:rsidRPr="002C79C0" w:rsidRDefault="00000000">
      <w:pPr>
        <w:pStyle w:val="FootnoteText"/>
        <w:rPr>
          <w:lang w:val="en-US"/>
        </w:rPr>
      </w:pPr>
      <w:r>
        <w:rPr>
          <w:rStyle w:val="FootnoteReference"/>
        </w:rPr>
        <w:footnoteRef/>
      </w:r>
      <w:r w:rsidRPr="002C79C0">
        <w:rPr>
          <w:lang w:val="en-US"/>
        </w:rPr>
        <w:t xml:space="preserve"> P.M. Dechow, W. Ge, C. Schrand, </w:t>
      </w:r>
      <w:r w:rsidRPr="002C79C0">
        <w:rPr>
          <w:i/>
          <w:iCs/>
          <w:lang w:val="en-US"/>
        </w:rPr>
        <w:t>Understanding earnings quality: A review of the proxies, their determinants and their consequences</w:t>
      </w:r>
      <w:r w:rsidRPr="002C79C0">
        <w:rPr>
          <w:lang w:val="en-US"/>
        </w:rPr>
        <w:t>, „Journal of Accounting and Economics” 2010, vol. 50, nr 2–3, s. 344–401.</w:t>
      </w:r>
    </w:p>
  </w:footnote>
  <w:footnote w:id="11">
    <w:p w14:paraId="7DFDEBBE" w14:textId="77777777" w:rsidR="00930B79" w:rsidRPr="002C79C0" w:rsidRDefault="00000000">
      <w:pPr>
        <w:pStyle w:val="FootnoteText"/>
        <w:rPr>
          <w:lang w:val="en-US"/>
        </w:rPr>
      </w:pPr>
      <w:r>
        <w:rPr>
          <w:rStyle w:val="FootnoteReference"/>
        </w:rPr>
        <w:footnoteRef/>
      </w:r>
      <w:r w:rsidRPr="002C79C0">
        <w:rPr>
          <w:lang w:val="en-US"/>
        </w:rPr>
        <w:t xml:space="preserve"> B. Lev, S. Sunder, </w:t>
      </w:r>
      <w:r w:rsidRPr="002C79C0">
        <w:rPr>
          <w:i/>
          <w:iCs/>
          <w:lang w:val="en-US"/>
        </w:rPr>
        <w:t>Methodological Issues in the Use of Financial Ratios</w:t>
      </w:r>
      <w:r w:rsidRPr="002C79C0">
        <w:rPr>
          <w:lang w:val="en-US"/>
        </w:rPr>
        <w:t>, „Journal of Accounting Research” 1979, vol. 17, nr 1, s. 187–210.</w:t>
      </w:r>
    </w:p>
  </w:footnote>
  <w:footnote w:id="12">
    <w:p w14:paraId="1149C619" w14:textId="77777777" w:rsidR="00930B79" w:rsidRPr="002C79C0" w:rsidRDefault="00000000">
      <w:pPr>
        <w:pStyle w:val="FootnoteText"/>
        <w:rPr>
          <w:lang w:val="en-US"/>
        </w:rPr>
      </w:pPr>
      <w:r>
        <w:rPr>
          <w:rStyle w:val="FootnoteReference"/>
        </w:rPr>
        <w:footnoteRef/>
      </w:r>
      <w:r w:rsidRPr="002C79C0">
        <w:rPr>
          <w:lang w:val="en-US"/>
        </w:rPr>
        <w:t xml:space="preserve"> U.S. Securities and Exchange Commission, </w:t>
      </w:r>
      <w:r w:rsidRPr="002C79C0">
        <w:rPr>
          <w:i/>
          <w:iCs/>
          <w:lang w:val="en-US"/>
        </w:rPr>
        <w:t>Inline XBRL – Custom Tags</w:t>
      </w:r>
      <w:r w:rsidRPr="002C79C0">
        <w:rPr>
          <w:lang w:val="en-US"/>
        </w:rPr>
        <w:t>, https://www.sec.gov/data-research/data-visualizations/inline-xbrl-custom-tags (dostęp: 25.08.2026).</w:t>
      </w:r>
    </w:p>
  </w:footnote>
  <w:footnote w:id="13">
    <w:p w14:paraId="56415A1D" w14:textId="77777777" w:rsidR="00930B79" w:rsidRPr="002C79C0" w:rsidRDefault="00000000">
      <w:pPr>
        <w:pStyle w:val="FootnoteText"/>
        <w:rPr>
          <w:lang w:val="en-US"/>
        </w:rPr>
      </w:pPr>
      <w:r>
        <w:rPr>
          <w:rStyle w:val="FootnoteReference"/>
        </w:rPr>
        <w:footnoteRef/>
      </w:r>
      <w:r w:rsidRPr="002C79C0">
        <w:rPr>
          <w:lang w:val="en-US"/>
        </w:rPr>
        <w:t xml:space="preserve"> P.M. Healy, J.M. Wahlen, </w:t>
      </w:r>
      <w:r w:rsidRPr="002C79C0">
        <w:rPr>
          <w:i/>
          <w:iCs/>
          <w:lang w:val="en-US"/>
        </w:rPr>
        <w:t>A Review of the Earnings Management Literature and Its Implications for Standard Setting</w:t>
      </w:r>
      <w:r w:rsidRPr="002C79C0">
        <w:rPr>
          <w:lang w:val="en-US"/>
        </w:rPr>
        <w:t>, „Accounting Horizons” 1999, vol. 13, nr 4, s. 365–383.</w:t>
      </w:r>
    </w:p>
  </w:footnote>
  <w:footnote w:id="14">
    <w:p w14:paraId="242AEABF" w14:textId="77777777" w:rsidR="00930B79" w:rsidRPr="002C79C0" w:rsidRDefault="00000000">
      <w:pPr>
        <w:pStyle w:val="FootnoteText"/>
        <w:rPr>
          <w:lang w:val="en-US"/>
        </w:rPr>
      </w:pPr>
      <w:r>
        <w:rPr>
          <w:rStyle w:val="FootnoteReference"/>
        </w:rPr>
        <w:footnoteRef/>
      </w:r>
      <w:r w:rsidRPr="002C79C0">
        <w:rPr>
          <w:lang w:val="en-US"/>
        </w:rPr>
        <w:t xml:space="preserve"> Public Company Accounting Oversight Board, </w:t>
      </w:r>
      <w:r w:rsidRPr="002C79C0">
        <w:rPr>
          <w:i/>
          <w:iCs/>
          <w:lang w:val="en-US"/>
        </w:rPr>
        <w:t>AS 2401: Consideration of Fraud in a Financial Statement Audit</w:t>
      </w:r>
      <w:r w:rsidRPr="002C79C0">
        <w:rPr>
          <w:lang w:val="en-US"/>
        </w:rPr>
        <w:t>.</w:t>
      </w:r>
    </w:p>
  </w:footnote>
  <w:footnote w:id="15">
    <w:p w14:paraId="1D7C5D8E" w14:textId="77777777" w:rsidR="00930B79" w:rsidRPr="002C79C0" w:rsidRDefault="00000000">
      <w:pPr>
        <w:pStyle w:val="FootnoteText"/>
        <w:rPr>
          <w:lang w:val="en-US"/>
        </w:rPr>
      </w:pPr>
      <w:r>
        <w:rPr>
          <w:rStyle w:val="FootnoteReference"/>
        </w:rPr>
        <w:footnoteRef/>
      </w:r>
      <w:r w:rsidRPr="002C79C0">
        <w:rPr>
          <w:lang w:val="en-US"/>
        </w:rPr>
        <w:t xml:space="preserve"> M.D. Beneish, </w:t>
      </w:r>
      <w:r w:rsidRPr="002C79C0">
        <w:rPr>
          <w:i/>
          <w:iCs/>
          <w:lang w:val="en-US"/>
        </w:rPr>
        <w:t>The Detection of Earnings Manipulation</w:t>
      </w:r>
      <w:r w:rsidRPr="002C79C0">
        <w:rPr>
          <w:lang w:val="en-US"/>
        </w:rPr>
        <w:t>, „Financial Analysts Journal” 1999, vol. 55, nr 5, s. 24–36.</w:t>
      </w:r>
    </w:p>
  </w:footnote>
  <w:footnote w:id="16">
    <w:p w14:paraId="471DE4F5" w14:textId="77777777" w:rsidR="00930B79" w:rsidRPr="002C79C0" w:rsidRDefault="00000000">
      <w:pPr>
        <w:pStyle w:val="FootnoteText"/>
        <w:rPr>
          <w:lang w:val="en-US"/>
        </w:rPr>
      </w:pPr>
      <w:r>
        <w:rPr>
          <w:rStyle w:val="FootnoteReference"/>
        </w:rPr>
        <w:footnoteRef/>
      </w:r>
      <w:r w:rsidRPr="002C79C0">
        <w:rPr>
          <w:lang w:val="en-US"/>
        </w:rPr>
        <w:t xml:space="preserve"> P.M. Fairfield, T.L. Yohn, </w:t>
      </w:r>
      <w:r w:rsidRPr="002C79C0">
        <w:rPr>
          <w:i/>
          <w:iCs/>
          <w:lang w:val="en-US"/>
        </w:rPr>
        <w:t>Using Asset Turnover and Profit Margin to Forecast Changes in Profitability</w:t>
      </w:r>
      <w:r w:rsidRPr="002C79C0">
        <w:rPr>
          <w:lang w:val="en-US"/>
        </w:rPr>
        <w:t>, „Review of Accounting Studies” 2001, vol. 6, s. 371–385.</w:t>
      </w:r>
    </w:p>
  </w:footnote>
  <w:footnote w:id="17">
    <w:p w14:paraId="60E552B5" w14:textId="77777777" w:rsidR="00930B79" w:rsidRPr="002C79C0" w:rsidRDefault="00000000">
      <w:pPr>
        <w:pStyle w:val="FootnoteText"/>
        <w:rPr>
          <w:lang w:val="en-US"/>
        </w:rPr>
      </w:pPr>
      <w:r>
        <w:rPr>
          <w:rStyle w:val="FootnoteReference"/>
        </w:rPr>
        <w:footnoteRef/>
      </w:r>
      <w:r w:rsidRPr="002C79C0">
        <w:rPr>
          <w:lang w:val="en-US"/>
        </w:rPr>
        <w:t xml:space="preserve"> W.H. Beaver, </w:t>
      </w:r>
      <w:r w:rsidRPr="002C79C0">
        <w:rPr>
          <w:i/>
          <w:iCs/>
          <w:lang w:val="en-US"/>
        </w:rPr>
        <w:t>Financial Ratios…</w:t>
      </w:r>
      <w:r w:rsidRPr="002C79C0">
        <w:rPr>
          <w:lang w:val="en-US"/>
        </w:rPr>
        <w:t>, dz. cyt., s. 71–111.</w:t>
      </w:r>
    </w:p>
  </w:footnote>
  <w:footnote w:id="18">
    <w:p w14:paraId="58A2E370" w14:textId="77777777" w:rsidR="00930B79" w:rsidRPr="002C79C0" w:rsidRDefault="00000000">
      <w:pPr>
        <w:pStyle w:val="FootnoteText"/>
        <w:rPr>
          <w:lang w:val="en-US"/>
        </w:rPr>
      </w:pPr>
      <w:r>
        <w:rPr>
          <w:rStyle w:val="FootnoteReference"/>
        </w:rPr>
        <w:footnoteRef/>
      </w:r>
      <w:r w:rsidRPr="002C79C0">
        <w:rPr>
          <w:lang w:val="en-US"/>
        </w:rPr>
        <w:t xml:space="preserve"> D. Nissim, S.H. Penman, </w:t>
      </w:r>
      <w:r w:rsidRPr="002C79C0">
        <w:rPr>
          <w:i/>
          <w:iCs/>
          <w:lang w:val="en-US"/>
        </w:rPr>
        <w:t>Financial Statement Analysis of Leverage and How It Informs About Profitability and Price-to-Book Ratios</w:t>
      </w:r>
      <w:r w:rsidRPr="002C79C0">
        <w:rPr>
          <w:lang w:val="en-US"/>
        </w:rPr>
        <w:t>, „Review of Accounting Studies” 2003, vol. 8, s. 531–560.</w:t>
      </w:r>
    </w:p>
  </w:footnote>
  <w:footnote w:id="19">
    <w:p w14:paraId="7BFC18EC" w14:textId="77777777" w:rsidR="00930B79" w:rsidRPr="002C79C0" w:rsidRDefault="00000000">
      <w:pPr>
        <w:pStyle w:val="FootnoteText"/>
        <w:rPr>
          <w:lang w:val="en-US"/>
        </w:rPr>
      </w:pPr>
      <w:r>
        <w:rPr>
          <w:rStyle w:val="FootnoteReference"/>
        </w:rPr>
        <w:footnoteRef/>
      </w:r>
      <w:r w:rsidRPr="002C79C0">
        <w:rPr>
          <w:lang w:val="en-US"/>
        </w:rPr>
        <w:t xml:space="preserve"> T.C. Opler, S. Titman, </w:t>
      </w:r>
      <w:r w:rsidRPr="002C79C0">
        <w:rPr>
          <w:i/>
          <w:iCs/>
          <w:lang w:val="en-US"/>
        </w:rPr>
        <w:t>Financial Distress and Corporate Performance</w:t>
      </w:r>
      <w:r w:rsidRPr="002C79C0">
        <w:rPr>
          <w:lang w:val="en-US"/>
        </w:rPr>
        <w:t>, „The Journal of Finance” 1994, vol. 49, nr 3, s. 1015–1040.</w:t>
      </w:r>
    </w:p>
  </w:footnote>
  <w:footnote w:id="20">
    <w:p w14:paraId="115522C1" w14:textId="77777777" w:rsidR="00930B79" w:rsidRPr="002C79C0" w:rsidRDefault="00000000">
      <w:pPr>
        <w:pStyle w:val="FootnoteText"/>
        <w:rPr>
          <w:lang w:val="en-US"/>
        </w:rPr>
      </w:pPr>
      <w:r>
        <w:rPr>
          <w:rStyle w:val="FootnoteReference"/>
        </w:rPr>
        <w:footnoteRef/>
      </w:r>
      <w:r w:rsidRPr="002C79C0">
        <w:rPr>
          <w:lang w:val="en-US"/>
        </w:rPr>
        <w:t xml:space="preserve"> OECD, European Union, Joint Research Centre, </w:t>
      </w:r>
      <w:r w:rsidRPr="002C79C0">
        <w:rPr>
          <w:i/>
          <w:iCs/>
          <w:lang w:val="en-US"/>
        </w:rPr>
        <w:t>Handbook on Constructing Composite Indicators: Methodology and User Guide</w:t>
      </w:r>
      <w:r w:rsidRPr="002C79C0">
        <w:rPr>
          <w:lang w:val="en-US"/>
        </w:rPr>
        <w:t>, OECD Publishing, Paris 2008.</w:t>
      </w:r>
    </w:p>
  </w:footnote>
  <w:footnote w:id="21">
    <w:p w14:paraId="0A22F3C0" w14:textId="77777777" w:rsidR="00930B79" w:rsidRPr="002C79C0" w:rsidRDefault="00000000">
      <w:pPr>
        <w:pStyle w:val="FootnoteText"/>
        <w:rPr>
          <w:lang w:val="en-US"/>
        </w:rPr>
      </w:pPr>
      <w:r>
        <w:rPr>
          <w:rStyle w:val="FootnoteReference"/>
        </w:rPr>
        <w:footnoteRef/>
      </w:r>
      <w:r w:rsidRPr="002C79C0">
        <w:rPr>
          <w:lang w:val="en-US"/>
        </w:rPr>
        <w:t xml:space="preserve"> J.D. Piotroski, </w:t>
      </w:r>
      <w:r w:rsidRPr="002C79C0">
        <w:rPr>
          <w:i/>
          <w:iCs/>
          <w:lang w:val="en-US"/>
        </w:rPr>
        <w:t>Value Investing: The Use of Historical Financial Statement Information to Separate Winners from Losers</w:t>
      </w:r>
      <w:r w:rsidRPr="002C79C0">
        <w:rPr>
          <w:lang w:val="en-US"/>
        </w:rPr>
        <w:t>, „Journal of Accounting Research” 2000, vol. 38, Supplement, s. 1–41.</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2F2C09B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0" w15:restartNumberingAfterBreak="0">
    <w:nsid w:val="38B530F5"/>
    <w:multiLevelType w:val="hybridMultilevel"/>
    <w:tmpl w:val="D7848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2D95D6B"/>
    <w:multiLevelType w:val="multilevel"/>
    <w:tmpl w:val="1CA2D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1A21CA"/>
    <w:multiLevelType w:val="hybridMultilevel"/>
    <w:tmpl w:val="0CFECA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721441179">
    <w:abstractNumId w:val="8"/>
  </w:num>
  <w:num w:numId="2" w16cid:durableId="289364409">
    <w:abstractNumId w:val="6"/>
  </w:num>
  <w:num w:numId="3" w16cid:durableId="1210536600">
    <w:abstractNumId w:val="5"/>
  </w:num>
  <w:num w:numId="4" w16cid:durableId="1846162785">
    <w:abstractNumId w:val="4"/>
  </w:num>
  <w:num w:numId="5" w16cid:durableId="362556704">
    <w:abstractNumId w:val="7"/>
  </w:num>
  <w:num w:numId="6" w16cid:durableId="951128569">
    <w:abstractNumId w:val="3"/>
  </w:num>
  <w:num w:numId="7" w16cid:durableId="884490430">
    <w:abstractNumId w:val="2"/>
  </w:num>
  <w:num w:numId="8" w16cid:durableId="893275862">
    <w:abstractNumId w:val="1"/>
  </w:num>
  <w:num w:numId="9" w16cid:durableId="626622264">
    <w:abstractNumId w:val="0"/>
  </w:num>
  <w:num w:numId="10" w16cid:durableId="635332166">
    <w:abstractNumId w:val="12"/>
  </w:num>
  <w:num w:numId="11" w16cid:durableId="623385886">
    <w:abstractNumId w:val="10"/>
  </w:num>
  <w:num w:numId="12" w16cid:durableId="881209793">
    <w:abstractNumId w:val="11"/>
  </w:num>
  <w:num w:numId="13" w16cid:durableId="19551125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1"/>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72E"/>
    <w:rsid w:val="0010172E"/>
    <w:rsid w:val="002C79C0"/>
    <w:rsid w:val="002F76A1"/>
    <w:rsid w:val="004E4201"/>
    <w:rsid w:val="005159F4"/>
    <w:rsid w:val="006669F3"/>
    <w:rsid w:val="0090390E"/>
    <w:rsid w:val="00930B79"/>
    <w:rsid w:val="00B64659"/>
    <w:rsid w:val="00DF35F6"/>
    <w:rsid w:val="00E0309C"/>
    <w:rsid w:val="00E170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260EA3CF"/>
  <w15:docId w15:val="{1D705B4C-45D9-6E41-B28B-BB2A06B0C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Times New Roman" w:eastAsia="Times New Roman" w:hAnsi="Times New Roman" w:cs="Times New Roman"/>
      <w:sz w:val="24"/>
      <w:szCs w:val="24"/>
      <w:lang w:val="pl-PL"/>
    </w:rPr>
  </w:style>
  <w:style w:type="paragraph" w:styleId="Heading1">
    <w:name w:val="heading 1"/>
    <w:basedOn w:val="Normal"/>
    <w:next w:val="Normal"/>
    <w:link w:val="Heading1Char"/>
    <w:uiPriority w:val="9"/>
    <w:qFormat/>
    <w:rsid w:val="00FC693F"/>
    <w:pPr>
      <w:keepNext/>
      <w:keepLines/>
      <w:spacing w:before="240"/>
      <w:outlineLvl w:val="0"/>
    </w:pPr>
    <w:rPr>
      <w:b/>
      <w:bCs/>
    </w:rPr>
  </w:style>
  <w:style w:type="paragraph" w:styleId="Heading2">
    <w:name w:val="heading 2"/>
    <w:basedOn w:val="Normal"/>
    <w:next w:val="Normal"/>
    <w:link w:val="Heading2Char"/>
    <w:uiPriority w:val="9"/>
    <w:unhideWhenUsed/>
    <w:qFormat/>
    <w:rsid w:val="00FC693F"/>
    <w:pPr>
      <w:keepNext/>
      <w:keepLines/>
      <w:spacing w:before="240"/>
      <w:outlineLvl w:val="1"/>
    </w:pPr>
    <w:rPr>
      <w:b/>
      <w:bCs/>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rPr>
      <w:sz w:val="20"/>
      <w:szCs w:val="20"/>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ind w:firstLine="720"/>
      <w:jc w:val="both"/>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E3138"/>
    <w:rPr>
      <w:color w:val="0000FF" w:themeColor="hyperlink"/>
      <w:u w:val="none"/>
    </w:rPr>
  </w:style>
  <w:style w:type="character" w:styleId="UnresolvedMention">
    <w:name w:val="Unresolved Mention"/>
    <w:basedOn w:val="DefaultParagraphFont"/>
    <w:uiPriority w:val="99"/>
    <w:semiHidden/>
    <w:unhideWhenUsed/>
    <w:rsid w:val="007E3138"/>
    <w:rPr>
      <w:color w:val="605E5C"/>
      <w:shd w:val="clear" w:color="auto" w:fill="E1DFDD"/>
    </w:rPr>
  </w:style>
  <w:style w:type="paragraph" w:styleId="NormalWeb">
    <w:name w:val="Normal (Web)"/>
    <w:basedOn w:val="Normal"/>
    <w:uiPriority w:val="99"/>
    <w:semiHidden/>
    <w:unhideWhenUsed/>
    <w:rsid w:val="0034196F"/>
  </w:style>
  <w:style w:type="paragraph" w:styleId="FootnoteText">
    <w:name w:val="footnote text"/>
    <w:basedOn w:val="Normal"/>
    <w:link w:val="FootnoteTextChar"/>
    <w:uiPriority w:val="99"/>
    <w:semiHidden/>
    <w:unhideWhenUsed/>
    <w:rsid w:val="00680300"/>
    <w:pPr>
      <w:spacing w:line="240" w:lineRule="auto"/>
      <w:jc w:val="both"/>
    </w:pPr>
    <w:rPr>
      <w:sz w:val="20"/>
      <w:szCs w:val="20"/>
    </w:rPr>
  </w:style>
  <w:style w:type="character" w:customStyle="1" w:styleId="FootnoteTextChar">
    <w:name w:val="Footnote Text Char"/>
    <w:basedOn w:val="DefaultParagraphFont"/>
    <w:link w:val="FootnoteText"/>
    <w:uiPriority w:val="99"/>
    <w:semiHidden/>
    <w:rsid w:val="00680300"/>
    <w:rPr>
      <w:rFonts w:ascii="Times New Roman" w:eastAsia="Times New Roman" w:hAnsi="Times New Roman"/>
      <w:sz w:val="20"/>
      <w:szCs w:val="20"/>
    </w:rPr>
  </w:style>
  <w:style w:type="character" w:styleId="FootnoteReference">
    <w:name w:val="footnote reference"/>
    <w:basedOn w:val="DefaultParagraphFont"/>
    <w:uiPriority w:val="99"/>
    <w:semiHidden/>
    <w:unhideWhenUsed/>
    <w:rsid w:val="00680300"/>
    <w:rPr>
      <w:rFonts w:ascii="Times New Roman" w:eastAsia="Times New Roman" w:hAnsi="Times New Roman" w:cs="Times New Roman"/>
      <w:sz w:val="20"/>
      <w:szCs w:val="20"/>
      <w:vertAlign w:val="superscript"/>
      <w:lang w:val="pl-PL"/>
    </w:rPr>
  </w:style>
  <w:style w:type="character" w:styleId="CommentReference">
    <w:name w:val="annotation reference"/>
    <w:basedOn w:val="DefaultParagraphFont"/>
    <w:uiPriority w:val="99"/>
    <w:semiHidden/>
    <w:unhideWhenUsed/>
    <w:rsid w:val="00C400E4"/>
    <w:rPr>
      <w:sz w:val="16"/>
      <w:szCs w:val="16"/>
    </w:rPr>
  </w:style>
  <w:style w:type="paragraph" w:styleId="CommentText">
    <w:name w:val="annotation text"/>
    <w:basedOn w:val="Normal"/>
    <w:link w:val="CommentTextChar"/>
    <w:uiPriority w:val="99"/>
    <w:semiHidden/>
    <w:unhideWhenUsed/>
    <w:rsid w:val="00C400E4"/>
    <w:pPr>
      <w:spacing w:line="240" w:lineRule="auto"/>
    </w:pPr>
    <w:rPr>
      <w:sz w:val="20"/>
      <w:szCs w:val="20"/>
    </w:rPr>
  </w:style>
  <w:style w:type="character" w:customStyle="1" w:styleId="CommentTextChar">
    <w:name w:val="Comment Text Char"/>
    <w:basedOn w:val="DefaultParagraphFont"/>
    <w:link w:val="CommentText"/>
    <w:uiPriority w:val="99"/>
    <w:semiHidden/>
    <w:rsid w:val="00C400E4"/>
    <w:rPr>
      <w:rFonts w:ascii="Times New Roman" w:eastAsia="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C400E4"/>
    <w:rPr>
      <w:b/>
      <w:bCs/>
    </w:rPr>
  </w:style>
  <w:style w:type="character" w:customStyle="1" w:styleId="CommentSubjectChar">
    <w:name w:val="Comment Subject Char"/>
    <w:basedOn w:val="CommentTextChar"/>
    <w:link w:val="CommentSubject"/>
    <w:uiPriority w:val="99"/>
    <w:semiHidden/>
    <w:rsid w:val="00C400E4"/>
    <w:rPr>
      <w:rFonts w:ascii="Times New Roman" w:eastAsia="Times New Roman" w:hAnsi="Times New Roman"/>
      <w:b/>
      <w:bCs/>
      <w:sz w:val="20"/>
      <w:szCs w:val="20"/>
    </w:rPr>
  </w:style>
  <w:style w:type="character" w:styleId="PlaceholderText">
    <w:name w:val="Placeholder Text"/>
    <w:basedOn w:val="DefaultParagraphFont"/>
    <w:uiPriority w:val="99"/>
    <w:semiHidden/>
    <w:rsid w:val="00B63687"/>
    <w:rPr>
      <w:color w:val="666666"/>
    </w:rPr>
  </w:style>
  <w:style w:type="table" w:styleId="PlainTable1">
    <w:name w:val="Plain Table 1"/>
    <w:basedOn w:val="TableNormal"/>
    <w:uiPriority w:val="99"/>
    <w:rsid w:val="00121F0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121F0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Compact">
    <w:name w:val="Compact"/>
    <w:basedOn w:val="BodyText"/>
    <w:qFormat/>
    <w:rsid w:val="00871DB2"/>
    <w:pPr>
      <w:spacing w:before="36" w:after="36"/>
      <w:ind w:firstLine="709"/>
    </w:pPr>
  </w:style>
  <w:style w:type="table" w:customStyle="1" w:styleId="Table">
    <w:name w:val="Table"/>
    <w:semiHidden/>
    <w:unhideWhenUsed/>
    <w:qFormat/>
    <w:rsid w:val="00871DB2"/>
    <w:pPr>
      <w:spacing w:line="240" w:lineRule="auto"/>
    </w:pPr>
    <w:rPr>
      <w:rFonts w:eastAsiaTheme="minorHAnsi"/>
      <w:sz w:val="24"/>
      <w:szCs w:val="24"/>
      <w:lang w:eastAsia="ko-KR"/>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77451">
      <w:bodyDiv w:val="1"/>
      <w:marLeft w:val="0"/>
      <w:marRight w:val="0"/>
      <w:marTop w:val="0"/>
      <w:marBottom w:val="0"/>
      <w:divBdr>
        <w:top w:val="none" w:sz="0" w:space="0" w:color="auto"/>
        <w:left w:val="none" w:sz="0" w:space="0" w:color="auto"/>
        <w:bottom w:val="none" w:sz="0" w:space="0" w:color="auto"/>
        <w:right w:val="none" w:sz="0" w:space="0" w:color="auto"/>
      </w:divBdr>
    </w:div>
    <w:div w:id="27067702">
      <w:bodyDiv w:val="1"/>
      <w:marLeft w:val="0"/>
      <w:marRight w:val="0"/>
      <w:marTop w:val="0"/>
      <w:marBottom w:val="0"/>
      <w:divBdr>
        <w:top w:val="none" w:sz="0" w:space="0" w:color="auto"/>
        <w:left w:val="none" w:sz="0" w:space="0" w:color="auto"/>
        <w:bottom w:val="none" w:sz="0" w:space="0" w:color="auto"/>
        <w:right w:val="none" w:sz="0" w:space="0" w:color="auto"/>
      </w:divBdr>
    </w:div>
    <w:div w:id="34545076">
      <w:bodyDiv w:val="1"/>
      <w:marLeft w:val="0"/>
      <w:marRight w:val="0"/>
      <w:marTop w:val="0"/>
      <w:marBottom w:val="0"/>
      <w:divBdr>
        <w:top w:val="none" w:sz="0" w:space="0" w:color="auto"/>
        <w:left w:val="none" w:sz="0" w:space="0" w:color="auto"/>
        <w:bottom w:val="none" w:sz="0" w:space="0" w:color="auto"/>
        <w:right w:val="none" w:sz="0" w:space="0" w:color="auto"/>
      </w:divBdr>
    </w:div>
    <w:div w:id="49497024">
      <w:bodyDiv w:val="1"/>
      <w:marLeft w:val="0"/>
      <w:marRight w:val="0"/>
      <w:marTop w:val="0"/>
      <w:marBottom w:val="0"/>
      <w:divBdr>
        <w:top w:val="none" w:sz="0" w:space="0" w:color="auto"/>
        <w:left w:val="none" w:sz="0" w:space="0" w:color="auto"/>
        <w:bottom w:val="none" w:sz="0" w:space="0" w:color="auto"/>
        <w:right w:val="none" w:sz="0" w:space="0" w:color="auto"/>
      </w:divBdr>
      <w:divsChild>
        <w:div w:id="21099588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645724">
      <w:bodyDiv w:val="1"/>
      <w:marLeft w:val="0"/>
      <w:marRight w:val="0"/>
      <w:marTop w:val="0"/>
      <w:marBottom w:val="0"/>
      <w:divBdr>
        <w:top w:val="none" w:sz="0" w:space="0" w:color="auto"/>
        <w:left w:val="none" w:sz="0" w:space="0" w:color="auto"/>
        <w:bottom w:val="none" w:sz="0" w:space="0" w:color="auto"/>
        <w:right w:val="none" w:sz="0" w:space="0" w:color="auto"/>
      </w:divBdr>
    </w:div>
    <w:div w:id="67657971">
      <w:bodyDiv w:val="1"/>
      <w:marLeft w:val="0"/>
      <w:marRight w:val="0"/>
      <w:marTop w:val="0"/>
      <w:marBottom w:val="0"/>
      <w:divBdr>
        <w:top w:val="none" w:sz="0" w:space="0" w:color="auto"/>
        <w:left w:val="none" w:sz="0" w:space="0" w:color="auto"/>
        <w:bottom w:val="none" w:sz="0" w:space="0" w:color="auto"/>
        <w:right w:val="none" w:sz="0" w:space="0" w:color="auto"/>
      </w:divBdr>
      <w:divsChild>
        <w:div w:id="18398785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340682">
      <w:bodyDiv w:val="1"/>
      <w:marLeft w:val="0"/>
      <w:marRight w:val="0"/>
      <w:marTop w:val="0"/>
      <w:marBottom w:val="0"/>
      <w:divBdr>
        <w:top w:val="none" w:sz="0" w:space="0" w:color="auto"/>
        <w:left w:val="none" w:sz="0" w:space="0" w:color="auto"/>
        <w:bottom w:val="none" w:sz="0" w:space="0" w:color="auto"/>
        <w:right w:val="none" w:sz="0" w:space="0" w:color="auto"/>
      </w:divBdr>
    </w:div>
    <w:div w:id="139270890">
      <w:bodyDiv w:val="1"/>
      <w:marLeft w:val="0"/>
      <w:marRight w:val="0"/>
      <w:marTop w:val="0"/>
      <w:marBottom w:val="0"/>
      <w:divBdr>
        <w:top w:val="none" w:sz="0" w:space="0" w:color="auto"/>
        <w:left w:val="none" w:sz="0" w:space="0" w:color="auto"/>
        <w:bottom w:val="none" w:sz="0" w:space="0" w:color="auto"/>
        <w:right w:val="none" w:sz="0" w:space="0" w:color="auto"/>
      </w:divBdr>
      <w:divsChild>
        <w:div w:id="14236470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533076">
      <w:bodyDiv w:val="1"/>
      <w:marLeft w:val="0"/>
      <w:marRight w:val="0"/>
      <w:marTop w:val="0"/>
      <w:marBottom w:val="0"/>
      <w:divBdr>
        <w:top w:val="none" w:sz="0" w:space="0" w:color="auto"/>
        <w:left w:val="none" w:sz="0" w:space="0" w:color="auto"/>
        <w:bottom w:val="none" w:sz="0" w:space="0" w:color="auto"/>
        <w:right w:val="none" w:sz="0" w:space="0" w:color="auto"/>
      </w:divBdr>
    </w:div>
    <w:div w:id="328213885">
      <w:bodyDiv w:val="1"/>
      <w:marLeft w:val="0"/>
      <w:marRight w:val="0"/>
      <w:marTop w:val="0"/>
      <w:marBottom w:val="0"/>
      <w:divBdr>
        <w:top w:val="none" w:sz="0" w:space="0" w:color="auto"/>
        <w:left w:val="none" w:sz="0" w:space="0" w:color="auto"/>
        <w:bottom w:val="none" w:sz="0" w:space="0" w:color="auto"/>
        <w:right w:val="none" w:sz="0" w:space="0" w:color="auto"/>
      </w:divBdr>
    </w:div>
    <w:div w:id="334189932">
      <w:bodyDiv w:val="1"/>
      <w:marLeft w:val="0"/>
      <w:marRight w:val="0"/>
      <w:marTop w:val="0"/>
      <w:marBottom w:val="0"/>
      <w:divBdr>
        <w:top w:val="none" w:sz="0" w:space="0" w:color="auto"/>
        <w:left w:val="none" w:sz="0" w:space="0" w:color="auto"/>
        <w:bottom w:val="none" w:sz="0" w:space="0" w:color="auto"/>
        <w:right w:val="none" w:sz="0" w:space="0" w:color="auto"/>
      </w:divBdr>
    </w:div>
    <w:div w:id="369427486">
      <w:bodyDiv w:val="1"/>
      <w:marLeft w:val="0"/>
      <w:marRight w:val="0"/>
      <w:marTop w:val="0"/>
      <w:marBottom w:val="0"/>
      <w:divBdr>
        <w:top w:val="none" w:sz="0" w:space="0" w:color="auto"/>
        <w:left w:val="none" w:sz="0" w:space="0" w:color="auto"/>
        <w:bottom w:val="none" w:sz="0" w:space="0" w:color="auto"/>
        <w:right w:val="none" w:sz="0" w:space="0" w:color="auto"/>
      </w:divBdr>
    </w:div>
    <w:div w:id="458844449">
      <w:bodyDiv w:val="1"/>
      <w:marLeft w:val="0"/>
      <w:marRight w:val="0"/>
      <w:marTop w:val="0"/>
      <w:marBottom w:val="0"/>
      <w:divBdr>
        <w:top w:val="none" w:sz="0" w:space="0" w:color="auto"/>
        <w:left w:val="none" w:sz="0" w:space="0" w:color="auto"/>
        <w:bottom w:val="none" w:sz="0" w:space="0" w:color="auto"/>
        <w:right w:val="none" w:sz="0" w:space="0" w:color="auto"/>
      </w:divBdr>
    </w:div>
    <w:div w:id="547491441">
      <w:bodyDiv w:val="1"/>
      <w:marLeft w:val="0"/>
      <w:marRight w:val="0"/>
      <w:marTop w:val="0"/>
      <w:marBottom w:val="0"/>
      <w:divBdr>
        <w:top w:val="none" w:sz="0" w:space="0" w:color="auto"/>
        <w:left w:val="none" w:sz="0" w:space="0" w:color="auto"/>
        <w:bottom w:val="none" w:sz="0" w:space="0" w:color="auto"/>
        <w:right w:val="none" w:sz="0" w:space="0" w:color="auto"/>
      </w:divBdr>
    </w:div>
    <w:div w:id="560291514">
      <w:bodyDiv w:val="1"/>
      <w:marLeft w:val="0"/>
      <w:marRight w:val="0"/>
      <w:marTop w:val="0"/>
      <w:marBottom w:val="0"/>
      <w:divBdr>
        <w:top w:val="none" w:sz="0" w:space="0" w:color="auto"/>
        <w:left w:val="none" w:sz="0" w:space="0" w:color="auto"/>
        <w:bottom w:val="none" w:sz="0" w:space="0" w:color="auto"/>
        <w:right w:val="none" w:sz="0" w:space="0" w:color="auto"/>
      </w:divBdr>
    </w:div>
    <w:div w:id="561793824">
      <w:bodyDiv w:val="1"/>
      <w:marLeft w:val="0"/>
      <w:marRight w:val="0"/>
      <w:marTop w:val="0"/>
      <w:marBottom w:val="0"/>
      <w:divBdr>
        <w:top w:val="none" w:sz="0" w:space="0" w:color="auto"/>
        <w:left w:val="none" w:sz="0" w:space="0" w:color="auto"/>
        <w:bottom w:val="none" w:sz="0" w:space="0" w:color="auto"/>
        <w:right w:val="none" w:sz="0" w:space="0" w:color="auto"/>
      </w:divBdr>
    </w:div>
    <w:div w:id="590507793">
      <w:bodyDiv w:val="1"/>
      <w:marLeft w:val="0"/>
      <w:marRight w:val="0"/>
      <w:marTop w:val="0"/>
      <w:marBottom w:val="0"/>
      <w:divBdr>
        <w:top w:val="none" w:sz="0" w:space="0" w:color="auto"/>
        <w:left w:val="none" w:sz="0" w:space="0" w:color="auto"/>
        <w:bottom w:val="none" w:sz="0" w:space="0" w:color="auto"/>
        <w:right w:val="none" w:sz="0" w:space="0" w:color="auto"/>
      </w:divBdr>
    </w:div>
    <w:div w:id="654914186">
      <w:bodyDiv w:val="1"/>
      <w:marLeft w:val="0"/>
      <w:marRight w:val="0"/>
      <w:marTop w:val="0"/>
      <w:marBottom w:val="0"/>
      <w:divBdr>
        <w:top w:val="none" w:sz="0" w:space="0" w:color="auto"/>
        <w:left w:val="none" w:sz="0" w:space="0" w:color="auto"/>
        <w:bottom w:val="none" w:sz="0" w:space="0" w:color="auto"/>
        <w:right w:val="none" w:sz="0" w:space="0" w:color="auto"/>
      </w:divBdr>
      <w:divsChild>
        <w:div w:id="1666734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6418349">
      <w:bodyDiv w:val="1"/>
      <w:marLeft w:val="0"/>
      <w:marRight w:val="0"/>
      <w:marTop w:val="0"/>
      <w:marBottom w:val="0"/>
      <w:divBdr>
        <w:top w:val="none" w:sz="0" w:space="0" w:color="auto"/>
        <w:left w:val="none" w:sz="0" w:space="0" w:color="auto"/>
        <w:bottom w:val="none" w:sz="0" w:space="0" w:color="auto"/>
        <w:right w:val="none" w:sz="0" w:space="0" w:color="auto"/>
      </w:divBdr>
    </w:div>
    <w:div w:id="759448301">
      <w:bodyDiv w:val="1"/>
      <w:marLeft w:val="0"/>
      <w:marRight w:val="0"/>
      <w:marTop w:val="0"/>
      <w:marBottom w:val="0"/>
      <w:divBdr>
        <w:top w:val="none" w:sz="0" w:space="0" w:color="auto"/>
        <w:left w:val="none" w:sz="0" w:space="0" w:color="auto"/>
        <w:bottom w:val="none" w:sz="0" w:space="0" w:color="auto"/>
        <w:right w:val="none" w:sz="0" w:space="0" w:color="auto"/>
      </w:divBdr>
    </w:div>
    <w:div w:id="760833982">
      <w:bodyDiv w:val="1"/>
      <w:marLeft w:val="0"/>
      <w:marRight w:val="0"/>
      <w:marTop w:val="0"/>
      <w:marBottom w:val="0"/>
      <w:divBdr>
        <w:top w:val="none" w:sz="0" w:space="0" w:color="auto"/>
        <w:left w:val="none" w:sz="0" w:space="0" w:color="auto"/>
        <w:bottom w:val="none" w:sz="0" w:space="0" w:color="auto"/>
        <w:right w:val="none" w:sz="0" w:space="0" w:color="auto"/>
      </w:divBdr>
    </w:div>
    <w:div w:id="909921355">
      <w:bodyDiv w:val="1"/>
      <w:marLeft w:val="0"/>
      <w:marRight w:val="0"/>
      <w:marTop w:val="0"/>
      <w:marBottom w:val="0"/>
      <w:divBdr>
        <w:top w:val="none" w:sz="0" w:space="0" w:color="auto"/>
        <w:left w:val="none" w:sz="0" w:space="0" w:color="auto"/>
        <w:bottom w:val="none" w:sz="0" w:space="0" w:color="auto"/>
        <w:right w:val="none" w:sz="0" w:space="0" w:color="auto"/>
      </w:divBdr>
    </w:div>
    <w:div w:id="979458721">
      <w:bodyDiv w:val="1"/>
      <w:marLeft w:val="0"/>
      <w:marRight w:val="0"/>
      <w:marTop w:val="0"/>
      <w:marBottom w:val="0"/>
      <w:divBdr>
        <w:top w:val="none" w:sz="0" w:space="0" w:color="auto"/>
        <w:left w:val="none" w:sz="0" w:space="0" w:color="auto"/>
        <w:bottom w:val="none" w:sz="0" w:space="0" w:color="auto"/>
        <w:right w:val="none" w:sz="0" w:space="0" w:color="auto"/>
      </w:divBdr>
    </w:div>
    <w:div w:id="1001351459">
      <w:bodyDiv w:val="1"/>
      <w:marLeft w:val="0"/>
      <w:marRight w:val="0"/>
      <w:marTop w:val="0"/>
      <w:marBottom w:val="0"/>
      <w:divBdr>
        <w:top w:val="none" w:sz="0" w:space="0" w:color="auto"/>
        <w:left w:val="none" w:sz="0" w:space="0" w:color="auto"/>
        <w:bottom w:val="none" w:sz="0" w:space="0" w:color="auto"/>
        <w:right w:val="none" w:sz="0" w:space="0" w:color="auto"/>
      </w:divBdr>
    </w:div>
    <w:div w:id="1036156701">
      <w:bodyDiv w:val="1"/>
      <w:marLeft w:val="0"/>
      <w:marRight w:val="0"/>
      <w:marTop w:val="0"/>
      <w:marBottom w:val="0"/>
      <w:divBdr>
        <w:top w:val="none" w:sz="0" w:space="0" w:color="auto"/>
        <w:left w:val="none" w:sz="0" w:space="0" w:color="auto"/>
        <w:bottom w:val="none" w:sz="0" w:space="0" w:color="auto"/>
        <w:right w:val="none" w:sz="0" w:space="0" w:color="auto"/>
      </w:divBdr>
      <w:divsChild>
        <w:div w:id="8968607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5907118">
      <w:bodyDiv w:val="1"/>
      <w:marLeft w:val="0"/>
      <w:marRight w:val="0"/>
      <w:marTop w:val="0"/>
      <w:marBottom w:val="0"/>
      <w:divBdr>
        <w:top w:val="none" w:sz="0" w:space="0" w:color="auto"/>
        <w:left w:val="none" w:sz="0" w:space="0" w:color="auto"/>
        <w:bottom w:val="none" w:sz="0" w:space="0" w:color="auto"/>
        <w:right w:val="none" w:sz="0" w:space="0" w:color="auto"/>
      </w:divBdr>
      <w:divsChild>
        <w:div w:id="9505553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4006561">
      <w:bodyDiv w:val="1"/>
      <w:marLeft w:val="0"/>
      <w:marRight w:val="0"/>
      <w:marTop w:val="0"/>
      <w:marBottom w:val="0"/>
      <w:divBdr>
        <w:top w:val="none" w:sz="0" w:space="0" w:color="auto"/>
        <w:left w:val="none" w:sz="0" w:space="0" w:color="auto"/>
        <w:bottom w:val="none" w:sz="0" w:space="0" w:color="auto"/>
        <w:right w:val="none" w:sz="0" w:space="0" w:color="auto"/>
      </w:divBdr>
    </w:div>
    <w:div w:id="1148668971">
      <w:bodyDiv w:val="1"/>
      <w:marLeft w:val="0"/>
      <w:marRight w:val="0"/>
      <w:marTop w:val="0"/>
      <w:marBottom w:val="0"/>
      <w:divBdr>
        <w:top w:val="none" w:sz="0" w:space="0" w:color="auto"/>
        <w:left w:val="none" w:sz="0" w:space="0" w:color="auto"/>
        <w:bottom w:val="none" w:sz="0" w:space="0" w:color="auto"/>
        <w:right w:val="none" w:sz="0" w:space="0" w:color="auto"/>
      </w:divBdr>
    </w:div>
    <w:div w:id="1171914878">
      <w:bodyDiv w:val="1"/>
      <w:marLeft w:val="0"/>
      <w:marRight w:val="0"/>
      <w:marTop w:val="0"/>
      <w:marBottom w:val="0"/>
      <w:divBdr>
        <w:top w:val="none" w:sz="0" w:space="0" w:color="auto"/>
        <w:left w:val="none" w:sz="0" w:space="0" w:color="auto"/>
        <w:bottom w:val="none" w:sz="0" w:space="0" w:color="auto"/>
        <w:right w:val="none" w:sz="0" w:space="0" w:color="auto"/>
      </w:divBdr>
      <w:divsChild>
        <w:div w:id="21163671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6020591">
      <w:bodyDiv w:val="1"/>
      <w:marLeft w:val="0"/>
      <w:marRight w:val="0"/>
      <w:marTop w:val="0"/>
      <w:marBottom w:val="0"/>
      <w:divBdr>
        <w:top w:val="none" w:sz="0" w:space="0" w:color="auto"/>
        <w:left w:val="none" w:sz="0" w:space="0" w:color="auto"/>
        <w:bottom w:val="none" w:sz="0" w:space="0" w:color="auto"/>
        <w:right w:val="none" w:sz="0" w:space="0" w:color="auto"/>
      </w:divBdr>
    </w:div>
    <w:div w:id="1204293283">
      <w:bodyDiv w:val="1"/>
      <w:marLeft w:val="0"/>
      <w:marRight w:val="0"/>
      <w:marTop w:val="0"/>
      <w:marBottom w:val="0"/>
      <w:divBdr>
        <w:top w:val="none" w:sz="0" w:space="0" w:color="auto"/>
        <w:left w:val="none" w:sz="0" w:space="0" w:color="auto"/>
        <w:bottom w:val="none" w:sz="0" w:space="0" w:color="auto"/>
        <w:right w:val="none" w:sz="0" w:space="0" w:color="auto"/>
      </w:divBdr>
      <w:divsChild>
        <w:div w:id="1055276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3288815">
      <w:bodyDiv w:val="1"/>
      <w:marLeft w:val="0"/>
      <w:marRight w:val="0"/>
      <w:marTop w:val="0"/>
      <w:marBottom w:val="0"/>
      <w:divBdr>
        <w:top w:val="none" w:sz="0" w:space="0" w:color="auto"/>
        <w:left w:val="none" w:sz="0" w:space="0" w:color="auto"/>
        <w:bottom w:val="none" w:sz="0" w:space="0" w:color="auto"/>
        <w:right w:val="none" w:sz="0" w:space="0" w:color="auto"/>
      </w:divBdr>
    </w:div>
    <w:div w:id="1347899320">
      <w:bodyDiv w:val="1"/>
      <w:marLeft w:val="0"/>
      <w:marRight w:val="0"/>
      <w:marTop w:val="0"/>
      <w:marBottom w:val="0"/>
      <w:divBdr>
        <w:top w:val="none" w:sz="0" w:space="0" w:color="auto"/>
        <w:left w:val="none" w:sz="0" w:space="0" w:color="auto"/>
        <w:bottom w:val="none" w:sz="0" w:space="0" w:color="auto"/>
        <w:right w:val="none" w:sz="0" w:space="0" w:color="auto"/>
      </w:divBdr>
    </w:div>
    <w:div w:id="1364476645">
      <w:bodyDiv w:val="1"/>
      <w:marLeft w:val="0"/>
      <w:marRight w:val="0"/>
      <w:marTop w:val="0"/>
      <w:marBottom w:val="0"/>
      <w:divBdr>
        <w:top w:val="none" w:sz="0" w:space="0" w:color="auto"/>
        <w:left w:val="none" w:sz="0" w:space="0" w:color="auto"/>
        <w:bottom w:val="none" w:sz="0" w:space="0" w:color="auto"/>
        <w:right w:val="none" w:sz="0" w:space="0" w:color="auto"/>
      </w:divBdr>
    </w:div>
    <w:div w:id="1379671953">
      <w:bodyDiv w:val="1"/>
      <w:marLeft w:val="0"/>
      <w:marRight w:val="0"/>
      <w:marTop w:val="0"/>
      <w:marBottom w:val="0"/>
      <w:divBdr>
        <w:top w:val="none" w:sz="0" w:space="0" w:color="auto"/>
        <w:left w:val="none" w:sz="0" w:space="0" w:color="auto"/>
        <w:bottom w:val="none" w:sz="0" w:space="0" w:color="auto"/>
        <w:right w:val="none" w:sz="0" w:space="0" w:color="auto"/>
      </w:divBdr>
    </w:div>
    <w:div w:id="1412774036">
      <w:bodyDiv w:val="1"/>
      <w:marLeft w:val="0"/>
      <w:marRight w:val="0"/>
      <w:marTop w:val="0"/>
      <w:marBottom w:val="0"/>
      <w:divBdr>
        <w:top w:val="none" w:sz="0" w:space="0" w:color="auto"/>
        <w:left w:val="none" w:sz="0" w:space="0" w:color="auto"/>
        <w:bottom w:val="none" w:sz="0" w:space="0" w:color="auto"/>
        <w:right w:val="none" w:sz="0" w:space="0" w:color="auto"/>
      </w:divBdr>
      <w:divsChild>
        <w:div w:id="3095987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0636501">
      <w:bodyDiv w:val="1"/>
      <w:marLeft w:val="0"/>
      <w:marRight w:val="0"/>
      <w:marTop w:val="0"/>
      <w:marBottom w:val="0"/>
      <w:divBdr>
        <w:top w:val="none" w:sz="0" w:space="0" w:color="auto"/>
        <w:left w:val="none" w:sz="0" w:space="0" w:color="auto"/>
        <w:bottom w:val="none" w:sz="0" w:space="0" w:color="auto"/>
        <w:right w:val="none" w:sz="0" w:space="0" w:color="auto"/>
      </w:divBdr>
    </w:div>
    <w:div w:id="1502115054">
      <w:bodyDiv w:val="1"/>
      <w:marLeft w:val="0"/>
      <w:marRight w:val="0"/>
      <w:marTop w:val="0"/>
      <w:marBottom w:val="0"/>
      <w:divBdr>
        <w:top w:val="none" w:sz="0" w:space="0" w:color="auto"/>
        <w:left w:val="none" w:sz="0" w:space="0" w:color="auto"/>
        <w:bottom w:val="none" w:sz="0" w:space="0" w:color="auto"/>
        <w:right w:val="none" w:sz="0" w:space="0" w:color="auto"/>
      </w:divBdr>
    </w:div>
    <w:div w:id="1523132885">
      <w:bodyDiv w:val="1"/>
      <w:marLeft w:val="0"/>
      <w:marRight w:val="0"/>
      <w:marTop w:val="0"/>
      <w:marBottom w:val="0"/>
      <w:divBdr>
        <w:top w:val="none" w:sz="0" w:space="0" w:color="auto"/>
        <w:left w:val="none" w:sz="0" w:space="0" w:color="auto"/>
        <w:bottom w:val="none" w:sz="0" w:space="0" w:color="auto"/>
        <w:right w:val="none" w:sz="0" w:space="0" w:color="auto"/>
      </w:divBdr>
      <w:divsChild>
        <w:div w:id="10799872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6623544">
      <w:bodyDiv w:val="1"/>
      <w:marLeft w:val="0"/>
      <w:marRight w:val="0"/>
      <w:marTop w:val="0"/>
      <w:marBottom w:val="0"/>
      <w:divBdr>
        <w:top w:val="none" w:sz="0" w:space="0" w:color="auto"/>
        <w:left w:val="none" w:sz="0" w:space="0" w:color="auto"/>
        <w:bottom w:val="none" w:sz="0" w:space="0" w:color="auto"/>
        <w:right w:val="none" w:sz="0" w:space="0" w:color="auto"/>
      </w:divBdr>
      <w:divsChild>
        <w:div w:id="7844974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3834203">
      <w:bodyDiv w:val="1"/>
      <w:marLeft w:val="0"/>
      <w:marRight w:val="0"/>
      <w:marTop w:val="0"/>
      <w:marBottom w:val="0"/>
      <w:divBdr>
        <w:top w:val="none" w:sz="0" w:space="0" w:color="auto"/>
        <w:left w:val="none" w:sz="0" w:space="0" w:color="auto"/>
        <w:bottom w:val="none" w:sz="0" w:space="0" w:color="auto"/>
        <w:right w:val="none" w:sz="0" w:space="0" w:color="auto"/>
      </w:divBdr>
      <w:divsChild>
        <w:div w:id="12371286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6667306">
      <w:bodyDiv w:val="1"/>
      <w:marLeft w:val="0"/>
      <w:marRight w:val="0"/>
      <w:marTop w:val="0"/>
      <w:marBottom w:val="0"/>
      <w:divBdr>
        <w:top w:val="none" w:sz="0" w:space="0" w:color="auto"/>
        <w:left w:val="none" w:sz="0" w:space="0" w:color="auto"/>
        <w:bottom w:val="none" w:sz="0" w:space="0" w:color="auto"/>
        <w:right w:val="none" w:sz="0" w:space="0" w:color="auto"/>
      </w:divBdr>
      <w:divsChild>
        <w:div w:id="7212924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0377726">
      <w:bodyDiv w:val="1"/>
      <w:marLeft w:val="0"/>
      <w:marRight w:val="0"/>
      <w:marTop w:val="0"/>
      <w:marBottom w:val="0"/>
      <w:divBdr>
        <w:top w:val="none" w:sz="0" w:space="0" w:color="auto"/>
        <w:left w:val="none" w:sz="0" w:space="0" w:color="auto"/>
        <w:bottom w:val="none" w:sz="0" w:space="0" w:color="auto"/>
        <w:right w:val="none" w:sz="0" w:space="0" w:color="auto"/>
      </w:divBdr>
      <w:divsChild>
        <w:div w:id="997726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8115312">
      <w:bodyDiv w:val="1"/>
      <w:marLeft w:val="0"/>
      <w:marRight w:val="0"/>
      <w:marTop w:val="0"/>
      <w:marBottom w:val="0"/>
      <w:divBdr>
        <w:top w:val="none" w:sz="0" w:space="0" w:color="auto"/>
        <w:left w:val="none" w:sz="0" w:space="0" w:color="auto"/>
        <w:bottom w:val="none" w:sz="0" w:space="0" w:color="auto"/>
        <w:right w:val="none" w:sz="0" w:space="0" w:color="auto"/>
      </w:divBdr>
    </w:div>
    <w:div w:id="1691102312">
      <w:bodyDiv w:val="1"/>
      <w:marLeft w:val="0"/>
      <w:marRight w:val="0"/>
      <w:marTop w:val="0"/>
      <w:marBottom w:val="0"/>
      <w:divBdr>
        <w:top w:val="none" w:sz="0" w:space="0" w:color="auto"/>
        <w:left w:val="none" w:sz="0" w:space="0" w:color="auto"/>
        <w:bottom w:val="none" w:sz="0" w:space="0" w:color="auto"/>
        <w:right w:val="none" w:sz="0" w:space="0" w:color="auto"/>
      </w:divBdr>
      <w:divsChild>
        <w:div w:id="1602178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5324833">
      <w:bodyDiv w:val="1"/>
      <w:marLeft w:val="0"/>
      <w:marRight w:val="0"/>
      <w:marTop w:val="0"/>
      <w:marBottom w:val="0"/>
      <w:divBdr>
        <w:top w:val="none" w:sz="0" w:space="0" w:color="auto"/>
        <w:left w:val="none" w:sz="0" w:space="0" w:color="auto"/>
        <w:bottom w:val="none" w:sz="0" w:space="0" w:color="auto"/>
        <w:right w:val="none" w:sz="0" w:space="0" w:color="auto"/>
      </w:divBdr>
      <w:divsChild>
        <w:div w:id="9757223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2461054">
      <w:bodyDiv w:val="1"/>
      <w:marLeft w:val="0"/>
      <w:marRight w:val="0"/>
      <w:marTop w:val="0"/>
      <w:marBottom w:val="0"/>
      <w:divBdr>
        <w:top w:val="none" w:sz="0" w:space="0" w:color="auto"/>
        <w:left w:val="none" w:sz="0" w:space="0" w:color="auto"/>
        <w:bottom w:val="none" w:sz="0" w:space="0" w:color="auto"/>
        <w:right w:val="none" w:sz="0" w:space="0" w:color="auto"/>
      </w:divBdr>
    </w:div>
    <w:div w:id="1807772139">
      <w:bodyDiv w:val="1"/>
      <w:marLeft w:val="0"/>
      <w:marRight w:val="0"/>
      <w:marTop w:val="0"/>
      <w:marBottom w:val="0"/>
      <w:divBdr>
        <w:top w:val="none" w:sz="0" w:space="0" w:color="auto"/>
        <w:left w:val="none" w:sz="0" w:space="0" w:color="auto"/>
        <w:bottom w:val="none" w:sz="0" w:space="0" w:color="auto"/>
        <w:right w:val="none" w:sz="0" w:space="0" w:color="auto"/>
      </w:divBdr>
      <w:divsChild>
        <w:div w:id="10790572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6292825">
      <w:bodyDiv w:val="1"/>
      <w:marLeft w:val="0"/>
      <w:marRight w:val="0"/>
      <w:marTop w:val="0"/>
      <w:marBottom w:val="0"/>
      <w:divBdr>
        <w:top w:val="none" w:sz="0" w:space="0" w:color="auto"/>
        <w:left w:val="none" w:sz="0" w:space="0" w:color="auto"/>
        <w:bottom w:val="none" w:sz="0" w:space="0" w:color="auto"/>
        <w:right w:val="none" w:sz="0" w:space="0" w:color="auto"/>
      </w:divBdr>
      <w:divsChild>
        <w:div w:id="378088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7525219">
      <w:bodyDiv w:val="1"/>
      <w:marLeft w:val="0"/>
      <w:marRight w:val="0"/>
      <w:marTop w:val="0"/>
      <w:marBottom w:val="0"/>
      <w:divBdr>
        <w:top w:val="none" w:sz="0" w:space="0" w:color="auto"/>
        <w:left w:val="none" w:sz="0" w:space="0" w:color="auto"/>
        <w:bottom w:val="none" w:sz="0" w:space="0" w:color="auto"/>
        <w:right w:val="none" w:sz="0" w:space="0" w:color="auto"/>
      </w:divBdr>
    </w:div>
    <w:div w:id="1838888117">
      <w:bodyDiv w:val="1"/>
      <w:marLeft w:val="0"/>
      <w:marRight w:val="0"/>
      <w:marTop w:val="0"/>
      <w:marBottom w:val="0"/>
      <w:divBdr>
        <w:top w:val="none" w:sz="0" w:space="0" w:color="auto"/>
        <w:left w:val="none" w:sz="0" w:space="0" w:color="auto"/>
        <w:bottom w:val="none" w:sz="0" w:space="0" w:color="auto"/>
        <w:right w:val="none" w:sz="0" w:space="0" w:color="auto"/>
      </w:divBdr>
      <w:divsChild>
        <w:div w:id="4616571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0288535">
      <w:bodyDiv w:val="1"/>
      <w:marLeft w:val="0"/>
      <w:marRight w:val="0"/>
      <w:marTop w:val="0"/>
      <w:marBottom w:val="0"/>
      <w:divBdr>
        <w:top w:val="none" w:sz="0" w:space="0" w:color="auto"/>
        <w:left w:val="none" w:sz="0" w:space="0" w:color="auto"/>
        <w:bottom w:val="none" w:sz="0" w:space="0" w:color="auto"/>
        <w:right w:val="none" w:sz="0" w:space="0" w:color="auto"/>
      </w:divBdr>
    </w:div>
    <w:div w:id="1924072047">
      <w:bodyDiv w:val="1"/>
      <w:marLeft w:val="0"/>
      <w:marRight w:val="0"/>
      <w:marTop w:val="0"/>
      <w:marBottom w:val="0"/>
      <w:divBdr>
        <w:top w:val="none" w:sz="0" w:space="0" w:color="auto"/>
        <w:left w:val="none" w:sz="0" w:space="0" w:color="auto"/>
        <w:bottom w:val="none" w:sz="0" w:space="0" w:color="auto"/>
        <w:right w:val="none" w:sz="0" w:space="0" w:color="auto"/>
      </w:divBdr>
    </w:div>
    <w:div w:id="1937052035">
      <w:bodyDiv w:val="1"/>
      <w:marLeft w:val="0"/>
      <w:marRight w:val="0"/>
      <w:marTop w:val="0"/>
      <w:marBottom w:val="0"/>
      <w:divBdr>
        <w:top w:val="none" w:sz="0" w:space="0" w:color="auto"/>
        <w:left w:val="none" w:sz="0" w:space="0" w:color="auto"/>
        <w:bottom w:val="none" w:sz="0" w:space="0" w:color="auto"/>
        <w:right w:val="none" w:sz="0" w:space="0" w:color="auto"/>
      </w:divBdr>
    </w:div>
    <w:div w:id="2067752624">
      <w:bodyDiv w:val="1"/>
      <w:marLeft w:val="0"/>
      <w:marRight w:val="0"/>
      <w:marTop w:val="0"/>
      <w:marBottom w:val="0"/>
      <w:divBdr>
        <w:top w:val="none" w:sz="0" w:space="0" w:color="auto"/>
        <w:left w:val="none" w:sz="0" w:space="0" w:color="auto"/>
        <w:bottom w:val="none" w:sz="0" w:space="0" w:color="auto"/>
        <w:right w:val="none" w:sz="0" w:space="0" w:color="auto"/>
      </w:divBdr>
    </w:div>
    <w:div w:id="2086799555">
      <w:bodyDiv w:val="1"/>
      <w:marLeft w:val="0"/>
      <w:marRight w:val="0"/>
      <w:marTop w:val="0"/>
      <w:marBottom w:val="0"/>
      <w:divBdr>
        <w:top w:val="none" w:sz="0" w:space="0" w:color="auto"/>
        <w:left w:val="none" w:sz="0" w:space="0" w:color="auto"/>
        <w:bottom w:val="none" w:sz="0" w:space="0" w:color="auto"/>
        <w:right w:val="none" w:sz="0" w:space="0" w:color="auto"/>
      </w:divBdr>
    </w:div>
    <w:div w:id="2106613958">
      <w:bodyDiv w:val="1"/>
      <w:marLeft w:val="0"/>
      <w:marRight w:val="0"/>
      <w:marTop w:val="0"/>
      <w:marBottom w:val="0"/>
      <w:divBdr>
        <w:top w:val="none" w:sz="0" w:space="0" w:color="auto"/>
        <w:left w:val="none" w:sz="0" w:space="0" w:color="auto"/>
        <w:bottom w:val="none" w:sz="0" w:space="0" w:color="auto"/>
        <w:right w:val="none" w:sz="0" w:space="0" w:color="auto"/>
      </w:divBdr>
    </w:div>
    <w:div w:id="2128087942">
      <w:bodyDiv w:val="1"/>
      <w:marLeft w:val="0"/>
      <w:marRight w:val="0"/>
      <w:marTop w:val="0"/>
      <w:marBottom w:val="0"/>
      <w:divBdr>
        <w:top w:val="none" w:sz="0" w:space="0" w:color="auto"/>
        <w:left w:val="none" w:sz="0" w:space="0" w:color="auto"/>
        <w:bottom w:val="none" w:sz="0" w:space="0" w:color="auto"/>
        <w:right w:val="none" w:sz="0" w:space="0" w:color="auto"/>
      </w:divBdr>
    </w:div>
    <w:div w:id="2142918283">
      <w:bodyDiv w:val="1"/>
      <w:marLeft w:val="0"/>
      <w:marRight w:val="0"/>
      <w:marTop w:val="0"/>
      <w:marBottom w:val="0"/>
      <w:divBdr>
        <w:top w:val="none" w:sz="0" w:space="0" w:color="auto"/>
        <w:left w:val="none" w:sz="0" w:space="0" w:color="auto"/>
        <w:bottom w:val="none" w:sz="0" w:space="0" w:color="auto"/>
        <w:right w:val="none" w:sz="0" w:space="0" w:color="auto"/>
      </w:divBdr>
      <w:divsChild>
        <w:div w:id="17781396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9</Pages>
  <Words>2817</Words>
  <Characters>16061</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Rozdział 1. Ryzyko finansowo-sprawozdawcze przedsiębiorstw</dc:title>
  <dc:subject>Teoretyczne podstawy rozpoznawania pogorszenia kondycji finansowej</dc:subject>
  <dc:creator>Oskar Stachowski</dc:creator>
  <cp:keywords/>
  <cp:lastModifiedBy>Oskar Stachowski</cp:lastModifiedBy>
  <cp:revision>2</cp:revision>
  <dcterms:created xsi:type="dcterms:W3CDTF">2026-08-25T08:58:00Z</dcterms:created>
  <dcterms:modified xsi:type="dcterms:W3CDTF">2026-08-25T08:58:00Z</dcterms:modified>
</cp:coreProperties>
</file>