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14177" w14:textId="77777777" w:rsidR="0010172E" w:rsidRDefault="00000000">
      <w:pPr>
        <w:pStyle w:val="Heading1"/>
      </w:pPr>
      <w:bookmarkStart w:id="0" w:name="X6c3cd231952a9416f35293c43c7b8161d1bc9d6"/>
      <w:r>
        <w:t>Rozdział 1. Ryzyko finansowo-sprawozdawcze przedsiębiorstw</w:t>
      </w:r>
    </w:p>
    <w:p w14:paraId="6A8932BE" w14:textId="77777777" w:rsidR="0010172E" w:rsidRDefault="00000000">
      <w:pPr>
        <w:pStyle w:val="BodyText"/>
      </w:pPr>
      <w:r>
        <w:t>Ryzyko finansowo-sprawozdawcze jest w niniejszej pracy kategorią analityczną obejmującą dwa powiązane, lecz nierównoznaczne wymiary. Pierwszy z nich dotyczy możliwości pogorszenia kondycji finansowej przedsiębiorstwa, ujawniającego się w osłabieniu rentowności, płynności, wypłacalności lub sprawności operacyjnej. Drugi odnosi się do jakości informacji, na podstawie której kondycja ta jest oceniana. Rozróżnienie tych wymiarów ma znaczenie metodologiczne: niekorzystna zmiana wskaźników nie jest równoznaczna z bankructwem, a nietypowa relacja między pozycjami sprawozdania nie stanowi sama w sobie dowodu manipulacji. W obu przypadkach dane finansowe dostarczają sygnałów ryzyka, które wymagają interpretacji w kontekście czasu, branży i przyjętych zasad rachunkowości.</w:t>
      </w:r>
    </w:p>
    <w:p w14:paraId="2C6C8BED" w14:textId="77777777" w:rsidR="0010172E" w:rsidRDefault="00000000">
      <w:pPr>
        <w:pStyle w:val="BodyText"/>
      </w:pPr>
      <w:r>
        <w:t xml:space="preserve">Celem rozdziału jest zbudowanie podstaw pojęciowych dla problemu predykcyjnego rozwijanego w dalszej części pracy. W podrozdziale 1.1 omówiono kondycję finansową jako stan wielowymiarowy oraz odróżniono jej pogorszenie od trudności finansowych, niewypłacalności i formalnej upadłości. Podrozdział 1.2 porządkuje pojęcia jakości sprawozdawczości, kształtowania wyniku, istotnego zniekształcenia i oszustwa sprawozdawczego. Podrozdział 1.3 przedstawia funkcję wskaźników finansowych jako cech opisujących spółkę w określonym roku oraz uzasadnia wykorzystanie informacji z okresu </w:t>
      </w:r>
      <w:r>
        <w:rPr>
          <w:i/>
          <w:iCs/>
        </w:rPr>
        <w:t>t</w:t>
      </w:r>
      <w:r>
        <w:t xml:space="preserve"> do klasyfikacji ryzyka pogorszenia kondycji w okresie </w:t>
      </w:r>
      <w:r>
        <w:rPr>
          <w:i/>
          <w:iCs/>
        </w:rPr>
        <w:t>t+1</w:t>
      </w:r>
      <w:r>
        <w:t>. Szczegółowa konstrukcja etykiety, progi decyzyjne i warianty analizy wrażliwości należą do rozdziału metodologicznego.</w:t>
      </w:r>
    </w:p>
    <w:p w14:paraId="5B40C1F6" w14:textId="77777777" w:rsidR="0010172E" w:rsidRDefault="00000000">
      <w:pPr>
        <w:pStyle w:val="Heading2"/>
      </w:pPr>
      <w:bookmarkStart w:id="1" w:name="X01f3156d73aad55194a987b8a953cd35890d8c7"/>
      <w:r>
        <w:t>1.1. Kondycja finansowa przedsiębiorstwa i ryzyko jej pogorszenia</w:t>
      </w:r>
    </w:p>
    <w:p w14:paraId="5E5DE36A" w14:textId="77777777" w:rsidR="0010172E" w:rsidRDefault="00000000">
      <w:pPr>
        <w:pStyle w:val="BodyText"/>
      </w:pPr>
      <w:r>
        <w:t>Kondycja finansowa przedsiębiorstwa nie jest wielkością obserwowalną bezpośrednio ani właściwością, którą można wiarygodnie opisać pojedynczym wskaźnikiem. Oznacza zdolność podmiotu do kontynuowania działalności, terminowego wykonywania zobowiązań, finansowania potrzeb operacyjnych i rozwojowych oraz generowania wyników i przepływów pieniężnych odpowiadających ponoszonemu ryzyku. Rachunkowość dostarcza podstawowych danych do takiej oceny,</w:t>
      </w:r>
      <w:r>
        <w:rPr>
          <w:rStyle w:val="FootnoteReference"/>
        </w:rPr>
        <w:footnoteReference w:id="1"/>
      </w:r>
      <w:r>
        <w:t xml:space="preserve"> jednak jej wiarygodność zależy zarówno od jakości sprawozdania, jak i od metodologii analizy. Identyczny poziom wskaźnika może mieć odmienne znaczenie w przedsiębiorstwach różniących się skalą, branżą, modelem biznesowym, fazą cyklu życia lub dostępem do finansowania.</w:t>
      </w:r>
    </w:p>
    <w:p w14:paraId="52EA4CAC" w14:textId="77777777" w:rsidR="0010172E" w:rsidRDefault="00000000">
      <w:pPr>
        <w:pStyle w:val="BodyText"/>
      </w:pPr>
      <w:r>
        <w:lastRenderedPageBreak/>
        <w:t>W analizie kondycji można wyróżnić co najmniej pięć powiązanych wymiarów: płynność, rentowność, zadłużenie i wypłacalność długoterminową, sprawność operacyjną oraz zdolność do generowania gotówki. Płynność dotyczy możliwości obsługi zobowiązań w krótkim okresie, podczas gdy dodatni wynik księgowy nie gwarantuje odpowiednich wpływów pieniężnych. Wysoka rentowność może współistnieć z nadmierną dźwignią, a poprawa rotacji zapasów może wynikać zarówno z większej efektywności, jak i z ograniczenia zasobów potrzebnych do utrzymania sprzedaży. Ocena wymaga więc łącznego odczytania wielkości zasobowych z bilansu, strumieni z rachunku zysków i strat oraz rachunku przepływów pieniężnych, a także zmian tych wielkości w czasie.</w:t>
      </w:r>
      <w:r>
        <w:rPr>
          <w:rStyle w:val="FootnoteReference"/>
        </w:rPr>
        <w:footnoteReference w:id="2"/>
      </w:r>
      <w:r>
        <w:t xml:space="preserve"> Wielowymiarowość nie oznacza prostego sumowania wskaźników, lecz badanie, czy tworzą one spójny obraz zdolności przedsiębiorstwa do absorpcji zakłóceń.</w:t>
      </w:r>
    </w:p>
    <w:p w14:paraId="018C434C" w14:textId="77777777" w:rsidR="0010172E" w:rsidRDefault="00000000">
      <w:pPr>
        <w:pStyle w:val="BodyText"/>
      </w:pPr>
      <w:r>
        <w:t xml:space="preserve">Ryzyko pogorszenia kondycji trzeba odróżnić od jej niskiego poziomu. Pierwsze pojęcie ma charakter prospektywny i oznacza możliwość niekorzystnego przejścia między stanem w chwili </w:t>
      </w:r>
      <w:r>
        <w:rPr>
          <w:i/>
          <w:iCs/>
        </w:rPr>
        <w:t>t</w:t>
      </w:r>
      <w:r>
        <w:t xml:space="preserve"> a stanem późniejszym; drugie jest oceną przekrojową. Spółka o słabych, lecz poprawiających się parametrach może mieć inny profil ryzyka niż nadal rentowny podmiot, u którego szybko maleją marże i płynność. Pogorszenie może być przejściowe, na przykład wskutek jednorazowego spadku popytu, albo utrwalone, gdy jednocześnie słabnie rentowność, rośnie obciążenie zobowiązaniami i kurczy się bufor płynności. O istotności zmiany nie powinno więc przesądzać przekroczenie jednego uniwersalnego progu.</w:t>
      </w:r>
    </w:p>
    <w:p w14:paraId="7CFE61CB" w14:textId="77777777" w:rsidR="0010172E" w:rsidRDefault="00000000">
      <w:pPr>
        <w:pStyle w:val="BodyText"/>
      </w:pPr>
      <w:r>
        <w:t>Pogarszanie się kondycji tworzy kontinuum, którego punktami są osłabienie wyników lub buforów finansowych, trudności finansowe, niewypłacalność i ewentualna upadłość. Kategorie te nie są synonimami. Beaver definiował niepowodzenie przez utratę zdolności regulowania zobowiązań w terminie, a jego próba obejmowała kilka obserwowalnych zdarzeń, między innymi bankructwo i niewykonanie zobowiązań.</w:t>
      </w:r>
      <w:r>
        <w:rPr>
          <w:rStyle w:val="FootnoteReference"/>
        </w:rPr>
        <w:footnoteReference w:id="3"/>
      </w:r>
      <w:r>
        <w:t xml:space="preserve"> W niniejszej pracy niewypłacalność ekonomiczna oznacza utratę zdolności terminowego wykonywania wymagalnych zobowiązań, natomiast upadłość jest formalnym zdarzeniem prawnym, którego przesłanki zależą od jurysdykcji. </w:t>
      </w:r>
      <w:r>
        <w:rPr>
          <w:i/>
          <w:iCs/>
        </w:rPr>
        <w:t>Financial distress</w:t>
      </w:r>
      <w:r>
        <w:t xml:space="preserve"> jest kategorią szerszą: może opisywać stan wymagający renegocjacji finansowania, sprzedaży aktywów lub restrukturyzacji, mimo że podmiot nie wszedł w formalne postępowanie. Platt i Platt wykazali, że czynniki </w:t>
      </w:r>
      <w:r>
        <w:lastRenderedPageBreak/>
        <w:t>prognozujące trudności finansowe i bankructwo tylko częściowo się pokrywają,</w:t>
      </w:r>
      <w:r>
        <w:rPr>
          <w:rStyle w:val="FootnoteReference"/>
        </w:rPr>
        <w:footnoteReference w:id="4"/>
      </w:r>
      <w:r>
        <w:t xml:space="preserve"> co podważa traktowanie bankructwa jako bezpośredniego pomiaru wcześniejszego osłabienia. Z kolei poważna wątpliwość dotycząca kontynuacji działalności jest kategorią audytową odnoszącą się do zdolności zaspokajania zobowiązań przez rozsądny okres, a nie orzeczeniem przyszłej upadłości.</w:t>
      </w:r>
      <w:r>
        <w:rPr>
          <w:rStyle w:val="FootnoteReference"/>
        </w:rPr>
        <w:footnoteReference w:id="5"/>
      </w:r>
    </w:p>
    <w:p w14:paraId="45FAA8E0" w14:textId="77777777" w:rsidR="0010172E" w:rsidRDefault="00000000">
      <w:pPr>
        <w:pStyle w:val="BodyText"/>
      </w:pPr>
      <w:r>
        <w:t>Kontinuum nie jest jednokierunkowe. Przedsiębiorstwo może odzyskać stabilność dzięki dokapitalizowaniu, zmianie modelu operacyjnego, renegocjacji długu lub poprawie otoczenia; podmiot pozornie bezpieczny może natomiast szybko utracić płynność po przerwaniu finansowania. Brak zdarzenia końcowego nie dowodzi dobrej kondycji, ponieważ może również oznaczać skuteczną interwencję albo długotrwałe ograniczanie inwestycji i sprzedaż aktywów. Funkcją systemu wczesnego ostrzegania jest ujawnienie pogarszającej się sytuacji z wyprzedzeniem wystarczającym do podjęcia decyzji, nie zaś dostarczenie pewnej prognozy upadłości.</w:t>
      </w:r>
      <w:r>
        <w:rPr>
          <w:rStyle w:val="FootnoteReference"/>
        </w:rPr>
        <w:footnoteReference w:id="6"/>
      </w:r>
      <w:r>
        <w:t xml:space="preserve"> Dla zarządu sygnał ma umożliwić działanie naprawcze, wierzycielom służy do oceny obsługi długu, a inwestorom — do oszacowania ryzyka kapitału.</w:t>
      </w:r>
    </w:p>
    <w:p w14:paraId="361FDCDC" w14:textId="77777777" w:rsidR="0010172E" w:rsidRDefault="00000000" w:rsidP="00DF35F6">
      <w:pPr>
        <w:pStyle w:val="BodyText"/>
      </w:pPr>
      <w:r>
        <w:t>Koszty błędnej klasyfikacji zależą od zastosowania. Fałszywie negatywny wynik może opóźnić reakcję zarządu albo zwiększyć stratę wierzyciela, natomiast fałszywie dodatni sygnał może prowadzić do nieuzasadnionego ograniczenia kredytu lub kosztownej restrukturyzacji. Próg alarmu nie jest optymalny niezależnie od odbiorcy, a ocena rocznego ryzyka pogorszenia służy innej decyzji niż ocena wieloletniego ryzyka formalnej upadłości. Użyteczny system powinien wskazywać horyzont, moment dostępności informacji i znaczenie klasy pozytywnej, a jego wynik przedstawiać jako sygnał obarczony niepewnością. Poza trafnością znaczenie mają stabilność wyniku i możliwość powiązania alarmu z ekonomicznymi przesłankami.</w:t>
      </w:r>
    </w:p>
    <w:p w14:paraId="7F68C34D" w14:textId="77777777" w:rsidR="0010172E" w:rsidRDefault="00000000">
      <w:pPr>
        <w:pStyle w:val="BodyText"/>
      </w:pPr>
      <w:r>
        <w:t>Ilościowy nurt wczesnego ostrzegania rozwinął się z analizy wskaźnikowej. Beaver badał oddzielnie trajektorie trzydziestu relacji finansowych i pokazał, że ich zdolność sygnalizacyjna jest zróżnicowana; szczególnie informacyjne były miary łączące przepływy pieniężne z zadłużeniem.</w:t>
      </w:r>
      <w:r>
        <w:rPr>
          <w:rStyle w:val="FootnoteReference"/>
        </w:rPr>
        <w:footnoteReference w:id="7"/>
      </w:r>
      <w:r>
        <w:t xml:space="preserve"> Podejście jednowymiarowe nie uwzględniało jednak współzależności między płynnością, rentownością i strukturą finansowania. Altman </w:t>
      </w:r>
      <w:r>
        <w:lastRenderedPageBreak/>
        <w:t>odpowiedział na to ograniczenie, wykorzystując wielowymiarową analizę dyskryminacyjną i łącząc pięć wskaźników w Z-score.</w:t>
      </w:r>
      <w:r>
        <w:rPr>
          <w:rStyle w:val="FootnoteReference"/>
        </w:rPr>
        <w:footnoteReference w:id="8"/>
      </w:r>
      <w:r>
        <w:t xml:space="preserve"> Oryginalny model oszacowano na sparowanej próbie 66 amerykańskich przedsiębiorstw produkcyjnych, z których połowa ogłosiła upadłość. Jego współczynniki i granice klas odzwierciedlały konkretną próbę, okres, sektor i definicję zdarzenia; rozwój rodziny modeli Z wskazuje na potrzebę dostosowania wariantu modelu i jego progów do populacji oraz celu zastosowania.</w:t>
      </w:r>
      <w:r>
        <w:rPr>
          <w:rStyle w:val="FootnoteReference"/>
        </w:rPr>
        <w:footnoteReference w:id="9"/>
      </w:r>
    </w:p>
    <w:p w14:paraId="711969F0" w14:textId="77777777" w:rsidR="0010172E" w:rsidRDefault="00000000">
      <w:pPr>
        <w:pStyle w:val="BodyText"/>
      </w:pPr>
      <w:r>
        <w:t>Ohlson przeniósł problem na grunt modelu logitowego, pozwalającego oszacować warunkowe prawdopodobieństwo bankructwa zamiast ograniczać wynik do liniowej funkcji dyskryminacyjnej.</w:t>
      </w:r>
      <w:r>
        <w:rPr>
          <w:rStyle w:val="FootnoteReference"/>
        </w:rPr>
        <w:footnoteReference w:id="10"/>
      </w:r>
      <w:r>
        <w:t xml:space="preserve"> Probabilistyczna postać ułatwia dostosowanie progu decyzji do kosztów błędów, ale nie usuwa zależności od sposobu zdefiniowania klasy pozytywnej ani od chwili faktycznej dostępności sprawozdania. Shumway ujął natomiast bankructwo jako zdarzenie w dyskretnym modelu hazardu: spółka jest reprezentowana przez kolejne obserwacje typu spółka–rok aż do zdarzenia albo końca okresu obserwacji,</w:t>
      </w:r>
      <w:r>
        <w:rPr>
          <w:rStyle w:val="FootnoteReference"/>
        </w:rPr>
        <w:footnoteReference w:id="11"/>
      </w:r>
      <w:r>
        <w:t xml:space="preserve"> dzięki czemu model wykorzystuje zmienność cech w czasie i uwzględnia warunkowe przetrwanie. Wykazał przy tym wartość predykcyjną informacji rynkowych obok danych księgowych, co wyznacza ograniczenie analiz opartych wyłącznie na sprawozdaniach.</w:t>
      </w:r>
    </w:p>
    <w:p w14:paraId="77021DE3" w14:textId="77777777" w:rsidR="0010172E" w:rsidRDefault="00000000">
      <w:pPr>
        <w:pStyle w:val="BodyText"/>
      </w:pPr>
      <w:r>
        <w:t>Każda z tych metod zależy od jakości projektu badania. Selekcja przedsiębiorstw posiadających kompletne dane oraz sztuczne zrównoważenie liczby przypadków upadłych i nieupadłych mogą obciążać estymację prawdopodobieństw,</w:t>
      </w:r>
      <w:r>
        <w:rPr>
          <w:rStyle w:val="FootnoteReference"/>
        </w:rPr>
        <w:footnoteReference w:id="12"/>
      </w:r>
      <w:r>
        <w:t xml:space="preserve"> a relacje ustalone w jednej próbie nie muszą pozostać stabilne po zmianie koniunktury, zasad rachunkowości lub struktury sektorowej. Klasyczne modele statyczne opisują sytuację w określonej dacie, podczas gdy pogorszenie jest procesem. Przegląd Balcaen i Ooghe wskazuje ponadto na niejednorodne definicje niepowodzenia, niestacjonarność danych, problemy doboru </w:t>
      </w:r>
      <w:r>
        <w:lastRenderedPageBreak/>
        <w:t>zmiennych i pomijanie wymiaru czasu.</w:t>
      </w:r>
      <w:r>
        <w:rPr>
          <w:rStyle w:val="FootnoteReference"/>
        </w:rPr>
        <w:footnoteReference w:id="13"/>
      </w:r>
      <w:r>
        <w:t xml:space="preserve"> Syntetyczny wynik pozostaje narzędziem przesiewowym, nie zaś rozstrzygającą diagnozą.</w:t>
      </w:r>
    </w:p>
    <w:p w14:paraId="2741777D" w14:textId="77777777" w:rsidR="0010172E" w:rsidRDefault="00000000">
      <w:pPr>
        <w:pStyle w:val="BodyText"/>
      </w:pPr>
      <w:r>
        <w:t xml:space="preserve">Na potrzeby części empirycznej ryzyko zostanie zoperacjonalizowane prospektywnie: informacje ze sprawozdania za rok </w:t>
      </w:r>
      <w:r>
        <w:rPr>
          <w:i/>
          <w:iCs/>
        </w:rPr>
        <w:t>t</w:t>
      </w:r>
      <w:r>
        <w:t xml:space="preserve"> posłużą do klasyfikacji tego, czy w roku </w:t>
      </w:r>
      <w:r>
        <w:rPr>
          <w:i/>
          <w:iCs/>
        </w:rPr>
        <w:t>t+1</w:t>
      </w:r>
      <w:r>
        <w:t xml:space="preserve"> nastąpi istotne, wielowymiarowe pogorszenie kondycji. Etykieta będzie obserwowalnym przybliżeniem konstruktu latentnego i powinna wymagać zgodnych niekorzystnych zmian w więcej niż jednym obszarze, aby ograniczyć wpływ jednorazowego wahania pojedynczej miary. Nie będzie oznaczała oszustwa, niewypłacalności ani formalnej upadłości. Dobór wskaźników, sposób pomiaru zmian i wartości progowe zostaną określone w rozdziale metodologicznym oraz poddane analizie wrażliwości, przy ścisłym rozdzieleniu informacji z okresu </w:t>
      </w:r>
      <w:r>
        <w:rPr>
          <w:i/>
          <w:iCs/>
        </w:rPr>
        <w:t>t</w:t>
      </w:r>
      <w:r>
        <w:t xml:space="preserve"> od rezultatu obserwowanego w </w:t>
      </w:r>
      <w:r>
        <w:rPr>
          <w:i/>
          <w:iCs/>
        </w:rPr>
        <w:t>t+1</w:t>
      </w:r>
      <w:r>
        <w:t>.</w:t>
      </w:r>
    </w:p>
    <w:p w14:paraId="1591D127" w14:textId="77777777" w:rsidR="0010172E" w:rsidRDefault="00000000">
      <w:pPr>
        <w:pStyle w:val="Heading2"/>
      </w:pPr>
      <w:bookmarkStart w:id="2" w:name="X987f1c9e5c4614d2e31649a77651b6095114214"/>
      <w:bookmarkEnd w:id="1"/>
      <w:r>
        <w:t>1.2. Jakość sprawozdawczości finansowej i manipulacja wynikiem finansowym</w:t>
      </w:r>
    </w:p>
    <w:p w14:paraId="1611775F" w14:textId="77777777" w:rsidR="0010172E" w:rsidRDefault="00000000">
      <w:pPr>
        <w:pStyle w:val="BodyText"/>
      </w:pPr>
      <w:r>
        <w:t>Ponieważ etykieta i predyktory powstają z danych sprawozdawczych, jakość raportu wpływa zarówno na pomiar kondycji, jak i na wiarygodność sygnału predykcyjnego. Ze względu na populację emitentów objętych nadzorem SEC dalsze odniesienia regulacyjne dotyczą przede wszystkim U.S. GAAP i instytucji amerykańskich; nie należy ich automatycznie przenosić na reżim MSSF ani inne porządki prawne. Jakość sprawozdawczości finansowej trzeba oceniać przez pryzmat użyteczności informacji dla jej odbiorców, a nie wyłącznie formalnej zgodności dokumentu z regułami rachunkowości. Zgodnie z ramami koncepcyjnymi FASB informacja użyteczna powinna być jednocześnie przydatna oraz wiernie przedstawiać zjawisko ekonomiczne, którego dotyczy.</w:t>
      </w:r>
      <w:r>
        <w:rPr>
          <w:rStyle w:val="FootnoteReference"/>
        </w:rPr>
        <w:footnoteReference w:id="14"/>
      </w:r>
      <w:r>
        <w:t xml:space="preserve"> Przydatność oznacza zdolność informacji do wpływania na decyzje dzięki wartości prognostycznej lub potwierdzającej. Wierna prezentacja wymaga natomiast kompletności, neutralności i braku błędów w procesie opisu. W konsekwencji wysoka jakość sprawozdawczości nie jest cechą jednego wskaźnika, lecz relacją między wynikami księgowymi, rzeczywistą działalnością przedsiębiorstwa i konkretnym zastosowaniem informacji.</w:t>
      </w:r>
    </w:p>
    <w:p w14:paraId="371D45D0" w14:textId="77777777" w:rsidR="0010172E" w:rsidRDefault="00000000">
      <w:pPr>
        <w:pStyle w:val="BodyText"/>
      </w:pPr>
      <w:r>
        <w:t xml:space="preserve">Takie ujęcie pozwala odróżnić jakość sprawozdawczości od węższego pojęcia jakości wyniku finansowego. Wynik jest wysokiej jakości wtedy, gdy dostarcza informacji przydatnej </w:t>
      </w:r>
      <w:r>
        <w:lastRenderedPageBreak/>
        <w:t>w określonej decyzji, między innymi przy prognozowaniu przepływów pieniężnych albo ocenie trwałości rentowności.</w:t>
      </w:r>
      <w:r>
        <w:rPr>
          <w:rStyle w:val="FootnoteReference"/>
        </w:rPr>
        <w:footnoteReference w:id="15"/>
      </w:r>
      <w:r>
        <w:t xml:space="preserve"> Nie istnieje zatem uniwersalna miara jakości wyniku, właściwa niezależnie od celu analizy. Rachunkowość memoriałowa poprawia dopasowanie przychodów i kosztów do okresów, w których powstają ich skutki ekonomiczne, ale równocześnie wymaga szacowania rezerw, odpisów, okresów użytkowania aktywów czy prawdopodobieństwa odzyskania należności. Obecność szacunków nie przeczy wiernej prezentacji: brak błędów nie oznacza bezwzględnej dokładności każdej wartości szacunkowej, lecz prawidłowy dobór i zastosowanie procesu pomiaru oraz przejrzyste ujawnienie jego ograniczeń.</w:t>
      </w:r>
      <w:r>
        <w:rPr>
          <w:rStyle w:val="FootnoteReference"/>
        </w:rPr>
        <w:footnoteReference w:id="16"/>
      </w:r>
    </w:p>
    <w:p w14:paraId="790C0F48" w14:textId="77777777" w:rsidR="0010172E" w:rsidRDefault="00000000">
      <w:pPr>
        <w:pStyle w:val="BodyText"/>
      </w:pPr>
      <w:r>
        <w:t>Składniki memoriałowe wyniku pełnią zatem podwójną funkcję. Korygują niedopasowanie czasowe przepływów pieniężnych i działalności ekonomicznej, dzięki czemu wynik okresu może być bardziej informacyjny niż same przepływy pieniężne; jednocześnie przenoszą do wyniku błędy szacunku. Dechow i Dichev wiążą jakość krótkoterminowych składników memoriałowych kapitału obrotowego z ich powiązaniem z przeszłymi, bieżącymi i przyszłymi przepływami pieniężnymi,</w:t>
      </w:r>
      <w:r>
        <w:rPr>
          <w:rStyle w:val="FootnoteReference"/>
        </w:rPr>
        <w:footnoteReference w:id="17"/>
      </w:r>
      <w:r>
        <w:t xml:space="preserve"> lecz model ten nie pozwala pewnie rozdzielić błędu niezamierzonego od celowego działania kierownictwa. Niska jakość składników memoriałowych może więc wynikać z trudnych warunków operacyjnych i dużej niepewności pomiaru, a nie z manipulacji.</w:t>
      </w:r>
    </w:p>
    <w:p w14:paraId="1A93E336" w14:textId="074CEC72" w:rsidR="0010172E" w:rsidRDefault="00000000" w:rsidP="00DF35F6">
      <w:pPr>
        <w:pStyle w:val="BodyText"/>
      </w:pPr>
      <w:r>
        <w:t xml:space="preserve">Swoboda osądu kierownictwa jest więc niezbędnym elementem sprawozdawczości, ale tworzy również przestrzeń dla zachowań oportunistycznych. Należy tu rozróżnić kilka pojęć. Zgodna z regulacjami decyzja księgowa może służyć wierniejszemu odwzorowaniu działalności i sama w sobie nie stanowi kształtowania wyniku. </w:t>
      </w:r>
      <w:r>
        <w:rPr>
          <w:i/>
          <w:iCs/>
        </w:rPr>
        <w:t>Earnings management</w:t>
      </w:r>
      <w:r>
        <w:t xml:space="preserve"> oznacza natomiast celowe wykorzystanie osądu w sprawozdawczości lub kształtowaniu transakcji, aby zmienić obraz wyników dla interesariuszy albo wpłynąć na rezultaty umów zależnych od wielkości księgowych.</w:t>
      </w:r>
      <w:r>
        <w:rPr>
          <w:rStyle w:val="FootnoteReference"/>
        </w:rPr>
        <w:footnoteReference w:id="18"/>
      </w:r>
      <w:r>
        <w:t xml:space="preserve"> Agresywna sprawozdawczość opisuje wybory znajdujące się blisko </w:t>
      </w:r>
      <w:r>
        <w:lastRenderedPageBreak/>
        <w:t xml:space="preserve">granicy dopuszczalnego osądu i obciążone kierunkowym nastawieniem; może pozostać w granicach standardów albo prowadzić do ich przekroczenia. Istotne zniekształcenie może wynikać zarówno z błędu, jak i działania celowego, podczas gdy oszustwo zakłada intencję. PCAOB podkreśla przy tym, że </w:t>
      </w:r>
      <w:r>
        <w:rPr>
          <w:i/>
          <w:iCs/>
        </w:rPr>
        <w:t>fraud</w:t>
      </w:r>
      <w:r>
        <w:t xml:space="preserve"> jest pojęciem prawnym, a audytor ocenia ryzyko istotnego zniekształcenia spowodowanego oszustwem, nie rozstrzyga zaś o odpowiedzialności prawnej.</w:t>
      </w:r>
      <w:r>
        <w:rPr>
          <w:rStyle w:val="FootnoteReference"/>
        </w:rPr>
        <w:footnoteReference w:id="19"/>
      </w:r>
      <w:r>
        <w:t xml:space="preserve"> Pojęć tych nie należy stosować zamiennie.</w:t>
      </w:r>
    </w:p>
    <w:p w14:paraId="36804038" w14:textId="77777777" w:rsidR="0010172E" w:rsidRDefault="00000000">
      <w:pPr>
        <w:pStyle w:val="BodyText"/>
      </w:pPr>
      <w:r>
        <w:t>W literaturze wyróżnia się dwa podstawowe mechanizmy kształtowania wyniku. Zarządzanie wynikiem za pomocą składników memoriałowych zmienia moment lub sposób ujęcia zdarzeń bez bezpośredniej ingerencji w bieżące przepływy pieniężne, na przykład przez szacunki rezerw, odpisów lub przychodów. Kształtowanie działalnością realną polega natomiast na zmianie faktycznych decyzji operacyjnych w celu osiągnięcia oczekiwanego wyniku. Może przyjmować postać czasowych rabatów zwiększających sprzedaż, nadprodukcji obniżającej jednostkowy koszt wytworzenia albo ograniczania wydatków na badania i rozwój, reklamę oraz inne wydatki uznaniowe.</w:t>
      </w:r>
      <w:r>
        <w:rPr>
          <w:rStyle w:val="FootnoteReference"/>
        </w:rPr>
        <w:footnoteReference w:id="20"/>
      </w:r>
      <w:r>
        <w:t xml:space="preserve"> Działania takie mogą pozostawać formalnie zgodne z zasadami rachunkowości, lecz obniżać przyszłe przepływy pieniężne i wartość przedsiębiorstwa.</w:t>
      </w:r>
    </w:p>
    <w:p w14:paraId="712C879F" w14:textId="77777777" w:rsidR="0010172E" w:rsidRDefault="00000000">
      <w:pPr>
        <w:pStyle w:val="BodyText"/>
      </w:pPr>
      <w:r>
        <w:t>Bodźce do zarządzania wynikiem wynikają przede wszystkim z oczekiwań rynku kapitałowego, kontraktów opartych na danych księgowych oraz regulacji.</w:t>
      </w:r>
      <w:r>
        <w:rPr>
          <w:rStyle w:val="FootnoteReference"/>
        </w:rPr>
        <w:footnoteReference w:id="21"/>
      </w:r>
      <w:r>
        <w:t xml:space="preserve"> Znaczenie mają między innymi prognozy analityków, progi rentowności, warunki umów kredytowych, systemy wynagrodzeń oraz ryzyko utraty reputacji. Badanie ankietowe dyrektorów finansowych wskazuje, że presja na osiąganie progów sprawozdawczych może wpływać nawet na decyzje mające realne konsekwencje ekonomiczne; część respondentów deklarowała gotowość rezygnacji z części wartości ekonomicznej w celu osiągnięcia krótkoterminowego progu wyniku, a zarazem silną preferencję dla stabilnego przebiegu wyników.</w:t>
      </w:r>
      <w:r>
        <w:rPr>
          <w:rStyle w:val="FootnoteReference"/>
        </w:rPr>
        <w:footnoteReference w:id="22"/>
      </w:r>
      <w:r>
        <w:t xml:space="preserve"> Nie oznacza to, że każde osiągnięcie progu jest dowodem manipulacji. </w:t>
      </w:r>
      <w:r>
        <w:lastRenderedPageBreak/>
        <w:t>Obserwowalny wynik stanowi rezultat równoczesnego działania bodźców, warunków gospodarczych i uzasadnionych decyzji operacyjnych.</w:t>
      </w:r>
    </w:p>
    <w:p w14:paraId="545BD273" w14:textId="77777777" w:rsidR="0010172E" w:rsidRDefault="00000000">
      <w:pPr>
        <w:pStyle w:val="BodyText"/>
      </w:pPr>
      <w:r>
        <w:t>Związek między kondycją finansową a jakością sprawozdawczości może działać w obu kierunkach. Słabnące wyniki zwiększają presję na spełnienie warunków finansowania lub oczekiwań rynku, lecz te same procesy gospodarcze — spadek sprzedaży, pogorszenie ściągalności należności czy restrukturyzacja aktywów — powodują uzasadniony wzrost składników memoriałowych i niepewności szacunków. Z kolei kierunkowe szacunki mogą czasowo łagodzić albo nasilać obraz pogorszenia w danych księgowych. Współwystępowanie sygnałów trudności i nietypowych składników memoriałowych nie rozstrzyga więc ani o intencji, ani o zależności przyczynowej; uzasadnia jedynie łączną analizę wyniku, bilansu, przepływów i ujawnień.</w:t>
      </w:r>
    </w:p>
    <w:p w14:paraId="61A570FF" w14:textId="77777777" w:rsidR="0010172E" w:rsidRDefault="00000000">
      <w:pPr>
        <w:pStyle w:val="BodyText"/>
      </w:pPr>
      <w:r>
        <w:t>Jednym z najczęściej stosowanych sposobów identyfikowania zarządzania wynikiem są modele uznaniowych składników memoriałowych (</w:t>
      </w:r>
      <w:r>
        <w:rPr>
          <w:i/>
          <w:iCs/>
        </w:rPr>
        <w:t>discretionary accruals</w:t>
      </w:r>
      <w:r>
        <w:t>). Model Jones szacuje oczekiwane składniki memoriałowe na podstawie zmiany przychodów oraz wartości rzeczowych aktywów trwałych, a niewyjaśnioną resztę traktuje jako przybliżenie części uznaniowej.</w:t>
      </w:r>
      <w:r>
        <w:rPr>
          <w:rStyle w:val="FootnoteReference"/>
        </w:rPr>
        <w:footnoteReference w:id="23"/>
      </w:r>
      <w:r>
        <w:t xml:space="preserve"> Model zmodyfikowany pomniejsza zmianę przychodów o zmianę należności w okresie objętym badaniem, ponieważ sprzedaż kredytowa może być szczególnie podatna na intencjonalne przyspieszenie ujęcia.</w:t>
      </w:r>
      <w:r>
        <w:rPr>
          <w:rStyle w:val="FootnoteReference"/>
        </w:rPr>
        <w:footnoteReference w:id="24"/>
      </w:r>
      <w:r>
        <w:t xml:space="preserve"> Rozwiązanie to zwiększa czułość na określone postaci manipulacji przychodami, ale reszta modelu nadal obejmuje zarówno decyzje oportunistyczne, jak i prawidłowe składniki memoriałowe niewyjaśnione uproszczoną specyfikacją.</w:t>
      </w:r>
    </w:p>
    <w:p w14:paraId="22ECE412" w14:textId="77777777" w:rsidR="0010172E" w:rsidRDefault="00000000">
      <w:pPr>
        <w:pStyle w:val="BodyText"/>
      </w:pPr>
      <w:r>
        <w:t>Istotnym problemem jest zależność wartości uznaniowych składników memoriałowych od bieżącej rentowności. W przedsiębiorstwach o skrajnie dobrych albo słabych wynikach klasyczne modele mogą być błędnie wyspecyfikowane. Kothari, Leone i Wasley zaproponowali zatem dopasowanie obserwacji według rentowności lub uwzględnienie ROA w modelu oczekiwanych składników memoriałowych.</w:t>
      </w:r>
      <w:r>
        <w:rPr>
          <w:rStyle w:val="FootnoteReference"/>
        </w:rPr>
        <w:footnoteReference w:id="25"/>
      </w:r>
      <w:r>
        <w:t xml:space="preserve"> Korekta ogranicza część obciążenia, ale nie usuwa problemów związanych z doborem grupy </w:t>
      </w:r>
      <w:r>
        <w:lastRenderedPageBreak/>
        <w:t>porównawczej, zmianami modelu biznesowego, heterogenicznością branżową i pominiętymi determinantami tych składników. Testy modeli memoriałowych wykazują ponadto ograniczoną moc dla manipulacji o ekonomicznie prawdopodobnej skali.</w:t>
      </w:r>
      <w:r>
        <w:rPr>
          <w:rStyle w:val="FootnoteReference"/>
        </w:rPr>
        <w:footnoteReference w:id="26"/>
      </w:r>
      <w:r>
        <w:t xml:space="preserve"> Wysokie uznaniowe składniki memoriałowe są więc sygnałem wymagającym interpretacji, nie obserwacją samej manipulacji.</w:t>
      </w:r>
    </w:p>
    <w:p w14:paraId="74F63C8F" w14:textId="77777777" w:rsidR="0010172E" w:rsidRDefault="00000000">
      <w:pPr>
        <w:pStyle w:val="BodyText"/>
      </w:pPr>
      <w:r>
        <w:t>Odmienną konstrukcją jest M-score Beneisha, łączący osiem miar opartych między innymi na dynamice należności, marży brutto, jakości aktywów, wzroście sprzedaży, amortyzacji, kosztach sprzedaży i zarządu, dźwigni oraz relacji składników memoriałowych do aktywów.</w:t>
      </w:r>
      <w:r>
        <w:rPr>
          <w:rStyle w:val="FootnoteReference"/>
        </w:rPr>
        <w:footnoteReference w:id="27"/>
      </w:r>
      <w:r>
        <w:t xml:space="preserve"> Model został oszacowany na próbie przedsiębiorstw uznanych </w:t>
      </w:r>
      <w:r>
        <w:rPr>
          <w:i/>
          <w:iCs/>
        </w:rPr>
        <w:t>ex post</w:t>
      </w:r>
      <w:r>
        <w:t xml:space="preserve"> za naruszające zasady rachunkowości i służy do przesiewowej oceny prawdopodobieństwa. Jego wynik zależy jednak od struktury próby, kosztu błędnej klasyfikacji i stabilności relacji między wskaźnikami a naruszeniami. Sam Beneish zaznacza, że nietypowe wartości mogą mieć źródło strukturalne, a wynik modelu wymaga dalszego badania.</w:t>
      </w:r>
      <w:r>
        <w:rPr>
          <w:rStyle w:val="FootnoteReference"/>
        </w:rPr>
        <w:footnoteReference w:id="28"/>
      </w:r>
      <w:r>
        <w:t xml:space="preserve"> Wynik M-score nie stanowi dowodu manipulacji ani oszustwa.</w:t>
      </w:r>
    </w:p>
    <w:p w14:paraId="257E38BB" w14:textId="77777777" w:rsidR="0010172E" w:rsidRDefault="00000000">
      <w:pPr>
        <w:pStyle w:val="BodyText"/>
      </w:pPr>
      <w:r>
        <w:t>F-score Dechow, Ge, Larson i Sloana ma podobny charakter przesiewowy, lecz został opracowany dla istotnych zniekształceń identyfikowanych na podstawie działań egzekucyjnych SEC. Wykorzystuje między innymi miary składników memoriałowych, zmiany należności i zapasów, udział aktywów trudniejszych do zweryfikowania, rentowność oraz sygnały finansowania.</w:t>
      </w:r>
      <w:r>
        <w:rPr>
          <w:rStyle w:val="FootnoteReference"/>
        </w:rPr>
        <w:footnoteReference w:id="29"/>
      </w:r>
      <w:r>
        <w:t xml:space="preserve"> Klasę pozytywną utworzono z lat objętych zniekształceniem, ustalonych na podstawie spraw opisanych w </w:t>
      </w:r>
      <w:r>
        <w:rPr>
          <w:i/>
          <w:iCs/>
        </w:rPr>
        <w:t>Accounting and Auditing Enforcement Releases</w:t>
      </w:r>
      <w:r>
        <w:t>. SEC wyjaśnia, że wykazy AAER obejmują wybrane działania dotyczące sprawozdawczości i nie są kompletną ani wyczerpującą listą wszystkich naruszeń.</w:t>
      </w:r>
      <w:r>
        <w:rPr>
          <w:rStyle w:val="FootnoteReference"/>
        </w:rPr>
        <w:footnoteReference w:id="30"/>
      </w:r>
      <w:r>
        <w:t xml:space="preserve"> Etykieta ta odzwierciedla selektywny wynik procesu nadzorczego, zależny od priorytetów regulatora, wykrycia sprawy i opóźnienia postępowania. Brak AAER nie potwierdza, że sprawozdanie jest wolne od nieprawidłowości.</w:t>
      </w:r>
    </w:p>
    <w:p w14:paraId="76531E4B" w14:textId="77777777" w:rsidR="0010172E" w:rsidRDefault="00000000">
      <w:pPr>
        <w:pStyle w:val="BodyText"/>
      </w:pPr>
      <w:r>
        <w:lastRenderedPageBreak/>
        <w:t>Z punktu widzenia problemu predykcyjnego wskaźniki jakości sprawozdawczości należy interpretować jako pośrednie miary ryzyka informacyjnego. Ani nieoczekiwane składniki memoriałowe, ani M-score, ani F-score nie potwierdzają, że kierownictwo manipulowało wynikiem. Mogą natomiast wskazywać obserwacje wymagające pogłębionej analizy i uzupełniać wskaźniki opisujące przyszłe pogorszenie kondycji finansowej. Takie rozdzielenie sygnału od zdarzenia pozwala uniknąć utożsamienia probabilistycznej klasyfikacji z oceną prawną lub audytową.</w:t>
      </w:r>
    </w:p>
    <w:p w14:paraId="6DBE2492" w14:textId="77777777" w:rsidR="0010172E" w:rsidRDefault="00000000">
      <w:pPr>
        <w:pStyle w:val="Heading2"/>
      </w:pPr>
      <w:bookmarkStart w:id="3" w:name="Xb805e87a23979fb397acbf675405bc3cfda18cc"/>
      <w:bookmarkEnd w:id="2"/>
      <w:r>
        <w:t>1.3. Wskaźniki finansowe jako podstawa konstrukcji problemu predykcyjnego</w:t>
      </w:r>
    </w:p>
    <w:p w14:paraId="328DE283" w14:textId="77777777" w:rsidR="0010172E" w:rsidRDefault="00000000">
      <w:pPr>
        <w:pStyle w:val="BodyText"/>
      </w:pPr>
      <w:r>
        <w:t>Analiza wskaźnikowa przekształca bezwzględne pozycje sprawozdania finansowego w relacje opisujące określony aspekt działalności przedsiębiorstwa. Zabieg ten ułatwia porównywanie podmiotów o różnej skali, lecz nie usuwa różnic wynikających z modelu biznesowego, branży ani polityki rachunkowości. Wskaźnik jest użyteczny tylko wtedy, gdy jego licznik i mianownik pozostają w ekonomicznie uzasadnionym związku, a przyjęta konstrukcja jest stosowana konsekwentnie.</w:t>
      </w:r>
      <w:r>
        <w:rPr>
          <w:rStyle w:val="FootnoteReference"/>
        </w:rPr>
        <w:footnoteReference w:id="31"/>
      </w:r>
      <w:r>
        <w:t xml:space="preserve"> Sam wynik obliczenia nie stanowi jeszcze oceny: wymaga odniesienia do wcześniejszych okresów, przedsiębiorstw porównywalnych oraz źródeł zmian obu składowych ilorazu. W konsekwencji wskaźniki nie zastępują analizy sprawozdania, lecz porządkują zawartą w nim informację pod kątem określonego pytania decyzyjnego.</w:t>
      </w:r>
    </w:p>
    <w:p w14:paraId="08377D9B" w14:textId="77777777" w:rsidR="0010172E" w:rsidRDefault="00000000">
      <w:pPr>
        <w:pStyle w:val="BodyText"/>
      </w:pPr>
      <w:r>
        <w:t>Kondycja finansowa nie powinna być reprezentowana przez jedną relację księgową. Wskaźniki płynności opisują krótkoterminową zdolność do regulowania zobowiązań, jednak ich typowa konstrukcja ma charakter statyczny: zestawia zasoby wykazane na dzień bilansowy z zobowiązaniami bieżącymi, choć faktyczna płynność zależy również od terminów i pewności przyszłych wpływów oraz wydatków.</w:t>
      </w:r>
      <w:r>
        <w:rPr>
          <w:rStyle w:val="FootnoteReference"/>
        </w:rPr>
        <w:footnoteReference w:id="32"/>
      </w:r>
      <w:r>
        <w:t xml:space="preserve"> Wysoka płynność bieżąca może wynikać zarówno z bezpiecznego poziomu aktywów obrotowych, jak i z trudno zbywalnych zapasów albo należności o obniżonej ściągalności. Z tego powodu wskaźnik płynności bieżącej (</w:t>
      </w:r>
      <w:r>
        <w:rPr>
          <w:i/>
          <w:iCs/>
        </w:rPr>
        <w:t>current ratio</w:t>
      </w:r>
      <w:r>
        <w:t>) i relacja środków pieniężnych do aktywów (</w:t>
      </w:r>
      <w:r>
        <w:rPr>
          <w:i/>
          <w:iCs/>
        </w:rPr>
        <w:t>cash-to-assets</w:t>
      </w:r>
      <w:r>
        <w:t>) dostarczają komplementarnych, a nie wymiennych informacji. Pierwszy opisuje relację aktywów i zobowiązań bieżących, drugi zaś udział najbardziej płynnego składnika majątku, który sam w sobie również nie powinien być maksymalizowany bez ograniczeń ze względu na koszt alternatywny.</w:t>
      </w:r>
    </w:p>
    <w:p w14:paraId="53DA57C2" w14:textId="77777777" w:rsidR="0010172E" w:rsidRDefault="00000000">
      <w:pPr>
        <w:pStyle w:val="BodyText"/>
      </w:pPr>
      <w:r>
        <w:lastRenderedPageBreak/>
        <w:t>Wskaźniki zadłużenia ujmują udział kapitału obcego w finansowaniu majątku oraz zdolność do obsługi długu. Relacja zobowiązań do aktywów jest zwykle bardziej stabilna interpretacyjnie niż relacja zobowiązań do kapitału własnego, ponieważ ujemny lub bliski zeru kapitał własny może nadawać drugiemu ilorazowi skrajne albo mylące wartości.</w:t>
      </w:r>
      <w:r>
        <w:rPr>
          <w:rStyle w:val="FootnoteReference"/>
        </w:rPr>
        <w:footnoteReference w:id="33"/>
      </w:r>
      <w:r>
        <w:t xml:space="preserve"> Z kolei wskaźniki rentowności — między innymi rentowność aktywów, rentowność kapitału własnego i marża zysku — łączą rezultat okresu ze skalą zaangażowanych zasobów lub sprzedaży. Opisują one inne mechanizmy: ROA wiąże wynik z bazą aktywów, marża z przychodami, a ROE dodatkowo reaguje na strukturę finansowania. Spadek rentowności może być pierwszym sygnałem osłabienia zdolności do samofinansowania, ale pojedynczy ujemny wynik nie rozstrzyga, czy nastąpiło trwałe pogorszenie, zdarzenie jednorazowe czy przejściowa faza inwestycji.</w:t>
      </w:r>
    </w:p>
    <w:p w14:paraId="7A658D02" w14:textId="77777777" w:rsidR="0010172E" w:rsidRDefault="00000000">
      <w:pPr>
        <w:pStyle w:val="BodyText"/>
      </w:pPr>
      <w:r>
        <w:t>Uzupełnieniem są wskaźniki aktywności i dynamiki. Rotacja aktywów, zapasów lub należności opisuje sprawność wykorzystania zasobów, natomiast wzrost sprzedaży pozwala uchwycić zmianę skali działalności. Ich interpretacja jest silnie branżowa: zapasy pełnią inną funkcję w handlu detalicznym, przemyśle i przedsiębiorstwie usługowym, a niski poziom aktywów trwałych może być cechą modelu biznesowego, nie zaś oznaką wyższej efektywności.</w:t>
      </w:r>
      <w:r>
        <w:rPr>
          <w:rStyle w:val="FootnoteReference"/>
        </w:rPr>
        <w:footnoteReference w:id="34"/>
      </w:r>
      <w:r>
        <w:t xml:space="preserve"> Również wzrost przychodów nie ma jednoznacznego znaku jakościowego. Może wzmacniać bazę zysków i przepływów, lecz szybka ekspansja finansowana długiem, połączona ze wzrostem należności i zapasów, może zwiększać zapotrzebowanie na kapitał obrotowy. Hierarchiczne ujęcie analizy wskaźnikowej, rozdzielające działalność operacyjną od finansowania i dekomponujące rentowność na jej czynniki, pozwala powiązać bieżące relacje z prognozą przyszłych rezultatów.</w:t>
      </w:r>
      <w:r>
        <w:rPr>
          <w:rStyle w:val="FootnoteReference"/>
        </w:rPr>
        <w:footnoteReference w:id="35"/>
      </w:r>
    </w:p>
    <w:p w14:paraId="24DF7645" w14:textId="77777777" w:rsidR="0010172E" w:rsidRDefault="00000000">
      <w:pPr>
        <w:pStyle w:val="BodyText"/>
      </w:pPr>
      <w:r>
        <w:t>Porównywalność wskaźników wymaga spójności okresu i podstawy pomiaru. Pozycje rachunku wyników i przepływów pieniężnych odnoszą się do przedziału czasu, natomiast pozycje bilansowe — do konkretnego dnia. Gdy wskaźnik łączy oba typy wielkości, ekonomicznie uzasadnione jest stosowanie przeciętnego stanu pozycji bilansowej, o ile dane na to pozwalają.</w:t>
      </w:r>
      <w:r>
        <w:rPr>
          <w:rStyle w:val="FootnoteReference"/>
        </w:rPr>
        <w:footnoteReference w:id="36"/>
      </w:r>
      <w:r>
        <w:t xml:space="preserve"> Zmiana definicji wskaźnika między latami może natomiast tworzyć pozorną dynamikę. Ten sam problem pojawia się w porównaniach przekrojowych, jeżeli </w:t>
      </w:r>
      <w:r>
        <w:lastRenderedPageBreak/>
        <w:t>przedsiębiorstwa różnie klasyfikują podobne zdarzenia lub analitycy odmiennie definiują licznik i mianownik. Dlatego wartości progowe zaczerpnięte z podręcznikowych norm nie powinny być stosowane automatycznie; właściwy punkt odniesienia zależy między innymi od branży, cyklu koniunkturalnego i struktury próby.</w:t>
      </w:r>
    </w:p>
    <w:p w14:paraId="2BC9082A" w14:textId="77777777" w:rsidR="0010172E" w:rsidRDefault="00000000">
      <w:pPr>
        <w:pStyle w:val="BodyText"/>
      </w:pPr>
      <w:r>
        <w:t>Ilorazowa postać wskaźników wprowadza również problemy statystyczne. Wspólny mianownik może generować korelacje, które nie wynikają z rzeczywistego związku między badanymi zjawiskami,</w:t>
      </w:r>
      <w:r>
        <w:rPr>
          <w:rStyle w:val="FootnoteReference"/>
        </w:rPr>
        <w:footnoteReference w:id="37"/>
      </w:r>
      <w:r>
        <w:t xml:space="preserve"> a dzielenie przez wartość małą lub bliską zeru prowadzi do obserwacji ekstremalnych. W danych przekrojowych rozkłady wskaźników finansowych są często skośne i obciążone wartościami odstającymi, co wpływa na estymację parametrów oraz stabilność klasyfikacji.</w:t>
      </w:r>
      <w:r>
        <w:rPr>
          <w:rStyle w:val="FootnoteReference"/>
        </w:rPr>
        <w:footnoteReference w:id="38"/>
      </w:r>
      <w:r>
        <w:t xml:space="preserve"> Obserwacji skrajnej nie można jednak z góry uznać za błąd, ponieważ może ona odzwierciedlać rzeczywisty kryzys przedsiębiorstwa. Sposób jej traktowania powinien zależeć od przyczyny: oczywista pomyłka raportowa wymaga korekty albo wyłączenia, natomiast ekonomicznie wiarygodna wartość może wymagać transformacji lub ograniczenia jej wpływu, lecz nie usunięcia informacji o ryzyku.</w:t>
      </w:r>
    </w:p>
    <w:p w14:paraId="5A4AF797" w14:textId="77777777" w:rsidR="0010172E" w:rsidRDefault="00000000">
      <w:pPr>
        <w:pStyle w:val="BodyText"/>
      </w:pPr>
      <w:r>
        <w:t>Szczególną ostrożność należy zachować przy mierzeniu zmian względnych. Jeżeli ROA zmienia się z małej wartości dodatniej na ujemną, procentowy spadek może być nieproporcjonalnie duży; gdy wartość bazowa jest ujemna, zwykła stopa zmiany bywa sprzeczna z ekonomicznym kierunkiem pogorszenia. Analogiczny problem dotyczy marży zysku. Z tego względu operacjonalizacja przyszłego pogorszenia powinna opierać się na różnicach odpornych na znak wartości początkowej: zmianach w punktach procentowych dla wskaźników procentowych oraz zmianach bezwzględnych dla pozostałych relacji. Dopiero dla tak zdefiniowanych różnic można wyznaczać progi rozkładowe, przy czym muszą być one estymowane wyłącznie na danych uczących. Dobór rozwiązania współtworzy znaczenie klasy pozytywnej i dlatego wymaga analizy wrażliwości.</w:t>
      </w:r>
    </w:p>
    <w:p w14:paraId="09094EE0" w14:textId="77777777" w:rsidR="0010172E" w:rsidRDefault="00000000">
      <w:pPr>
        <w:pStyle w:val="BodyText"/>
      </w:pPr>
      <w:r>
        <w:t xml:space="preserve">Dane XBRL ograniczają część problemów porównywalności, ponieważ każdemu faktowi przypisują pojęcie z taksonomii, jednostkę i okres. Interfejs Company Facts SEC agreguje dla danego podmiotu fakty oznaczone standardowymi taksonomiami, w tym </w:t>
      </w:r>
      <w:r>
        <w:rPr>
          <w:i/>
          <w:iCs/>
        </w:rPr>
        <w:t>us-gaap</w:t>
      </w:r>
      <w:r>
        <w:t>, i odnoszące się do całej jednostki sprawozdawczej.</w:t>
      </w:r>
      <w:r>
        <w:rPr>
          <w:rStyle w:val="FootnoteReference"/>
        </w:rPr>
        <w:footnoteReference w:id="39"/>
      </w:r>
      <w:r>
        <w:t xml:space="preserve"> Standaryzacja nie oznacza jednak </w:t>
      </w:r>
      <w:r>
        <w:lastRenderedPageBreak/>
        <w:t>pełnej jednorodności ekonomicznej. Emitent może skorzystać z rozszerzenia taksonomii, gdy standardowy element nie odpowiada treści ujawnienia, a SEC wskazuje, że nadmierne użycie znaczników własnych może zmniejszać porównywalność danych między spółkami.</w:t>
      </w:r>
      <w:r>
        <w:rPr>
          <w:rStyle w:val="FootnoteReference"/>
        </w:rPr>
        <w:footnoteReference w:id="40"/>
      </w:r>
      <w:r>
        <w:t xml:space="preserve"> Fakt oznaczony rozszerzeniem emitenta może ponadto nie zostać odwzorowany w Company Facts pod oczekiwanym standardowym pojęciem. Brak obserwacji trzeba więc odróżnić od wartości zerowej, użycia alternatywnego znacznika i rzeczywistego braku ujawnienia. Nawet w obrębie standardowych znaczników pozostają różnice w roku obrotowym, czasie trwania okresu, jednostkach, korektach poprzednich raportów oraz kompletności poszczególnych pozycji. Mapowanie faktów sprawozdawczych do cech modelu wymaga zatem kontroli znaczenia pojęcia, kontekstu i pochodzenia wartości, a nie tylko zgodności nazwy pola.</w:t>
      </w:r>
    </w:p>
    <w:p w14:paraId="452393E2" w14:textId="77777777" w:rsidR="0010172E" w:rsidRDefault="00000000">
      <w:pPr>
        <w:pStyle w:val="BodyText"/>
      </w:pPr>
      <w:r>
        <w:t>Omówione w podrozdziale 1.1 modele różnią się sposobem agregacji wskaźników, lecz ich wyniki pozostają zależne od definicji zdarzenia, doboru próby i momentu dostępności danych. Przeglądy badań nad niewypłacalnością wskazują również na niestabilność modeli między okresami, krajami i populacjami przedsiębiorstw oraz na konsekwencje arbitralnego sprowadzenia złożonego procesu do zmiennej binarnej.</w:t>
      </w:r>
      <w:r>
        <w:rPr>
          <w:rStyle w:val="FootnoteReference"/>
        </w:rPr>
        <w:footnoteReference w:id="41"/>
      </w:r>
      <w:r>
        <w:t xml:space="preserve"> Dla konstrukcji cech oznacza to konieczność zachowania chronologii informacji i oddzielenia pomiaru bieżącej sytuacji od definicji przyszłego rezultatu.</w:t>
      </w:r>
    </w:p>
    <w:p w14:paraId="00ED1AE6" w14:textId="77777777" w:rsidR="0010172E" w:rsidRDefault="00000000">
      <w:pPr>
        <w:pStyle w:val="BodyText"/>
      </w:pPr>
      <w:r>
        <w:t xml:space="preserve">W niniejszej pracy pojedyncza obserwacja odpowiada spółce </w:t>
      </w:r>
      <w:r>
        <w:rPr>
          <w:i/>
          <w:iCs/>
        </w:rPr>
        <w:t>i</w:t>
      </w:r>
      <w:r>
        <w:t xml:space="preserve"> w roku </w:t>
      </w:r>
      <w:r>
        <w:rPr>
          <w:i/>
          <w:iCs/>
        </w:rPr>
        <w:t>t</w:t>
      </w:r>
      <w:r>
        <w:t xml:space="preserve">, a wektor cech </w:t>
      </w:r>
      <m:oMath>
        <m:sSub>
          <m:sSubPr>
            <m:ctrlPr>
              <w:rPr>
                <w:rFonts w:ascii="Cambria Math" w:hAnsi="Cambria Math"/>
              </w:rPr>
            </m:ctrlPr>
          </m:sSubPr>
          <m:e>
            <m:r>
              <m:rPr>
                <m:sty m:val="b"/>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oMath>
      <w:r>
        <w:t xml:space="preserve"> obejmuje wyłącznie fakty dostępne do ustalonej daty predykcji. Zmienna celu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opisuje istotne, wielowymiarowe pogorszenie kondycji między rokiem </w:t>
      </w:r>
      <w:r>
        <w:rPr>
          <w:i/>
          <w:iCs/>
        </w:rPr>
        <w:t>t</w:t>
      </w:r>
      <w:r>
        <w:t xml:space="preserve"> a rokiem </w:t>
      </w:r>
      <w:r>
        <w:rPr>
          <w:i/>
          <w:iCs/>
        </w:rPr>
        <w:t>t+1</w:t>
      </w:r>
      <w:r>
        <w:t xml:space="preserve">. Taki układ </w:t>
      </w:r>
      <m:oMath>
        <m:sSub>
          <m:sSubPr>
            <m:ctrlPr>
              <w:rPr>
                <w:rFonts w:ascii="Cambria Math" w:hAnsi="Cambria Math"/>
              </w:rPr>
            </m:ctrlPr>
          </m:sSubPr>
          <m:e>
            <m:r>
              <m:rPr>
                <m:sty m:val="b"/>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t xml:space="preserve"> zachowuje funkcję wczesnego ostrzegania i oddziela moment pomiaru predyktorów od okresu, w którym oceniany jest rezultat. Punktem początku prognozy powinna być data publicznego udostępnienia raportu 10-K, nie zaś data końca roku obrotowego; pole </w:t>
      </w:r>
      <w:r>
        <w:rPr>
          <w:i/>
          <w:iCs/>
        </w:rPr>
        <w:t>filed</w:t>
      </w:r>
      <w:r>
        <w:t xml:space="preserve"> pozwala odtworzyć ten moment, a późniejsze korekty i raporty 10-K/A wymagają wersjonowania danych.</w:t>
      </w:r>
      <w:r>
        <w:rPr>
          <w:rStyle w:val="FootnoteReference"/>
        </w:rPr>
        <w:footnoteReference w:id="42"/>
      </w:r>
      <w:r>
        <w:t xml:space="preserve"> W obrębie obserwacji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t</m:t>
            </m:r>
          </m:e>
        </m:d>
      </m:oMath>
      <w:r>
        <w:t xml:space="preserve"> wartości z roku </w:t>
      </w:r>
      <w:r>
        <w:rPr>
          <w:i/>
          <w:iCs/>
        </w:rPr>
        <w:t>t+1</w:t>
      </w:r>
      <w:r>
        <w:t xml:space="preserve"> mogą służyć wyłącznie do konstrukcji etykiety i nie mogą wejść do </w:t>
      </w:r>
      <m:oMath>
        <m:sSub>
          <m:sSubPr>
            <m:ctrlPr>
              <w:rPr>
                <w:rFonts w:ascii="Cambria Math" w:hAnsi="Cambria Math"/>
              </w:rPr>
            </m:ctrlPr>
          </m:sSubPr>
          <m:e>
            <m:r>
              <m:rPr>
                <m:sty m:val="b"/>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oMath>
      <w:r>
        <w:t>, gdyż prowadziłoby to do wycieku informacji i zawyżonej oceny modelu.</w:t>
      </w:r>
    </w:p>
    <w:p w14:paraId="232D9C35" w14:textId="77777777" w:rsidR="0010172E" w:rsidRDefault="0010172E">
      <w:pPr>
        <w:pStyle w:val="BodyText"/>
        <w:spacing w:after="900" w:line="240" w:lineRule="auto"/>
        <w:ind w:firstLine="0"/>
      </w:pPr>
    </w:p>
    <w:p w14:paraId="27CE6F01" w14:textId="77777777" w:rsidR="0010172E" w:rsidRDefault="00000000">
      <w:pPr>
        <w:pStyle w:val="BodyText"/>
      </w:pPr>
      <w:r>
        <w:lastRenderedPageBreak/>
        <w:t>Etykieta ma charakter zastępczy. Klasa pozytywna będzie wymagała pogorszenia w co najmniej dwóch z trzech odrębnych wymiarów: rentowności, zadłużenia i płynności. Wymiar rentowności zostanie uznany za pogorszony przy zgodnych niekorzystnych zmianach ROA i marży zysku, wymiar zadłużenia — przy wzroście relacji zobowiązań do aktywów, a wymiar płynności — przy spadku wskaźnika płynności bieżącej. Reguła „co najmniej dwa z trzech wymiarów” ogranicza wpływ pojedynczego zdarzenia księgowego na kwalifikację i nie traktuje ROA oraz marży jako dwóch niezależnych obszarów kondycji. Sposób pomiaru zmian i wartości progowe zostaną ustalone przed oceną modeli oraz poddane analizie wrażliwości; należy przy tym sprawdzić zależność etykiety od poziomu bazowego i regresji do średniej. Tak zdefiniowana zmienna celu nie oznacza formalnej niewypłacalności ani upadłości, lecz przyszły niekorzystny ruch wybranych miar kondycji. Nie jest również etykietą niskiej jakości sprawozdawczości: wskaźniki Altmana i Beneisha mogą pełnić funkcję pomocniczą, przesiewową lub kontrolną, lecz nie powinny jednocześnie stanowić podstawy etykiety i bezpośredniej cechy tego samego wariantu eksperymentu.</w:t>
      </w:r>
    </w:p>
    <w:p w14:paraId="35853EDC" w14:textId="77777777" w:rsidR="0010172E" w:rsidRDefault="00000000">
      <w:pPr>
        <w:pStyle w:val="BodyText"/>
      </w:pPr>
      <w:r>
        <w:t>Wskaźniki finansowe tworzą zatem warstwę pośrednią między sprawozdaniem a modelem predykcyjnym. Zachowują interpretację ekonomiczną pozycji źródłowych, ograniczają wpływ skali i pozwalają opisać kilka wymiarów kondycji, lecz przenoszą do zbioru danych skutki decyzji księgowych, heterogeniczności branżowej i matematycznej konstrukcji ilorazów. Z tego względu ich dobór, transformacja i selekcja muszą być prowadzone łącznie z kontrolą jakości danych oraz chronologii informacji. Tak przygotowany problem przyjmuje postać klasyfikacji na danych tabelarycznych, co stanowi punkt wyjścia do omówienia klasycznych modeli uczenia maszynowego w rozdziale drugim.</w:t>
      </w:r>
      <w:bookmarkEnd w:id="0"/>
      <w:bookmarkEnd w:id="3"/>
    </w:p>
    <w:sectPr w:rsidR="0010172E" w:rsidSect="00034616">
      <w:footerReference w:type="default" r:id="rId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6770FE" w14:textId="77777777" w:rsidR="006669F3" w:rsidRDefault="006669F3">
      <w:pPr>
        <w:spacing w:after="0" w:line="240" w:lineRule="auto"/>
      </w:pPr>
      <w:r>
        <w:separator/>
      </w:r>
    </w:p>
  </w:endnote>
  <w:endnote w:type="continuationSeparator" w:id="0">
    <w:p w14:paraId="1AF899D0" w14:textId="77777777" w:rsidR="006669F3" w:rsidRDefault="0066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150C" w14:textId="77777777" w:rsidR="00000000" w:rsidRDefault="00000000">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652B3" w14:textId="77777777" w:rsidR="006669F3" w:rsidRDefault="006669F3">
      <w:pPr>
        <w:pStyle w:val="FootnoteText"/>
      </w:pPr>
      <w:r>
        <w:separator/>
      </w:r>
    </w:p>
  </w:footnote>
  <w:footnote w:type="continuationSeparator" w:id="0">
    <w:p w14:paraId="1DEE282B" w14:textId="77777777" w:rsidR="006669F3" w:rsidRDefault="006669F3">
      <w:pPr>
        <w:pStyle w:val="FootnoteText"/>
      </w:pPr>
      <w:r>
        <w:continuationSeparator/>
      </w:r>
    </w:p>
  </w:footnote>
  <w:footnote w:id="1">
    <w:p w14:paraId="54054DFF" w14:textId="77777777" w:rsidR="0010172E" w:rsidRDefault="00000000">
      <w:pPr>
        <w:pStyle w:val="FootnoteText"/>
      </w:pPr>
      <w:r>
        <w:rPr>
          <w:rStyle w:val="FootnoteReference"/>
        </w:rPr>
        <w:footnoteRef/>
      </w:r>
      <w:r>
        <w:t xml:space="preserve"> M. Zaleska, </w:t>
      </w:r>
      <w:r>
        <w:rPr>
          <w:i/>
          <w:iCs/>
        </w:rPr>
        <w:t>Ocena kondycji finansowej przedsiębiorstwa przez analityka bankowego</w:t>
      </w:r>
      <w:r>
        <w:t>, Oficyna Wydawnicza SGH, Warszawa 2012, s. 9–11; otwarty egzemplarz udostępniony w materiałach pracy.</w:t>
      </w:r>
    </w:p>
  </w:footnote>
  <w:footnote w:id="2">
    <w:p w14:paraId="6A8E19BC" w14:textId="77777777" w:rsidR="0010172E" w:rsidRPr="00DF35F6" w:rsidRDefault="00000000">
      <w:pPr>
        <w:pStyle w:val="FootnoteText"/>
        <w:rPr>
          <w:lang w:val="en-US"/>
        </w:rPr>
      </w:pPr>
      <w:r>
        <w:rPr>
          <w:rStyle w:val="FootnoteReference"/>
        </w:rPr>
        <w:footnoteRef/>
      </w:r>
      <w:r w:rsidRPr="00DF35F6">
        <w:rPr>
          <w:lang w:val="en-US"/>
        </w:rPr>
        <w:t xml:space="preserve"> Tamże, s. 69–72 i 86–101.</w:t>
      </w:r>
    </w:p>
  </w:footnote>
  <w:footnote w:id="3">
    <w:p w14:paraId="687E22ED" w14:textId="77777777" w:rsidR="0010172E" w:rsidRPr="00DF35F6" w:rsidRDefault="00000000">
      <w:pPr>
        <w:pStyle w:val="FootnoteText"/>
        <w:rPr>
          <w:lang w:val="en-US"/>
        </w:rPr>
      </w:pPr>
      <w:r>
        <w:rPr>
          <w:rStyle w:val="FootnoteReference"/>
        </w:rPr>
        <w:footnoteRef/>
      </w:r>
      <w:r w:rsidRPr="00DF35F6">
        <w:rPr>
          <w:lang w:val="en-US"/>
        </w:rPr>
        <w:t xml:space="preserve"> W.H. Beaver, </w:t>
      </w:r>
      <w:r w:rsidRPr="00DF35F6">
        <w:rPr>
          <w:i/>
          <w:iCs/>
          <w:lang w:val="en-US"/>
        </w:rPr>
        <w:t>Financial Ratios as Predictors of Failure</w:t>
      </w:r>
      <w:r w:rsidRPr="00DF35F6">
        <w:rPr>
          <w:lang w:val="en-US"/>
        </w:rPr>
        <w:t>, „Journal of Accounting Research” 1966, vol. 4, s. 71–111, zwł. s. 71–80, DOI: 10.2307/2490171, otwarta kopia: https://enflomaplata.uep.edu.py/fetch.php?data=443&amp;type=pdf&amp;id=443&amp;db=2 [dostęp: 15.08.2026].</w:t>
      </w:r>
    </w:p>
  </w:footnote>
  <w:footnote w:id="4">
    <w:p w14:paraId="4A0ED1F0" w14:textId="77777777" w:rsidR="0010172E" w:rsidRPr="00DF35F6" w:rsidRDefault="00000000">
      <w:pPr>
        <w:pStyle w:val="FootnoteText"/>
        <w:rPr>
          <w:lang w:val="en-US"/>
        </w:rPr>
      </w:pPr>
      <w:r>
        <w:rPr>
          <w:rStyle w:val="FootnoteReference"/>
        </w:rPr>
        <w:footnoteRef/>
      </w:r>
      <w:r w:rsidRPr="00DF35F6">
        <w:rPr>
          <w:lang w:val="en-US"/>
        </w:rPr>
        <w:t xml:space="preserve"> H.D. Platt, M.B. Platt, </w:t>
      </w:r>
      <w:r w:rsidRPr="00DF35F6">
        <w:rPr>
          <w:i/>
          <w:iCs/>
          <w:lang w:val="en-US"/>
        </w:rPr>
        <w:t>Understanding Differences Between Financial Distress and Bankruptcy</w:t>
      </w:r>
      <w:r w:rsidRPr="00DF35F6">
        <w:rPr>
          <w:lang w:val="en-US"/>
        </w:rPr>
        <w:t>, „Review of Applied Economics” 2006, vol. 2, nr 2, s. 141–157, zwł. s. 141–145, DOI: 10.22004/ag.econ.50146, otwarta wersja: https://ageconsearch.umn.edu/record/50146/files/1-Harlan%20D%20Platt.pdf [dostęp: 15.08.2026].</w:t>
      </w:r>
    </w:p>
  </w:footnote>
  <w:footnote w:id="5">
    <w:p w14:paraId="3598B6FC" w14:textId="77777777" w:rsidR="0010172E" w:rsidRPr="00DF35F6" w:rsidRDefault="00000000">
      <w:pPr>
        <w:pStyle w:val="FootnoteText"/>
        <w:rPr>
          <w:lang w:val="en-US"/>
        </w:rPr>
      </w:pPr>
      <w:r>
        <w:rPr>
          <w:rStyle w:val="FootnoteReference"/>
        </w:rPr>
        <w:footnoteRef/>
      </w:r>
      <w:r w:rsidRPr="00DF35F6">
        <w:rPr>
          <w:lang w:val="en-US"/>
        </w:rPr>
        <w:t xml:space="preserve"> Public Company Accounting Oversight Board, </w:t>
      </w:r>
      <w:r w:rsidRPr="00DF35F6">
        <w:rPr>
          <w:i/>
          <w:iCs/>
          <w:lang w:val="en-US"/>
        </w:rPr>
        <w:t>AS 2415: Consideration of an Entity’s Ability to Continue as a Going Concern</w:t>
      </w:r>
      <w:r w:rsidRPr="00DF35F6">
        <w:rPr>
          <w:lang w:val="en-US"/>
        </w:rPr>
        <w:t>, par. .01–.06 i .10–.12, https://pcaobus.org/oversight/standards/auditing-standards/details/AS2415 [dostęp: 15.08.2026].</w:t>
      </w:r>
    </w:p>
  </w:footnote>
  <w:footnote w:id="6">
    <w:p w14:paraId="3EB0B05F" w14:textId="77777777" w:rsidR="0010172E" w:rsidRDefault="00000000">
      <w:pPr>
        <w:pStyle w:val="FootnoteText"/>
      </w:pPr>
      <w:r>
        <w:rPr>
          <w:rStyle w:val="FootnoteReference"/>
        </w:rPr>
        <w:footnoteRef/>
      </w:r>
      <w:r>
        <w:t xml:space="preserve"> M. Zaleska, </w:t>
      </w:r>
      <w:r>
        <w:rPr>
          <w:i/>
          <w:iCs/>
        </w:rPr>
        <w:t>Ocena kondycji finansowej…</w:t>
      </w:r>
      <w:r>
        <w:t>, dz. cyt., s. 123–130.</w:t>
      </w:r>
    </w:p>
  </w:footnote>
  <w:footnote w:id="7">
    <w:p w14:paraId="1B6B09A6" w14:textId="77777777" w:rsidR="0010172E" w:rsidRPr="00DF35F6" w:rsidRDefault="00000000">
      <w:pPr>
        <w:pStyle w:val="FootnoteText"/>
        <w:rPr>
          <w:lang w:val="en-US"/>
        </w:rPr>
      </w:pPr>
      <w:r>
        <w:rPr>
          <w:rStyle w:val="FootnoteReference"/>
        </w:rPr>
        <w:footnoteRef/>
      </w:r>
      <w:r w:rsidRPr="00DF35F6">
        <w:rPr>
          <w:lang w:val="en-US"/>
        </w:rPr>
        <w:t xml:space="preserve"> W.H. Beaver, </w:t>
      </w:r>
      <w:r w:rsidRPr="00DF35F6">
        <w:rPr>
          <w:i/>
          <w:iCs/>
          <w:lang w:val="en-US"/>
        </w:rPr>
        <w:t>Financial Ratios as Predictors of Failure</w:t>
      </w:r>
      <w:r w:rsidRPr="00DF35F6">
        <w:rPr>
          <w:lang w:val="en-US"/>
        </w:rPr>
        <w:t>, dz. cyt., s. 88–101.</w:t>
      </w:r>
    </w:p>
  </w:footnote>
  <w:footnote w:id="8">
    <w:p w14:paraId="745DF6AD" w14:textId="77777777" w:rsidR="0010172E" w:rsidRPr="00DF35F6" w:rsidRDefault="00000000">
      <w:pPr>
        <w:pStyle w:val="FootnoteText"/>
        <w:rPr>
          <w:lang w:val="en-US"/>
        </w:rPr>
      </w:pPr>
      <w:r>
        <w:rPr>
          <w:rStyle w:val="FootnoteReference"/>
        </w:rPr>
        <w:footnoteRef/>
      </w:r>
      <w:r w:rsidRPr="00DF35F6">
        <w:rPr>
          <w:lang w:val="en-US"/>
        </w:rPr>
        <w:t xml:space="preserve"> E.I. Altman, </w:t>
      </w:r>
      <w:r w:rsidRPr="00DF35F6">
        <w:rPr>
          <w:i/>
          <w:iCs/>
          <w:lang w:val="en-US"/>
        </w:rPr>
        <w:t>Financial Ratios, Discriminant Analysis and the Prediction of Corporate Bankruptcy</w:t>
      </w:r>
      <w:r w:rsidRPr="00DF35F6">
        <w:rPr>
          <w:lang w:val="en-US"/>
        </w:rPr>
        <w:t>, „The Journal of Finance” 1968, vol. 23, nr 4, s. 589–609, zwł. s. 591–606, DOI: 10.1111/j.1540-6261.1968.tb00843.x, otwarta kopia: https://www.calctopia.com/papers/Altman1968.pdf [dostęp: 15.08.2026].</w:t>
      </w:r>
    </w:p>
  </w:footnote>
  <w:footnote w:id="9">
    <w:p w14:paraId="53CD2EBA" w14:textId="77777777" w:rsidR="0010172E" w:rsidRPr="00DF35F6" w:rsidRDefault="00000000">
      <w:pPr>
        <w:pStyle w:val="FootnoteText"/>
        <w:rPr>
          <w:lang w:val="en-US"/>
        </w:rPr>
      </w:pPr>
      <w:r>
        <w:rPr>
          <w:rStyle w:val="FootnoteReference"/>
        </w:rPr>
        <w:footnoteRef/>
      </w:r>
      <w:r w:rsidRPr="00DF35F6">
        <w:rPr>
          <w:lang w:val="en-US"/>
        </w:rPr>
        <w:t xml:space="preserve"> E.I. Altman, </w:t>
      </w:r>
      <w:r w:rsidRPr="00DF35F6">
        <w:rPr>
          <w:i/>
          <w:iCs/>
          <w:lang w:val="en-US"/>
        </w:rPr>
        <w:t>A Fifty-Year Retrospective on Credit Risk Models, the Altman Z-Score Family of Models and Their Applications to Financial Markets and Managerial Strategies</w:t>
      </w:r>
      <w:r w:rsidRPr="00DF35F6">
        <w:rPr>
          <w:lang w:val="en-US"/>
        </w:rPr>
        <w:t>, „The Journal of Credit Risk” 2018, vol. 14, nr 4, s. 1–34, zwł. s. 2–21, DOI: 10.21314/JCR.2018.243, otwarta wersja: https://mebfaber.com/wp-content/uploads/2020/11/Altman_Z_score_models_final.pdf [dostęp: 15.08.2026].</w:t>
      </w:r>
    </w:p>
  </w:footnote>
  <w:footnote w:id="10">
    <w:p w14:paraId="0186745C" w14:textId="77777777" w:rsidR="0010172E" w:rsidRPr="00DF35F6" w:rsidRDefault="00000000">
      <w:pPr>
        <w:pStyle w:val="FootnoteText"/>
        <w:rPr>
          <w:lang w:val="en-US"/>
        </w:rPr>
      </w:pPr>
      <w:r>
        <w:rPr>
          <w:rStyle w:val="FootnoteReference"/>
        </w:rPr>
        <w:footnoteRef/>
      </w:r>
      <w:r w:rsidRPr="00DF35F6">
        <w:rPr>
          <w:lang w:val="en-US"/>
        </w:rPr>
        <w:t xml:space="preserve"> Por. omówienie modelu Ohlsona w: S. Balcaen, H. Ooghe, </w:t>
      </w:r>
      <w:r w:rsidRPr="00DF35F6">
        <w:rPr>
          <w:i/>
          <w:iCs/>
          <w:lang w:val="en-US"/>
        </w:rPr>
        <w:t>35 Years of Studies on Business Failure: An Overview of the Classic Statistical Methodologies and Their Related Problems</w:t>
      </w:r>
      <w:r w:rsidRPr="00DF35F6">
        <w:rPr>
          <w:lang w:val="en-US"/>
        </w:rPr>
        <w:t xml:space="preserve">, „The British Accounting Review” 2006, vol. 38, nr 1, s. 63–93, zwł. s. 68–75, DOI: 10.1016/j.bar.2005.09.001, </w:t>
      </w:r>
      <w:hyperlink r:id="rId1">
        <w:r w:rsidRPr="00DF35F6">
          <w:rPr>
            <w:rStyle w:val="Hyperlink"/>
            <w:lang w:val="en-US"/>
          </w:rPr>
          <w:t>otwarta wersja robocza autorów</w:t>
        </w:r>
      </w:hyperlink>
      <w:r w:rsidRPr="00DF35F6">
        <w:rPr>
          <w:lang w:val="en-US"/>
        </w:rPr>
        <w:t xml:space="preserve"> [dostęp: 15.08.2026].</w:t>
      </w:r>
    </w:p>
  </w:footnote>
  <w:footnote w:id="11">
    <w:p w14:paraId="1E2A9849" w14:textId="77777777" w:rsidR="0010172E" w:rsidRPr="00DF35F6" w:rsidRDefault="00000000">
      <w:pPr>
        <w:pStyle w:val="FootnoteText"/>
        <w:rPr>
          <w:lang w:val="en-US"/>
        </w:rPr>
      </w:pPr>
      <w:r>
        <w:rPr>
          <w:rStyle w:val="FootnoteReference"/>
        </w:rPr>
        <w:footnoteRef/>
      </w:r>
      <w:r w:rsidRPr="00DF35F6">
        <w:rPr>
          <w:lang w:val="en-US"/>
        </w:rPr>
        <w:t xml:space="preserve"> T. Shumway, </w:t>
      </w:r>
      <w:r w:rsidRPr="00DF35F6">
        <w:rPr>
          <w:i/>
          <w:iCs/>
          <w:lang w:val="en-US"/>
        </w:rPr>
        <w:t>Forecasting Bankruptcy More Accurately: A Simple Hazard Model</w:t>
      </w:r>
      <w:r w:rsidRPr="00DF35F6">
        <w:rPr>
          <w:lang w:val="en-US"/>
        </w:rPr>
        <w:t>, „The Journal of Business” 2001, vol. 74, nr 1, s. 101–124, zwł. s. 101–112, DOI: 10.1086/209665, otwarta wersja autorska: https://www.tylergshumway.org/Shumway-ForecastingBankruptcyAccurately-2001.pdf [dostęp: 15.08.2026].</w:t>
      </w:r>
    </w:p>
  </w:footnote>
  <w:footnote w:id="12">
    <w:p w14:paraId="6320D819" w14:textId="77777777" w:rsidR="0010172E" w:rsidRPr="00DF35F6" w:rsidRDefault="00000000">
      <w:pPr>
        <w:pStyle w:val="FootnoteText"/>
        <w:rPr>
          <w:lang w:val="en-US"/>
        </w:rPr>
      </w:pPr>
      <w:r>
        <w:rPr>
          <w:rStyle w:val="FootnoteReference"/>
        </w:rPr>
        <w:footnoteRef/>
      </w:r>
      <w:r w:rsidRPr="00DF35F6">
        <w:rPr>
          <w:lang w:val="en-US"/>
        </w:rPr>
        <w:t xml:space="preserve"> S. Balcaen, H. Ooghe, </w:t>
      </w:r>
      <w:r w:rsidRPr="00DF35F6">
        <w:rPr>
          <w:i/>
          <w:iCs/>
          <w:lang w:val="en-US"/>
        </w:rPr>
        <w:t>35 Years of Studies on Business Failure…</w:t>
      </w:r>
      <w:r w:rsidRPr="00DF35F6">
        <w:rPr>
          <w:lang w:val="en-US"/>
        </w:rPr>
        <w:t>, dz. cyt., s. 77–84.</w:t>
      </w:r>
    </w:p>
  </w:footnote>
  <w:footnote w:id="13">
    <w:p w14:paraId="7E0F2988" w14:textId="77777777" w:rsidR="0010172E" w:rsidRPr="00DF35F6" w:rsidRDefault="00000000">
      <w:pPr>
        <w:pStyle w:val="FootnoteText"/>
        <w:rPr>
          <w:lang w:val="en-US"/>
        </w:rPr>
      </w:pPr>
      <w:r>
        <w:rPr>
          <w:rStyle w:val="FootnoteReference"/>
        </w:rPr>
        <w:footnoteRef/>
      </w:r>
      <w:r w:rsidRPr="00DF35F6">
        <w:rPr>
          <w:lang w:val="en-US"/>
        </w:rPr>
        <w:t xml:space="preserve"> Tamże, s. 72–90.</w:t>
      </w:r>
    </w:p>
  </w:footnote>
  <w:footnote w:id="14">
    <w:p w14:paraId="26B944F6" w14:textId="77777777" w:rsidR="0010172E" w:rsidRPr="00DF35F6" w:rsidRDefault="00000000">
      <w:pPr>
        <w:pStyle w:val="FootnoteText"/>
        <w:rPr>
          <w:lang w:val="en-US"/>
        </w:rPr>
      </w:pPr>
      <w:r>
        <w:rPr>
          <w:rStyle w:val="FootnoteReference"/>
        </w:rPr>
        <w:footnoteRef/>
      </w:r>
      <w:r w:rsidRPr="00DF35F6">
        <w:rPr>
          <w:lang w:val="en-US"/>
        </w:rPr>
        <w:t xml:space="preserve"> Financial Accounting Standards Board, </w:t>
      </w:r>
      <w:r w:rsidRPr="00DF35F6">
        <w:rPr>
          <w:i/>
          <w:iCs/>
          <w:lang w:val="en-US"/>
        </w:rPr>
        <w:t>Statement of Financial Accounting Concepts No. 8: Conceptual Framework for Financial Reporting — Chapter 3, Qualitative Characteristics of Useful Financial Information</w:t>
      </w:r>
      <w:r w:rsidRPr="00DF35F6">
        <w:rPr>
          <w:lang w:val="en-US"/>
        </w:rPr>
        <w:t>, par. QC4–QC14, zwł. QC6–QC8 i QC12–QC14, FASB, Norwalk 2018, https://fasb.org/Page/document?pdf=Concepts+Statement+8+Chapter+3+As+Amended.pdf [dostęp: 15.08.2026].</w:t>
      </w:r>
    </w:p>
  </w:footnote>
  <w:footnote w:id="15">
    <w:p w14:paraId="2C976344" w14:textId="77777777" w:rsidR="0010172E" w:rsidRPr="00DF35F6" w:rsidRDefault="00000000">
      <w:pPr>
        <w:pStyle w:val="FootnoteText"/>
        <w:rPr>
          <w:lang w:val="en-US"/>
        </w:rPr>
      </w:pPr>
      <w:r>
        <w:rPr>
          <w:rStyle w:val="FootnoteReference"/>
        </w:rPr>
        <w:footnoteRef/>
      </w:r>
      <w:r w:rsidRPr="00DF35F6">
        <w:rPr>
          <w:lang w:val="en-US"/>
        </w:rPr>
        <w:t xml:space="preserve"> P.M. Dechow, W. Ge, C. Schrand, </w:t>
      </w:r>
      <w:r w:rsidRPr="00DF35F6">
        <w:rPr>
          <w:i/>
          <w:iCs/>
          <w:lang w:val="en-US"/>
        </w:rPr>
        <w:t>Understanding Earnings Quality: A Review of the Proxies, Their Determinants and Their Consequences</w:t>
      </w:r>
      <w:r w:rsidRPr="00DF35F6">
        <w:rPr>
          <w:lang w:val="en-US"/>
        </w:rPr>
        <w:t>, „Journal of Accounting and Economics” 2010, vol. 50, nr 2–3, s. 344–348, DOI: 10.1016/j.jacceco.2010.09.001, otwarta wersja: https://repository.upenn.edu/bitstreams/d808a148-5784-459d-acbf-770e73cc98ef/download [dostęp: 15.08.2026].</w:t>
      </w:r>
    </w:p>
  </w:footnote>
  <w:footnote w:id="16">
    <w:p w14:paraId="46C7EFA2" w14:textId="77777777" w:rsidR="0010172E" w:rsidRPr="00DF35F6" w:rsidRDefault="00000000">
      <w:pPr>
        <w:pStyle w:val="FootnoteText"/>
        <w:rPr>
          <w:lang w:val="en-US"/>
        </w:rPr>
      </w:pPr>
      <w:r>
        <w:rPr>
          <w:rStyle w:val="FootnoteReference"/>
        </w:rPr>
        <w:footnoteRef/>
      </w:r>
      <w:r w:rsidRPr="00DF35F6">
        <w:rPr>
          <w:lang w:val="en-US"/>
        </w:rPr>
        <w:t xml:space="preserve"> Financial Accounting Standards Board, </w:t>
      </w:r>
      <w:r w:rsidRPr="00DF35F6">
        <w:rPr>
          <w:i/>
          <w:iCs/>
          <w:lang w:val="en-US"/>
        </w:rPr>
        <w:t>Statement of Financial Accounting Concepts No. 8…</w:t>
      </w:r>
      <w:r w:rsidRPr="00DF35F6">
        <w:rPr>
          <w:lang w:val="en-US"/>
        </w:rPr>
        <w:t>, dz. cyt., par. QC15–QC16.</w:t>
      </w:r>
    </w:p>
  </w:footnote>
  <w:footnote w:id="17">
    <w:p w14:paraId="7F410213" w14:textId="77777777" w:rsidR="0010172E" w:rsidRPr="00DF35F6" w:rsidRDefault="00000000">
      <w:pPr>
        <w:pStyle w:val="FootnoteText"/>
        <w:rPr>
          <w:lang w:val="en-US"/>
        </w:rPr>
      </w:pPr>
      <w:r>
        <w:rPr>
          <w:rStyle w:val="FootnoteReference"/>
        </w:rPr>
        <w:footnoteRef/>
      </w:r>
      <w:r w:rsidRPr="00DF35F6">
        <w:rPr>
          <w:lang w:val="en-US"/>
        </w:rPr>
        <w:t xml:space="preserve"> P.M. Dechow, I.D. Dichev, </w:t>
      </w:r>
      <w:r w:rsidRPr="00DF35F6">
        <w:rPr>
          <w:i/>
          <w:iCs/>
          <w:lang w:val="en-US"/>
        </w:rPr>
        <w:t>The Quality of Accruals and Earnings: The Role of Accrual Estimation Errors</w:t>
      </w:r>
      <w:r w:rsidRPr="00DF35F6">
        <w:rPr>
          <w:lang w:val="en-US"/>
        </w:rPr>
        <w:t>, „The Accounting Review” 2002, vol. 77, Supplement, s. 35–59, zwł. s. 35–42, DOI: 10.2308/accr.2002.77.s-1.35, otwarta wersja robocza: https://quod.lib.umich.edu/b/busadwp/images/b/2/0/b2037816.0001.001.pdf [dostęp: 15.08.2026].</w:t>
      </w:r>
    </w:p>
  </w:footnote>
  <w:footnote w:id="18">
    <w:p w14:paraId="7BF98624" w14:textId="77777777" w:rsidR="0010172E" w:rsidRPr="00DF35F6" w:rsidRDefault="00000000">
      <w:pPr>
        <w:pStyle w:val="FootnoteText"/>
        <w:rPr>
          <w:lang w:val="en-US"/>
        </w:rPr>
      </w:pPr>
      <w:r>
        <w:rPr>
          <w:rStyle w:val="FootnoteReference"/>
        </w:rPr>
        <w:footnoteRef/>
      </w:r>
      <w:r w:rsidRPr="00DF35F6">
        <w:rPr>
          <w:lang w:val="en-US"/>
        </w:rPr>
        <w:t xml:space="preserve"> P.M. Healy, J.M. Wahlen, </w:t>
      </w:r>
      <w:r w:rsidRPr="00DF35F6">
        <w:rPr>
          <w:i/>
          <w:iCs/>
          <w:lang w:val="en-US"/>
        </w:rPr>
        <w:t>A Review of the Earnings Management Literature and Its Implications for Standard Setting</w:t>
      </w:r>
      <w:r w:rsidRPr="00DF35F6">
        <w:rPr>
          <w:lang w:val="en-US"/>
        </w:rPr>
        <w:t>, „Accounting Horizons” 1999, vol. 13, nr 4, s. 365–370, zwł. s. 368, DOI: 10.2308/acch.1999.13.4.365, otwarta wersja: https://bpb-us-w2.wpmucdn.com/u.osu.edu/dist/8/36875/files/2016/12/Healy-Wahlen-xu1tyz.pdf [dostęp: 15.08.2026].</w:t>
      </w:r>
    </w:p>
  </w:footnote>
  <w:footnote w:id="19">
    <w:p w14:paraId="2E9BFADB" w14:textId="77777777" w:rsidR="0010172E" w:rsidRPr="00DF35F6" w:rsidRDefault="00000000">
      <w:pPr>
        <w:pStyle w:val="FootnoteText"/>
        <w:rPr>
          <w:lang w:val="en-US"/>
        </w:rPr>
      </w:pPr>
      <w:r>
        <w:rPr>
          <w:rStyle w:val="FootnoteReference"/>
        </w:rPr>
        <w:footnoteRef/>
      </w:r>
      <w:r w:rsidRPr="00DF35F6">
        <w:rPr>
          <w:lang w:val="en-US"/>
        </w:rPr>
        <w:t xml:space="preserve"> Public Company Accounting Oversight Board, </w:t>
      </w:r>
      <w:r w:rsidRPr="00DF35F6">
        <w:rPr>
          <w:i/>
          <w:iCs/>
          <w:lang w:val="en-US"/>
        </w:rPr>
        <w:t>AS 2401: Consideration of Fraud in a Financial Statement Audit</w:t>
      </w:r>
      <w:r w:rsidRPr="00DF35F6">
        <w:rPr>
          <w:lang w:val="en-US"/>
        </w:rPr>
        <w:t>, par. .05–.12, zwł. .05–.08, https://pcaobus.org/oversight/standards/auditing-standards/details/AS2401 [dostęp: 15.08.2026].</w:t>
      </w:r>
    </w:p>
  </w:footnote>
  <w:footnote w:id="20">
    <w:p w14:paraId="30F36D11" w14:textId="77777777" w:rsidR="0010172E" w:rsidRPr="00DF35F6" w:rsidRDefault="00000000">
      <w:pPr>
        <w:pStyle w:val="FootnoteText"/>
        <w:rPr>
          <w:lang w:val="en-US"/>
        </w:rPr>
      </w:pPr>
      <w:r>
        <w:rPr>
          <w:rStyle w:val="FootnoteReference"/>
        </w:rPr>
        <w:footnoteRef/>
      </w:r>
      <w:r w:rsidRPr="00DF35F6">
        <w:rPr>
          <w:lang w:val="en-US"/>
        </w:rPr>
        <w:t xml:space="preserve"> S. Roychowdhury, </w:t>
      </w:r>
      <w:r w:rsidRPr="00DF35F6">
        <w:rPr>
          <w:i/>
          <w:iCs/>
          <w:lang w:val="en-US"/>
        </w:rPr>
        <w:t>Earnings Management through Real Activities Manipulation</w:t>
      </w:r>
      <w:r w:rsidRPr="00DF35F6">
        <w:rPr>
          <w:lang w:val="en-US"/>
        </w:rPr>
        <w:t>, „Journal of Accounting and Economics” 2006, vol. 42, nr 3, s. 335–342 i 357–366, DOI: 10.1016/j.jacceco.2006.01.002, otwarta wersja: https://papers.ssrn.com/sol3/papers.cfm?abstract_id=477941 [dostęp: 15.08.2026].</w:t>
      </w:r>
    </w:p>
  </w:footnote>
  <w:footnote w:id="21">
    <w:p w14:paraId="05ABDFEC" w14:textId="77777777" w:rsidR="0010172E" w:rsidRPr="00DF35F6" w:rsidRDefault="00000000">
      <w:pPr>
        <w:pStyle w:val="FootnoteText"/>
        <w:rPr>
          <w:lang w:val="en-US"/>
        </w:rPr>
      </w:pPr>
      <w:r>
        <w:rPr>
          <w:rStyle w:val="FootnoteReference"/>
        </w:rPr>
        <w:footnoteRef/>
      </w:r>
      <w:r w:rsidRPr="00DF35F6">
        <w:rPr>
          <w:lang w:val="en-US"/>
        </w:rPr>
        <w:t xml:space="preserve"> P.M. Healy, J.M. Wahlen, </w:t>
      </w:r>
      <w:r w:rsidRPr="00DF35F6">
        <w:rPr>
          <w:i/>
          <w:iCs/>
          <w:lang w:val="en-US"/>
        </w:rPr>
        <w:t>A Review of the Earnings Management Literature…</w:t>
      </w:r>
      <w:r w:rsidRPr="00DF35F6">
        <w:rPr>
          <w:lang w:val="en-US"/>
        </w:rPr>
        <w:t>, dz. cyt., s. 370–379.</w:t>
      </w:r>
    </w:p>
  </w:footnote>
  <w:footnote w:id="22">
    <w:p w14:paraId="2DBA23CC" w14:textId="77777777" w:rsidR="0010172E" w:rsidRPr="00DF35F6" w:rsidRDefault="00000000">
      <w:pPr>
        <w:pStyle w:val="FootnoteText"/>
        <w:rPr>
          <w:lang w:val="en-US"/>
        </w:rPr>
      </w:pPr>
      <w:r>
        <w:rPr>
          <w:rStyle w:val="FootnoteReference"/>
        </w:rPr>
        <w:footnoteRef/>
      </w:r>
      <w:r w:rsidRPr="00DF35F6">
        <w:rPr>
          <w:lang w:val="en-US"/>
        </w:rPr>
        <w:t xml:space="preserve"> J.R. Graham, C.R. Harvey, S. Rajgopal, </w:t>
      </w:r>
      <w:r w:rsidRPr="00DF35F6">
        <w:rPr>
          <w:i/>
          <w:iCs/>
          <w:lang w:val="en-US"/>
        </w:rPr>
        <w:t>The Economic Implications of Corporate Financial Reporting</w:t>
      </w:r>
      <w:r w:rsidRPr="00DF35F6">
        <w:rPr>
          <w:lang w:val="en-US"/>
        </w:rPr>
        <w:t>, „Journal of Accounting and Economics” 2005, vol. 40, nr 1–3, s. 3–8 i 24–27, DOI: 10.1016/j.jacceco.2005.01.002, otwarta wersja: https://business.columbia.edu/sites/default/files-efs/pubfiles/12925/Rajgopal_economic_implications.pdf [dostęp: 15.08.2026].</w:t>
      </w:r>
    </w:p>
  </w:footnote>
  <w:footnote w:id="23">
    <w:p w14:paraId="58FC1263" w14:textId="77777777" w:rsidR="0010172E" w:rsidRPr="00DF35F6" w:rsidRDefault="00000000">
      <w:pPr>
        <w:pStyle w:val="FootnoteText"/>
        <w:rPr>
          <w:lang w:val="en-US"/>
        </w:rPr>
      </w:pPr>
      <w:r>
        <w:rPr>
          <w:rStyle w:val="FootnoteReference"/>
        </w:rPr>
        <w:footnoteRef/>
      </w:r>
      <w:r w:rsidRPr="00DF35F6">
        <w:rPr>
          <w:lang w:val="en-US"/>
        </w:rPr>
        <w:t xml:space="preserve"> J.J. Jones, </w:t>
      </w:r>
      <w:r w:rsidRPr="00DF35F6">
        <w:rPr>
          <w:i/>
          <w:iCs/>
          <w:lang w:val="en-US"/>
        </w:rPr>
        <w:t>Earnings Management During Import Relief Investigations</w:t>
      </w:r>
      <w:r w:rsidRPr="00DF35F6">
        <w:rPr>
          <w:lang w:val="en-US"/>
        </w:rPr>
        <w:t xml:space="preserve">, „Journal of Accounting Research” 1991, vol. 29, nr 2, s. 193–201, DOI: 10.2307/2491047; </w:t>
      </w:r>
      <w:hyperlink r:id="rId2">
        <w:r w:rsidRPr="00DF35F6">
          <w:rPr>
            <w:rStyle w:val="Hyperlink"/>
            <w:lang w:val="en-US"/>
          </w:rPr>
          <w:t>pełna kopia na serwerze Xiangtan University</w:t>
        </w:r>
      </w:hyperlink>
      <w:r w:rsidRPr="00DF35F6">
        <w:rPr>
          <w:lang w:val="en-US"/>
        </w:rPr>
        <w:t xml:space="preserve"> [dostęp: 15.08.2026].</w:t>
      </w:r>
    </w:p>
  </w:footnote>
  <w:footnote w:id="24">
    <w:p w14:paraId="595A5287" w14:textId="77777777" w:rsidR="0010172E" w:rsidRPr="00DF35F6" w:rsidRDefault="00000000">
      <w:pPr>
        <w:pStyle w:val="FootnoteText"/>
        <w:rPr>
          <w:lang w:val="en-US"/>
        </w:rPr>
      </w:pPr>
      <w:r>
        <w:rPr>
          <w:rStyle w:val="FootnoteReference"/>
        </w:rPr>
        <w:footnoteRef/>
      </w:r>
      <w:r w:rsidRPr="00DF35F6">
        <w:rPr>
          <w:lang w:val="en-US"/>
        </w:rPr>
        <w:t xml:space="preserve"> P.M. Dechow, R.G. Sloan, A.P. Sweeney, </w:t>
      </w:r>
      <w:r w:rsidRPr="00DF35F6">
        <w:rPr>
          <w:i/>
          <w:iCs/>
          <w:lang w:val="en-US"/>
        </w:rPr>
        <w:t>Detecting Earnings Management</w:t>
      </w:r>
      <w:r w:rsidRPr="00DF35F6">
        <w:rPr>
          <w:lang w:val="en-US"/>
        </w:rPr>
        <w:t xml:space="preserve">, „The Accounting Review” 1995, vol. 70, nr 2, s. 193–199 i 203–207, stabilny identyfikator: https://www.jstor.org/stable/248303; </w:t>
      </w:r>
      <w:hyperlink r:id="rId3">
        <w:r w:rsidRPr="00DF35F6">
          <w:rPr>
            <w:rStyle w:val="Hyperlink"/>
            <w:lang w:val="en-US"/>
          </w:rPr>
          <w:t>pełna kopia na serwerze Xiangtan University</w:t>
        </w:r>
      </w:hyperlink>
      <w:r w:rsidRPr="00DF35F6">
        <w:rPr>
          <w:lang w:val="en-US"/>
        </w:rPr>
        <w:t xml:space="preserve"> [dostęp: 15.08.2026].</w:t>
      </w:r>
    </w:p>
  </w:footnote>
  <w:footnote w:id="25">
    <w:p w14:paraId="791CFAD4" w14:textId="77777777" w:rsidR="0010172E" w:rsidRPr="00DF35F6" w:rsidRDefault="00000000">
      <w:pPr>
        <w:pStyle w:val="FootnoteText"/>
        <w:rPr>
          <w:lang w:val="en-US"/>
        </w:rPr>
      </w:pPr>
      <w:r>
        <w:rPr>
          <w:rStyle w:val="FootnoteReference"/>
        </w:rPr>
        <w:footnoteRef/>
      </w:r>
      <w:r w:rsidRPr="00DF35F6">
        <w:rPr>
          <w:lang w:val="en-US"/>
        </w:rPr>
        <w:t xml:space="preserve"> S.P. Kothari, A.J. Leone, C.E. Wasley, </w:t>
      </w:r>
      <w:r w:rsidRPr="00DF35F6">
        <w:rPr>
          <w:i/>
          <w:iCs/>
          <w:lang w:val="en-US"/>
        </w:rPr>
        <w:t>Performance Matched Discretionary Accrual Measures</w:t>
      </w:r>
      <w:r w:rsidRPr="00DF35F6">
        <w:rPr>
          <w:lang w:val="en-US"/>
        </w:rPr>
        <w:t>, „Journal of Accounting and Economics” 2005, vol. 39, nr 1, s. 163–166 i 184–191, DOI: 10.1016/j.jacceco.2004.11.002, otwarta wersja: https://papers.ssrn.com/sol3/papers.cfm?abstract_id=264859 [dostęp: 15.08.2026].</w:t>
      </w:r>
    </w:p>
  </w:footnote>
  <w:footnote w:id="26">
    <w:p w14:paraId="67CF8588" w14:textId="77777777" w:rsidR="0010172E" w:rsidRPr="00DF35F6" w:rsidRDefault="00000000">
      <w:pPr>
        <w:pStyle w:val="FootnoteText"/>
        <w:rPr>
          <w:lang w:val="en-US"/>
        </w:rPr>
      </w:pPr>
      <w:r>
        <w:rPr>
          <w:rStyle w:val="FootnoteReference"/>
        </w:rPr>
        <w:footnoteRef/>
      </w:r>
      <w:r w:rsidRPr="00DF35F6">
        <w:rPr>
          <w:lang w:val="en-US"/>
        </w:rPr>
        <w:t xml:space="preserve"> P.M. Dechow, R.G. Sloan, A.P. Sweeney, </w:t>
      </w:r>
      <w:r w:rsidRPr="00DF35F6">
        <w:rPr>
          <w:i/>
          <w:iCs/>
          <w:lang w:val="en-US"/>
        </w:rPr>
        <w:t>Detecting Earnings Management</w:t>
      </w:r>
      <w:r w:rsidRPr="00DF35F6">
        <w:rPr>
          <w:lang w:val="en-US"/>
        </w:rPr>
        <w:t>, dz. cyt., s. 207–215.</w:t>
      </w:r>
    </w:p>
  </w:footnote>
  <w:footnote w:id="27">
    <w:p w14:paraId="1F42AF9D" w14:textId="77777777" w:rsidR="0010172E" w:rsidRPr="00DF35F6" w:rsidRDefault="00000000">
      <w:pPr>
        <w:pStyle w:val="FootnoteText"/>
        <w:rPr>
          <w:lang w:val="en-US"/>
        </w:rPr>
      </w:pPr>
      <w:r>
        <w:rPr>
          <w:rStyle w:val="FootnoteReference"/>
        </w:rPr>
        <w:footnoteRef/>
      </w:r>
      <w:r w:rsidRPr="00DF35F6">
        <w:rPr>
          <w:lang w:val="en-US"/>
        </w:rPr>
        <w:t xml:space="preserve"> M.D. Beneish, </w:t>
      </w:r>
      <w:r w:rsidRPr="00DF35F6">
        <w:rPr>
          <w:i/>
          <w:iCs/>
          <w:lang w:val="en-US"/>
        </w:rPr>
        <w:t>The Detection of Earnings Manipulation</w:t>
      </w:r>
      <w:r w:rsidRPr="00DF35F6">
        <w:rPr>
          <w:lang w:val="en-US"/>
        </w:rPr>
        <w:t>, „Financial Analysts Journal” 1999, vol. 55, nr 5, s. 24–29, DOI: 10.2469/faj.v55.n5.2296, otwarta wersja autorska: https://www.researchgate.net/publication/252059255_The_Detection_of_Earnings_Manipulation [dostęp: 15.08.2026].</w:t>
      </w:r>
    </w:p>
  </w:footnote>
  <w:footnote w:id="28">
    <w:p w14:paraId="5C57E184" w14:textId="77777777" w:rsidR="0010172E" w:rsidRPr="00DF35F6" w:rsidRDefault="00000000">
      <w:pPr>
        <w:pStyle w:val="FootnoteText"/>
        <w:rPr>
          <w:lang w:val="en-US"/>
        </w:rPr>
      </w:pPr>
      <w:r>
        <w:rPr>
          <w:rStyle w:val="FootnoteReference"/>
        </w:rPr>
        <w:footnoteRef/>
      </w:r>
      <w:r w:rsidRPr="00DF35F6">
        <w:rPr>
          <w:lang w:val="en-US"/>
        </w:rPr>
        <w:t xml:space="preserve"> M.D. Beneish, </w:t>
      </w:r>
      <w:r w:rsidRPr="00DF35F6">
        <w:rPr>
          <w:i/>
          <w:iCs/>
          <w:lang w:val="en-US"/>
        </w:rPr>
        <w:t>The Detection of Earnings Manipulation</w:t>
      </w:r>
      <w:r w:rsidRPr="00DF35F6">
        <w:rPr>
          <w:lang w:val="en-US"/>
        </w:rPr>
        <w:t>, dz. cyt., s. 29–36.</w:t>
      </w:r>
    </w:p>
  </w:footnote>
  <w:footnote w:id="29">
    <w:p w14:paraId="327369BC" w14:textId="77777777" w:rsidR="0010172E" w:rsidRPr="00DF35F6" w:rsidRDefault="00000000">
      <w:pPr>
        <w:pStyle w:val="FootnoteText"/>
        <w:rPr>
          <w:lang w:val="en-US"/>
        </w:rPr>
      </w:pPr>
      <w:r>
        <w:rPr>
          <w:rStyle w:val="FootnoteReference"/>
        </w:rPr>
        <w:footnoteRef/>
      </w:r>
      <w:r w:rsidRPr="00DF35F6">
        <w:rPr>
          <w:lang w:val="en-US"/>
        </w:rPr>
        <w:t xml:space="preserve"> P.M. Dechow, W. Ge, C.R. Larson, R.G. Sloan, </w:t>
      </w:r>
      <w:r w:rsidRPr="00DF35F6">
        <w:rPr>
          <w:i/>
          <w:iCs/>
          <w:lang w:val="en-US"/>
        </w:rPr>
        <w:t>Predicting Material Accounting Misstatements</w:t>
      </w:r>
      <w:r w:rsidRPr="00DF35F6">
        <w:rPr>
          <w:lang w:val="en-US"/>
        </w:rPr>
        <w:t>, „Contemporary Accounting Research” 2011, vol. 28, nr 1, s. 17–27 i 55–62, DOI: 10.1111/j.1911-3846.2010.01041.x, otwarta wersja: https://papers.ssrn.com/sol3/papers.cfm?abstract_id=997483 [dostęp: 15.08.2026].</w:t>
      </w:r>
    </w:p>
  </w:footnote>
  <w:footnote w:id="30">
    <w:p w14:paraId="10AC108A" w14:textId="77777777" w:rsidR="0010172E" w:rsidRPr="00DF35F6" w:rsidRDefault="00000000">
      <w:pPr>
        <w:pStyle w:val="FootnoteText"/>
        <w:rPr>
          <w:lang w:val="en-US"/>
        </w:rPr>
      </w:pPr>
      <w:r>
        <w:rPr>
          <w:rStyle w:val="FootnoteReference"/>
        </w:rPr>
        <w:footnoteRef/>
      </w:r>
      <w:r w:rsidRPr="00DF35F6">
        <w:rPr>
          <w:lang w:val="en-US"/>
        </w:rPr>
        <w:t xml:space="preserve"> U.S. Securities and Exchange Commission, </w:t>
      </w:r>
      <w:r w:rsidRPr="00DF35F6">
        <w:rPr>
          <w:i/>
          <w:iCs/>
          <w:lang w:val="en-US"/>
        </w:rPr>
        <w:t>Accounting and Auditing Enforcement Releases</w:t>
      </w:r>
      <w:r w:rsidRPr="00DF35F6">
        <w:rPr>
          <w:lang w:val="en-US"/>
        </w:rPr>
        <w:t>, https://www.sec.gov/enforcement-litigation/accounting-auditing-enforcement-releases [dostęp: 15.08.2026].</w:t>
      </w:r>
    </w:p>
  </w:footnote>
  <w:footnote w:id="31">
    <w:p w14:paraId="34033D4C" w14:textId="77777777" w:rsidR="0010172E" w:rsidRDefault="00000000">
      <w:pPr>
        <w:pStyle w:val="FootnoteText"/>
      </w:pPr>
      <w:r>
        <w:rPr>
          <w:rStyle w:val="FootnoteReference"/>
        </w:rPr>
        <w:footnoteRef/>
      </w:r>
      <w:r>
        <w:t xml:space="preserve"> M. Zaleska, </w:t>
      </w:r>
      <w:r>
        <w:rPr>
          <w:i/>
          <w:iCs/>
        </w:rPr>
        <w:t>Ocena kondycji finansowej…</w:t>
      </w:r>
      <w:r>
        <w:t>, dz. cyt., s. 69–72.</w:t>
      </w:r>
    </w:p>
  </w:footnote>
  <w:footnote w:id="32">
    <w:p w14:paraId="7B536B2A" w14:textId="77777777" w:rsidR="0010172E" w:rsidRDefault="00000000">
      <w:pPr>
        <w:pStyle w:val="FootnoteText"/>
      </w:pPr>
      <w:r>
        <w:rPr>
          <w:rStyle w:val="FootnoteReference"/>
        </w:rPr>
        <w:footnoteRef/>
      </w:r>
      <w:r>
        <w:t xml:space="preserve"> M. Zaleska, </w:t>
      </w:r>
      <w:r>
        <w:rPr>
          <w:i/>
          <w:iCs/>
        </w:rPr>
        <w:t>Ocena kondycji finansowej…</w:t>
      </w:r>
      <w:r>
        <w:t>, dz. cyt., s. 72–76.</w:t>
      </w:r>
    </w:p>
  </w:footnote>
  <w:footnote w:id="33">
    <w:p w14:paraId="4A43334D" w14:textId="77777777" w:rsidR="0010172E" w:rsidRPr="00DF35F6" w:rsidRDefault="00000000">
      <w:pPr>
        <w:pStyle w:val="FootnoteText"/>
        <w:rPr>
          <w:lang w:val="en-US"/>
        </w:rPr>
      </w:pPr>
      <w:r>
        <w:rPr>
          <w:rStyle w:val="FootnoteReference"/>
        </w:rPr>
        <w:footnoteRef/>
      </w:r>
      <w:r w:rsidRPr="00DF35F6">
        <w:rPr>
          <w:lang w:val="en-US"/>
        </w:rPr>
        <w:t xml:space="preserve"> Tamże, s. 86–98.</w:t>
      </w:r>
    </w:p>
  </w:footnote>
  <w:footnote w:id="34">
    <w:p w14:paraId="0F13F35B" w14:textId="77777777" w:rsidR="0010172E" w:rsidRPr="00DF35F6" w:rsidRDefault="00000000">
      <w:pPr>
        <w:pStyle w:val="FootnoteText"/>
        <w:rPr>
          <w:lang w:val="en-US"/>
        </w:rPr>
      </w:pPr>
      <w:r>
        <w:rPr>
          <w:rStyle w:val="FootnoteReference"/>
        </w:rPr>
        <w:footnoteRef/>
      </w:r>
      <w:r w:rsidRPr="00DF35F6">
        <w:rPr>
          <w:lang w:val="en-US"/>
        </w:rPr>
        <w:t xml:space="preserve"> Tamże, s. 70–72, 78–85.</w:t>
      </w:r>
    </w:p>
  </w:footnote>
  <w:footnote w:id="35">
    <w:p w14:paraId="0B6BB07F" w14:textId="77777777" w:rsidR="0010172E" w:rsidRPr="00DF35F6" w:rsidRDefault="00000000">
      <w:pPr>
        <w:pStyle w:val="FootnoteText"/>
        <w:rPr>
          <w:lang w:val="en-US"/>
        </w:rPr>
      </w:pPr>
      <w:r>
        <w:rPr>
          <w:rStyle w:val="FootnoteReference"/>
        </w:rPr>
        <w:footnoteRef/>
      </w:r>
      <w:r w:rsidRPr="00DF35F6">
        <w:rPr>
          <w:lang w:val="en-US"/>
        </w:rPr>
        <w:t xml:space="preserve"> D. Nissim, S.H. Penman, </w:t>
      </w:r>
      <w:r w:rsidRPr="00DF35F6">
        <w:rPr>
          <w:i/>
          <w:iCs/>
          <w:lang w:val="en-US"/>
        </w:rPr>
        <w:t>Ratio Analysis and Equity Valuation: From Research to Practice</w:t>
      </w:r>
      <w:r w:rsidRPr="00DF35F6">
        <w:rPr>
          <w:lang w:val="en-US"/>
        </w:rPr>
        <w:t>, „Review of Accounting Studies” 2001, vol. 6, nr 1, s. 109–154, zwł. s. 109–124, DOI: 10.1023/A:1011338221623, otwarta wersja autorska: https://www.columbia.edu/~dn75/Ratio_analysis_and_equity_valuation_From_research_to_practice.pdf [dostęp: 15.08.2026].</w:t>
      </w:r>
    </w:p>
  </w:footnote>
  <w:footnote w:id="36">
    <w:p w14:paraId="3D5EA1B9" w14:textId="77777777" w:rsidR="0010172E" w:rsidRDefault="00000000">
      <w:pPr>
        <w:pStyle w:val="FootnoteText"/>
      </w:pPr>
      <w:r>
        <w:rPr>
          <w:rStyle w:val="FootnoteReference"/>
        </w:rPr>
        <w:footnoteRef/>
      </w:r>
      <w:r>
        <w:t xml:space="preserve"> M. Zaleska, </w:t>
      </w:r>
      <w:r>
        <w:rPr>
          <w:i/>
          <w:iCs/>
        </w:rPr>
        <w:t>Ocena kondycji finansowej…</w:t>
      </w:r>
      <w:r>
        <w:t>, dz. cyt., s. 69–71.</w:t>
      </w:r>
    </w:p>
  </w:footnote>
  <w:footnote w:id="37">
    <w:p w14:paraId="726F08C6" w14:textId="77777777" w:rsidR="0010172E" w:rsidRPr="00DF35F6" w:rsidRDefault="00000000">
      <w:pPr>
        <w:pStyle w:val="FootnoteText"/>
        <w:rPr>
          <w:lang w:val="en-US"/>
        </w:rPr>
      </w:pPr>
      <w:r>
        <w:rPr>
          <w:rStyle w:val="FootnoteReference"/>
        </w:rPr>
        <w:footnoteRef/>
      </w:r>
      <w:r w:rsidRPr="00DF35F6">
        <w:rPr>
          <w:lang w:val="en-US"/>
        </w:rPr>
        <w:t xml:space="preserve"> B. Lev, S. Sunder, </w:t>
      </w:r>
      <w:r w:rsidRPr="00DF35F6">
        <w:rPr>
          <w:i/>
          <w:iCs/>
          <w:lang w:val="en-US"/>
        </w:rPr>
        <w:t>Methodological Issues in the Use of Financial Ratios</w:t>
      </w:r>
      <w:r w:rsidRPr="00DF35F6">
        <w:rPr>
          <w:lang w:val="en-US"/>
        </w:rPr>
        <w:t xml:space="preserve">, „Journal of Accounting and Economics” 1979, vol. 1, nr 3, s. 187–210, zwł. s. 188–198, DOI: 10.1016/0165-4101(79)90007-7; </w:t>
      </w:r>
      <w:hyperlink r:id="rId4">
        <w:r w:rsidRPr="00DF35F6">
          <w:rPr>
            <w:rStyle w:val="Hyperlink"/>
            <w:lang w:val="en-US"/>
          </w:rPr>
          <w:t>pełny tekst w serwisie autora</w:t>
        </w:r>
      </w:hyperlink>
      <w:r w:rsidRPr="00DF35F6">
        <w:rPr>
          <w:lang w:val="en-US"/>
        </w:rPr>
        <w:t xml:space="preserve"> [dostęp: 15.08.2026].</w:t>
      </w:r>
    </w:p>
  </w:footnote>
  <w:footnote w:id="38">
    <w:p w14:paraId="28B09A94" w14:textId="77777777" w:rsidR="0010172E" w:rsidRPr="00DF35F6" w:rsidRDefault="00000000">
      <w:pPr>
        <w:pStyle w:val="FootnoteText"/>
        <w:rPr>
          <w:lang w:val="en-US"/>
        </w:rPr>
      </w:pPr>
      <w:r>
        <w:rPr>
          <w:rStyle w:val="FootnoteReference"/>
        </w:rPr>
        <w:footnoteRef/>
      </w:r>
      <w:r w:rsidRPr="00DF35F6">
        <w:rPr>
          <w:lang w:val="en-US"/>
        </w:rPr>
        <w:t xml:space="preserve"> S. Balcaen, H. Ooghe, </w:t>
      </w:r>
      <w:r w:rsidRPr="00DF35F6">
        <w:rPr>
          <w:i/>
          <w:iCs/>
          <w:lang w:val="en-US"/>
        </w:rPr>
        <w:t>35 Years of Studies on Business Failure…</w:t>
      </w:r>
      <w:r w:rsidRPr="00DF35F6">
        <w:rPr>
          <w:lang w:val="en-US"/>
        </w:rPr>
        <w:t>, dz. cyt., s. 80–86.</w:t>
      </w:r>
    </w:p>
  </w:footnote>
  <w:footnote w:id="39">
    <w:p w14:paraId="1A26E2FB" w14:textId="77777777" w:rsidR="0010172E" w:rsidRPr="00DF35F6" w:rsidRDefault="00000000">
      <w:pPr>
        <w:pStyle w:val="FootnoteText"/>
        <w:rPr>
          <w:lang w:val="en-US"/>
        </w:rPr>
      </w:pPr>
      <w:r>
        <w:rPr>
          <w:rStyle w:val="FootnoteReference"/>
        </w:rPr>
        <w:footnoteRef/>
      </w:r>
      <w:r w:rsidRPr="00DF35F6">
        <w:rPr>
          <w:lang w:val="en-US"/>
        </w:rPr>
        <w:t xml:space="preserve"> U.S. Securities and Exchange Commission, </w:t>
      </w:r>
      <w:r w:rsidRPr="00DF35F6">
        <w:rPr>
          <w:i/>
          <w:iCs/>
          <w:lang w:val="en-US"/>
        </w:rPr>
        <w:t>EDGAR Application Programming Interfaces (APIs)</w:t>
      </w:r>
      <w:r w:rsidRPr="00DF35F6">
        <w:rPr>
          <w:lang w:val="en-US"/>
        </w:rPr>
        <w:t>, część „XBRL Data APIs”, https://www.sec.gov/search-filings/edgar-application-programming-interfaces [dostęp: 15.08.2026].</w:t>
      </w:r>
    </w:p>
  </w:footnote>
  <w:footnote w:id="40">
    <w:p w14:paraId="60DE6809" w14:textId="77777777" w:rsidR="0010172E" w:rsidRPr="00DF35F6" w:rsidRDefault="00000000">
      <w:pPr>
        <w:pStyle w:val="FootnoteText"/>
        <w:rPr>
          <w:lang w:val="en-US"/>
        </w:rPr>
      </w:pPr>
      <w:r>
        <w:rPr>
          <w:rStyle w:val="FootnoteReference"/>
        </w:rPr>
        <w:footnoteRef/>
      </w:r>
      <w:r w:rsidRPr="00DF35F6">
        <w:rPr>
          <w:lang w:val="en-US"/>
        </w:rPr>
        <w:t xml:space="preserve"> U.S. Securities and Exchange Commission, </w:t>
      </w:r>
      <w:r w:rsidRPr="00DF35F6">
        <w:rPr>
          <w:i/>
          <w:iCs/>
          <w:lang w:val="en-US"/>
        </w:rPr>
        <w:t>U.S. GAAP – XBRL Custom Tags Trend</w:t>
      </w:r>
      <w:r w:rsidRPr="00DF35F6">
        <w:rPr>
          <w:lang w:val="en-US"/>
        </w:rPr>
        <w:t>, https://www.sec.gov/data-research/structured-data/us-gaap-xbrl-custom-tags-trend [dostęp: 15.08.2026].</w:t>
      </w:r>
    </w:p>
  </w:footnote>
  <w:footnote w:id="41">
    <w:p w14:paraId="4F4A0B98" w14:textId="77777777" w:rsidR="0010172E" w:rsidRPr="00DF35F6" w:rsidRDefault="00000000">
      <w:pPr>
        <w:pStyle w:val="FootnoteText"/>
        <w:rPr>
          <w:lang w:val="en-US"/>
        </w:rPr>
      </w:pPr>
      <w:r>
        <w:rPr>
          <w:rStyle w:val="FootnoteReference"/>
        </w:rPr>
        <w:footnoteRef/>
      </w:r>
      <w:r w:rsidRPr="00DF35F6">
        <w:rPr>
          <w:lang w:val="en-US"/>
        </w:rPr>
        <w:t xml:space="preserve"> S. Balcaen, H. Ooghe, </w:t>
      </w:r>
      <w:r w:rsidRPr="00DF35F6">
        <w:rPr>
          <w:i/>
          <w:iCs/>
          <w:lang w:val="en-US"/>
        </w:rPr>
        <w:t>35 Years of Studies on Business Failure…</w:t>
      </w:r>
      <w:r w:rsidRPr="00DF35F6">
        <w:rPr>
          <w:lang w:val="en-US"/>
        </w:rPr>
        <w:t>, dz. cyt., s. 65–89.</w:t>
      </w:r>
    </w:p>
  </w:footnote>
  <w:footnote w:id="42">
    <w:p w14:paraId="66AB9664" w14:textId="77777777" w:rsidR="0010172E" w:rsidRDefault="00000000">
      <w:pPr>
        <w:pStyle w:val="FootnoteText"/>
      </w:pPr>
      <w:r>
        <w:rPr>
          <w:rStyle w:val="FootnoteReference"/>
        </w:rPr>
        <w:footnoteRef/>
      </w:r>
      <w:r w:rsidRPr="00DF35F6">
        <w:rPr>
          <w:lang w:val="en-US"/>
        </w:rPr>
        <w:t xml:space="preserve"> U.S. Securities and Exchange Commission, </w:t>
      </w:r>
      <w:r w:rsidRPr="00DF35F6">
        <w:rPr>
          <w:i/>
          <w:iCs/>
          <w:lang w:val="en-US"/>
        </w:rPr>
        <w:t>Form 10-K</w:t>
      </w:r>
      <w:r w:rsidRPr="00DF35F6">
        <w:rPr>
          <w:lang w:val="en-US"/>
        </w:rPr>
        <w:t xml:space="preserve">, s. 1–2, https://www.sec.gov/files/form10-k.pdf; U.S. Securities and Exchange Commission, </w:t>
      </w:r>
      <w:r w:rsidRPr="00DF35F6">
        <w:rPr>
          <w:i/>
          <w:iCs/>
          <w:lang w:val="en-US"/>
        </w:rPr>
        <w:t>EDGAR Application Programming Interfaces (APIs)</w:t>
      </w:r>
      <w:r w:rsidRPr="00DF35F6">
        <w:rPr>
          <w:lang w:val="en-US"/>
        </w:rPr>
        <w:t xml:space="preserve">, dz. cyt. </w:t>
      </w:r>
      <w:r>
        <w:t>[dostęp: 15.08.2026].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F2C09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2"/>
  </w:num>
  <w:num w:numId="11" w16cid:durableId="623385886">
    <w:abstractNumId w:val="10"/>
  </w:num>
  <w:num w:numId="12" w16cid:durableId="881209793">
    <w:abstractNumId w:val="11"/>
  </w:num>
  <w:num w:numId="13" w16cid:durableId="195511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2E"/>
    <w:rsid w:val="0010172E"/>
    <w:rsid w:val="002F76A1"/>
    <w:rsid w:val="005159F4"/>
    <w:rsid w:val="006669F3"/>
    <w:rsid w:val="0090390E"/>
    <w:rsid w:val="00DF35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37BA9BC"/>
  <w15:docId w15:val="{1D705B4C-45D9-6E41-B28B-BB2A06B0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szCs w:val="24"/>
      <w:lang w:val="pl-PL"/>
    </w:rPr>
  </w:style>
  <w:style w:type="paragraph" w:styleId="Heading1">
    <w:name w:val="heading 1"/>
    <w:basedOn w:val="Normal"/>
    <w:next w:val="Normal"/>
    <w:link w:val="Heading1Char"/>
    <w:uiPriority w:val="9"/>
    <w:qFormat/>
    <w:rsid w:val="00FC693F"/>
    <w:pPr>
      <w:keepNext/>
      <w:keepLines/>
      <w:spacing w:before="240"/>
      <w:outlineLvl w:val="0"/>
    </w:pPr>
    <w:rPr>
      <w:b/>
      <w:bCs/>
    </w:rPr>
  </w:style>
  <w:style w:type="paragraph" w:styleId="Heading2">
    <w:name w:val="heading 2"/>
    <w:basedOn w:val="Normal"/>
    <w:next w:val="Normal"/>
    <w:link w:val="Heading2Char"/>
    <w:uiPriority w:val="9"/>
    <w:unhideWhenUsed/>
    <w:qFormat/>
    <w:rsid w:val="00FC693F"/>
    <w:pPr>
      <w:keepNext/>
      <w:keepLines/>
      <w:spacing w:before="240"/>
      <w:outlineLvl w:val="1"/>
    </w:pPr>
    <w:rPr>
      <w:b/>
      <w:bCs/>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non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style>
  <w:style w:type="paragraph" w:styleId="FootnoteText">
    <w:name w:val="footnote text"/>
    <w:basedOn w:val="Normal"/>
    <w:link w:val="FootnoteTextChar"/>
    <w:uiPriority w:val="99"/>
    <w:semiHidden/>
    <w:unhideWhenUsed/>
    <w:rsid w:val="00680300"/>
    <w:pPr>
      <w:spacing w:after="0" w:line="240" w:lineRule="auto"/>
      <w:jc w:val="both"/>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rFonts w:ascii="Times New Roman" w:eastAsia="Times New Roman" w:hAnsi="Times New Roman" w:cs="Times New Roman"/>
      <w:sz w:val="20"/>
      <w:szCs w:val="20"/>
      <w:vertAlign w:val="superscript"/>
      <w:lang w:val="pl-PL"/>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ind w:firstLine="709"/>
    </w:pPr>
  </w:style>
  <w:style w:type="table" w:customStyle="1" w:styleId="Table">
    <w:name w:val="Table"/>
    <w:semiHidden/>
    <w:unhideWhenUsed/>
    <w:qFormat/>
    <w:rsid w:val="00871DB2"/>
    <w:pPr>
      <w:spacing w:line="240" w:lineRule="auto"/>
    </w:pPr>
    <w:rPr>
      <w:rFonts w:eastAsiaTheme="minorHAnsi"/>
      <w:sz w:val="24"/>
      <w:szCs w:val="24"/>
      <w:lang w:eastAsia="ko-K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business.xtu.edu.cn/index.jsp?cc=file&amp;cd=news&amp;fid=910" TargetMode="External"/><Relationship Id="rId2" Type="http://schemas.openxmlformats.org/officeDocument/2006/relationships/hyperlink" Target="https://business.xtu.edu.cn/index.jsp?cc=file&amp;cd=news&amp;fid=909" TargetMode="External"/><Relationship Id="rId1" Type="http://schemas.openxmlformats.org/officeDocument/2006/relationships/hyperlink" Target="https://repository.vlerick.com/bitstreams/b237c00a-7ab3-4d4e-b250-795a4fce0b30/download" TargetMode="External"/><Relationship Id="rId4" Type="http://schemas.openxmlformats.org/officeDocument/2006/relationships/hyperlink" Target="https://spinup-000d1a-wp-offload-media.s3.amazonaws.com/faculty/wp-content/uploads/sites/53/2019/06/18.Methodological.IssuesJAE197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4485</Words>
  <Characters>25568</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Oskar Stachowski</dc:creator>
  <cp:keywords/>
  <cp:lastModifiedBy>Oskar Stachowski</cp:lastModifiedBy>
  <cp:revision>2</cp:revision>
  <dcterms:created xsi:type="dcterms:W3CDTF">2026-08-17T10:02:00Z</dcterms:created>
  <dcterms:modified xsi:type="dcterms:W3CDTF">2026-08-17T10:02:00Z</dcterms:modified>
</cp:coreProperties>
</file>