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sz w:val="32"/>
        </w:rPr>
        <w:t>Rozdział 5. Ewaluacja modeli i interpretacja wyników badania</w:t>
      </w:r>
    </w:p>
    <w:tbl>
      <w:tblPr>
        <w:tblW w:type="auto" w:w="0"/>
        <w:jc w:val="center"/>
        <w:tblLayout w:type="autofit"/>
        <w:tblLook w:firstColumn="1" w:firstRow="1" w:lastColumn="0" w:lastRow="0" w:noHBand="0" w:noVBand="1" w:val="04A0"/>
        <w:tblBorders>
          <w:top w:val="single" w:sz="6" w:space="0" w:color="A6A6A6"/>
          <w:start w:val="single" w:sz="6" w:space="0" w:color="A6A6A6"/>
          <w:bottom w:val="single" w:sz="6" w:space="0" w:color="A6A6A6"/>
          <w:end w:val="single" w:sz="6" w:space="0" w:color="A6A6A6"/>
          <w:insideH w:val="single" w:sz="6" w:space="0" w:color="A6A6A6"/>
          <w:insideV w:val="single" w:sz="6" w:space="0" w:color="A6A6A6"/>
        </w:tblBorders>
      </w:tblPr>
      <w:tblGrid>
        <w:gridCol w:w="8839"/>
      </w:tblGrid>
      <w:tr>
        <w:trPr>
          <w:cantSplit/>
        </w:trPr>
        <w:tc>
          <w:tcPr>
            <w:tcW w:type="dxa" w:w="8839"/>
            <w:shd w:fill="E7E6E6"/>
            <w:tcMar>
              <w:top w:w="140" w:type="dxa"/>
              <w:start w:w="180" w:type="dxa"/>
              <w:bottom w:w="140" w:type="dxa"/>
              <w:end w:w="180" w:type="dxa"/>
            </w:tcMar>
          </w:tcPr>
          <w:p>
            <w:pPr>
              <w:spacing w:line="276" w:lineRule="auto" w:after="0"/>
              <w:ind w:firstLine="0"/>
              <w:jc w:val="both"/>
            </w:pPr>
            <w:r>
              <w:rPr>
                <w:rFonts w:ascii="Times New Roman" w:hAnsi="Times New Roman" w:eastAsia="Times New Roman"/>
                <w:b/>
                <w:sz w:val="21"/>
              </w:rPr>
              <w:t xml:space="preserve">Nota redakcyjna - do usunięcia przed złożeniem pracy. </w:t>
            </w:r>
            <w:r>
              <w:rPr>
                <w:rFonts w:ascii="Times New Roman" w:hAnsi="Times New Roman" w:eastAsia="Times New Roman"/>
                <w:sz w:val="21"/>
              </w:rPr>
              <w:t>Niniejsza wersja została oparta wyłącznie na wynikach faktycznie zapisanych w repozytorium na dzień 21 sierpnia 2026 r. Ukończone są: analiza eksploracyjna próby 2011-2020, klasyczny/MLP coarse search oraz diagnostyka PCA. Nie wykonano jeszcze refinementu, potwierdzenia seedów, eksperymentów QNN Q1-Q2, kalibracji i doboru progu, pełnej interpretowalności, analiz robustness ani oceny wyników modeli dla okresów 2021-2024. Miejsca wymagające wstawienia późniejszych wyników oznaczono szarymi ramkami. Tekst nie zawiera wartości hipotetycznych ani zmyślonych rezultatów.</w:t>
            </w:r>
          </w:p>
        </w:tc>
      </w:tr>
    </w:tbl>
    <w:p>
      <w:pPr>
        <w:spacing w:after="0"/>
      </w:pPr>
    </w:p>
    <w:p>
      <w:pPr>
        <w:keepNext w:val="0"/>
        <w:spacing w:line="360" w:lineRule="auto" w:before="0" w:after="0"/>
        <w:ind w:firstLine="709"/>
        <w:jc w:val="both"/>
      </w:pPr>
      <w:r>
        <w:rPr>
          <w:rFonts w:ascii="Times New Roman" w:hAnsi="Times New Roman" w:eastAsia="Times New Roman"/>
          <w:sz w:val="24"/>
        </w:rPr>
        <w:t>Celem niniejszego rozdziału jest przedstawienie wyników części empirycznej oraz ich interpretacja w kontekście pytania o użyteczność hybrydowych kwantowych sieci neuronowych w klasyfikacji ryzyka finansowo-sprawozdawczego spółek publicznych. Analizę uporządkowano zgodnie z logiką całego badania: od charakterystyki próby i rozkładu klas, przez porównanie modeli klasycznych i klasycznej sieci neuronowej MLP, po ocenę wpływu doboru cech, redukcji wymiaru, definicji etykiety i ograniczeń konstrukcji eksperymentu. Dyskusję wyników, analizę błędów i ograniczenia włączono do podrozdziału 5.4, dzięki czemu nie jest potrzebny odrębny rozdział dyskusyjny.</w:t>
      </w:r>
    </w:p>
    <w:p>
      <w:pPr>
        <w:keepNext w:val="0"/>
        <w:spacing w:line="360" w:lineRule="auto" w:before="0" w:after="0"/>
        <w:ind w:firstLine="709"/>
        <w:jc w:val="both"/>
      </w:pPr>
      <w:r>
        <w:rPr>
          <w:rFonts w:ascii="Times New Roman" w:hAnsi="Times New Roman" w:eastAsia="Times New Roman"/>
          <w:sz w:val="24"/>
        </w:rPr>
        <w:t>Podstawą głównego porównania jest walidacja czasowa typu expanding window z rocznym embargo oraz kontrolą dostępności targetu w czasie. Ranking konfiguracji powstaje na podstawie pooled out-of-fold PR-AUC obliczanego po połączeniu predykcji z lat walidacyjnych 2015-2020. ROC-AUC pełni rolę miary uzupełniającej, natomiast metryki zależne od konkretnego progu decyzyjnego powinny zostać zinterpretowane dopiero po zakończeniu kalibracji i zamrożeniu progu. Takie rozdzielenie rankingu, kalibracji i decyzji progowej ogranicza ryzyko wyboru modelu na podstawie pojedynczego, arbitralnego punktu pracy.</w:t>
      </w:r>
    </w:p>
    <w:p>
      <w:pPr>
        <w:keepNext w:val="0"/>
        <w:spacing w:line="360" w:lineRule="auto" w:before="0" w:after="0"/>
        <w:ind w:firstLine="709"/>
        <w:jc w:val="both"/>
      </w:pPr>
      <w:r>
        <w:rPr>
          <w:rFonts w:ascii="Times New Roman" w:hAnsi="Times New Roman" w:eastAsia="Times New Roman"/>
          <w:sz w:val="24"/>
        </w:rPr>
        <w:t>Na obecnym etapie możliwe jest sformułowanie wiarygodnych wniosków dotyczących struktury próby, trudności zadania oraz wyników wstępnego przeszukania modeli klasycznych i MLP. Nie jest natomiast możliwa finalna odpowiedź na pytanie, czy QNN przewyższa modele klasyczne. Odpowiedź ta wymaga wykonania refinementu, potwierdzenia stabilności seedów, eksperymentów Q1 i Q2 oraz porównania z kontrolami PCA-matched. Z tego względu wyniki coarse searchu są w dalszej części konsekwentnie określane jako rozwojowe lub prowizoryczne, a nie końcowe.</w:t>
      </w:r>
    </w:p>
    <w:p>
      <w:pPr>
        <w:pStyle w:val="Heading2"/>
      </w:pPr>
      <w:r>
        <w:rPr>
          <w:rFonts w:ascii="Times New Roman" w:hAnsi="Times New Roman" w:eastAsia="Times New Roman"/>
          <w:b/>
          <w:sz w:val="28"/>
        </w:rPr>
        <w:t>5.1. Charakterystyka próby i rozkład klas</w:t>
      </w:r>
    </w:p>
    <w:p>
      <w:pPr>
        <w:spacing w:line="360" w:lineRule="auto" w:before="120" w:after="0"/>
        <w:ind w:firstLine="0"/>
        <w:jc w:val="both"/>
      </w:pPr>
      <w:r>
        <w:rPr>
          <w:rFonts w:ascii="Times New Roman" w:hAnsi="Times New Roman" w:eastAsia="Times New Roman"/>
          <w:b/>
          <w:sz w:val="24"/>
        </w:rPr>
        <w:t xml:space="preserve">Liczebność i jednostka obserwacji. </w:t>
      </w:r>
      <w:r>
        <w:rPr>
          <w:rFonts w:ascii="Times New Roman" w:hAnsi="Times New Roman" w:eastAsia="Times New Roman"/>
          <w:sz w:val="24"/>
        </w:rPr>
        <w:t>Główna próba treningowo-walidacyjna obejmuje 19 671 obserwacji typu spółka-rok z lat 2011-2020. Obserwacje dotyczą 4 426 unikalnych emitentów identyfikowanych numerem CIK oraz 4 418 grup ekonomicznych. Mediana liczby obserwacji przypadających na spółkę wynosi 4, co potwierdza panelowy, lecz niezbilansowany charakter danych. Pojedyncza spółka może występować w kilku latach, dlatego wnioskowanie nie może opierać się na założeniu pełnej niezależności wierszy. Z tego powodu w planie badania przewidziano m.in. bootstrap klastrowany po economic_group_id oraz dodatkową walidację z usunięciem z części treningowej grup obecnych w części walidacyjnej.</w:t>
      </w:r>
    </w:p>
    <w:p>
      <w:pPr>
        <w:keepNext w:val="0"/>
        <w:spacing w:line="360" w:lineRule="auto" w:before="0" w:after="0"/>
        <w:ind w:firstLine="709"/>
        <w:jc w:val="both"/>
      </w:pPr>
      <w:r>
        <w:rPr>
          <w:rFonts w:ascii="Times New Roman" w:hAnsi="Times New Roman" w:eastAsia="Times New Roman"/>
          <w:sz w:val="24"/>
        </w:rPr>
        <w:t>Do próby włączono wyłącznie obserwacje spełniające zamrożone kryteria przynależności do historycznego uniwersum, posiadające dostępny target oraz dopuszczony status cech X_t. Pula train 2011–2020 obejmowała 47 938 kwalifikujących się obserwacji spółka-rok. Po wymogu dostępnego targetu pozostało 19 784 obserwacji (41,27%), a po dodatkowym wymogu dopuszczalnego statusu cech X_t — 19 671 (41,03%). W pełnym finalnym filing-first universe z lat 2011–2024 target był dostępny dla 26 602 z 64 901 obserwacji (40,99%). Historyczna wartość 52,46% odnosiła się wyłącznie do starszej populacji freeze-gate 14 122/26 917 i nie opisuje finalnego universe ani próby modelowej. Oznacza to, że estymand ma charakter warunkowy: wyniki odnoszą się do spółka-lat, dla których można było wiarygodnie odtworzyć zarówno informacje finansowe dostępne w momencie predykcji, jak i porównywalną etykietę przyszłego pogorszenia. Nie należy utożsamiać próby z całą populacją emitentów raportujących do SEC ani z pełnym zbiorem spółek znajdujących się w trudnej sytuacji finansowej.</w:t>
      </w:r>
    </w:p>
    <w:p>
      <w:pPr>
        <w:keepNext w:val="0"/>
        <w:spacing w:line="360" w:lineRule="auto" w:before="0" w:after="0"/>
        <w:ind w:firstLine="709"/>
        <w:jc w:val="both"/>
      </w:pPr>
      <w:r>
        <w:rPr>
          <w:rFonts w:ascii="Times New Roman" w:hAnsi="Times New Roman" w:eastAsia="Times New Roman"/>
          <w:sz w:val="24"/>
        </w:rPr>
        <w:t>Zmienna celu przyjmuje wartość 1, gdy co najmniej trzy z pięciu zamrożonych sygnałów wskazują na istotne pogorszenie pomiędzy rokiem t i t+1. Sygnały obejmują spadek ROA, spadek przepływów operacyjnych względem aktywów, pogorszenie wskaźnika bieżącej płynności, wzrost relacji zobowiązań do aktywów oraz spadek przychodów. Etykieta nie jest bezpośrednią miarą oszustwa, bankructwa ani niewypłacalności. Reprezentuje wielowymiarowe pogorszenie kondycji finansowej, którego przewidywalność na podstawie informacji z roku t stanowi przedmiot eksperymentu.</w:t>
      </w:r>
    </w:p>
    <w:p>
      <w:pPr>
        <w:keepNext w:val="0"/>
        <w:spacing w:line="360" w:lineRule="auto" w:before="0" w:after="0"/>
        <w:ind w:firstLine="709"/>
        <w:jc w:val="both"/>
      </w:pPr>
      <w:r>
        <w:rPr>
          <w:rFonts w:ascii="Times New Roman" w:hAnsi="Times New Roman" w:eastAsia="Times New Roman"/>
          <w:sz w:val="24"/>
        </w:rPr>
        <w:t>W całej próbie klasa pozytywna obejmuje 3 623 obserwacje, czyli 18,42%, natomiast klasa negatywna 16 048 obserwacji, czyli 81,58%. Zadanie jest zatem niezbalansowane, choć skala niezbalansowania nie jest skrajna. Udział klasy pozytywnej jest wystarczająco mały, aby sama trafność klasyfikacji była miarą mylącą: model zawsze przewidujący klasę 0 osiągnąłby ponad 81% accuracy, nie wykrywając żadnego przypadku pogorszenia. Z tego względu główną miarą rankingu przyjęto PR-AUC, która bezpośrednio uwzględnia kompromis między precision i recall i jest szczególnie użyteczna przy przewadze klasy negatywnej.</w:t>
      </w:r>
      <w:r>
        <w:footnoteReference w:id="1"/>
      </w:r>
    </w:p>
    <w:p>
      <w:pPr>
        <w:keepNext/>
        <w:spacing w:before="160" w:after="80"/>
        <w:ind w:firstLine="0"/>
        <w:jc w:val="left"/>
      </w:pPr>
      <w:r>
        <w:rPr>
          <w:rFonts w:ascii="Times New Roman" w:hAnsi="Times New Roman" w:eastAsia="Times New Roman"/>
          <w:b/>
          <w:sz w:val="21"/>
        </w:rPr>
        <w:t>Tabela 5.1. Liczebność próby i udział klasy pozytywnej według roku</w:t>
      </w:r>
    </w:p>
    <w:tbl>
      <w:tblPr>
        <w:tblStyle w:val="TableGrid"/>
        <w:tblW w:type="auto" w:w="0"/>
        <w:jc w:val="center"/>
        <w:tblLayout w:type="fixed"/>
        <w:tblLook w:firstColumn="1" w:firstRow="1" w:lastColumn="0" w:lastRow="0" w:noHBand="0" w:noVBand="1" w:val="04A0"/>
        <w:tblBorders>
          <w:top w:val="single" w:sz="4" w:space="0" w:color="7F7F7F"/>
          <w:start w:val="single" w:sz="4" w:space="0" w:color="7F7F7F"/>
          <w:bottom w:val="single" w:sz="4" w:space="0" w:color="7F7F7F"/>
          <w:end w:val="single" w:sz="4" w:space="0" w:color="7F7F7F"/>
          <w:insideH w:val="single" w:sz="4" w:space="0" w:color="7F7F7F"/>
          <w:insideV w:val="single" w:sz="4" w:space="0" w:color="7F7F7F"/>
        </w:tblBorders>
      </w:tblPr>
      <w:tblGrid>
        <w:gridCol w:w="2210"/>
        <w:gridCol w:w="2210"/>
        <w:gridCol w:w="2210"/>
        <w:gridCol w:w="2210"/>
      </w:tblGrid>
      <w:tr>
        <w:trPr>
          <w:tblHeader w:val="true"/>
          <w:cantSplit/>
        </w:trPr>
        <w:tc>
          <w:tcPr>
            <w:tcW w:type="dxa" w:w="1247"/>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8"/>
              </w:rPr>
              <w:t>Rok</w:t>
            </w:r>
          </w:p>
        </w:tc>
        <w:tc>
          <w:tcPr>
            <w:tcW w:type="dxa" w:w="2268"/>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8"/>
              </w:rPr>
              <w:t>Liczba obserwacji</w:t>
            </w:r>
          </w:p>
        </w:tc>
        <w:tc>
          <w:tcPr>
            <w:tcW w:type="dxa" w:w="1701"/>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8"/>
              </w:rPr>
              <w:t>Klasa 1</w:t>
            </w:r>
          </w:p>
        </w:tc>
        <w:tc>
          <w:tcPr>
            <w:tcW w:type="dxa" w:w="2041"/>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8"/>
              </w:rPr>
              <w:t>Udział klasy 1</w:t>
            </w:r>
          </w:p>
        </w:tc>
      </w:tr>
      <w:tr>
        <w:trPr>
          <w:cantSplit/>
        </w:trPr>
        <w:tc>
          <w:tcPr>
            <w:tcW w:type="dxa" w:w="1247"/>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8"/>
              </w:rPr>
              <w:t>2011</w:t>
            </w:r>
          </w:p>
        </w:tc>
        <w:tc>
          <w:tcPr>
            <w:tcW w:type="dxa" w:w="2268"/>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1 907</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357</w:t>
            </w:r>
          </w:p>
        </w:tc>
        <w:tc>
          <w:tcPr>
            <w:tcW w:type="dxa" w:w="204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18,72%</w:t>
            </w:r>
          </w:p>
        </w:tc>
      </w:tr>
      <w:tr>
        <w:trPr>
          <w:cantSplit/>
        </w:trPr>
        <w:tc>
          <w:tcPr>
            <w:tcW w:type="dxa" w:w="1247"/>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8"/>
              </w:rPr>
              <w:t>2012</w:t>
            </w:r>
          </w:p>
        </w:tc>
        <w:tc>
          <w:tcPr>
            <w:tcW w:type="dxa" w:w="2268"/>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2 311</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368</w:t>
            </w:r>
          </w:p>
        </w:tc>
        <w:tc>
          <w:tcPr>
            <w:tcW w:type="dxa" w:w="204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15,92%</w:t>
            </w:r>
          </w:p>
        </w:tc>
      </w:tr>
      <w:tr>
        <w:trPr>
          <w:cantSplit/>
        </w:trPr>
        <w:tc>
          <w:tcPr>
            <w:tcW w:type="dxa" w:w="1247"/>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8"/>
              </w:rPr>
              <w:t>2013</w:t>
            </w:r>
          </w:p>
        </w:tc>
        <w:tc>
          <w:tcPr>
            <w:tcW w:type="dxa" w:w="2268"/>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2 393</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424</w:t>
            </w:r>
          </w:p>
        </w:tc>
        <w:tc>
          <w:tcPr>
            <w:tcW w:type="dxa" w:w="204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17,72%</w:t>
            </w:r>
          </w:p>
        </w:tc>
      </w:tr>
      <w:tr>
        <w:trPr>
          <w:cantSplit/>
        </w:trPr>
        <w:tc>
          <w:tcPr>
            <w:tcW w:type="dxa" w:w="1247"/>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8"/>
              </w:rPr>
              <w:t>2014</w:t>
            </w:r>
          </w:p>
        </w:tc>
        <w:tc>
          <w:tcPr>
            <w:tcW w:type="dxa" w:w="2268"/>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2 300</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488</w:t>
            </w:r>
          </w:p>
        </w:tc>
        <w:tc>
          <w:tcPr>
            <w:tcW w:type="dxa" w:w="204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21,22%</w:t>
            </w:r>
          </w:p>
        </w:tc>
      </w:tr>
      <w:tr>
        <w:trPr>
          <w:cantSplit/>
        </w:trPr>
        <w:tc>
          <w:tcPr>
            <w:tcW w:type="dxa" w:w="1247"/>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8"/>
              </w:rPr>
              <w:t>2015</w:t>
            </w:r>
          </w:p>
        </w:tc>
        <w:tc>
          <w:tcPr>
            <w:tcW w:type="dxa" w:w="2268"/>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2 241</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506</w:t>
            </w:r>
          </w:p>
        </w:tc>
        <w:tc>
          <w:tcPr>
            <w:tcW w:type="dxa" w:w="204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22,58%</w:t>
            </w:r>
          </w:p>
        </w:tc>
      </w:tr>
      <w:tr>
        <w:trPr>
          <w:cantSplit/>
        </w:trPr>
        <w:tc>
          <w:tcPr>
            <w:tcW w:type="dxa" w:w="1247"/>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8"/>
              </w:rPr>
              <w:t>2016</w:t>
            </w:r>
          </w:p>
        </w:tc>
        <w:tc>
          <w:tcPr>
            <w:tcW w:type="dxa" w:w="2268"/>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2 133</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351</w:t>
            </w:r>
          </w:p>
        </w:tc>
        <w:tc>
          <w:tcPr>
            <w:tcW w:type="dxa" w:w="204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16,46%</w:t>
            </w:r>
          </w:p>
        </w:tc>
      </w:tr>
      <w:tr>
        <w:trPr>
          <w:cantSplit/>
        </w:trPr>
        <w:tc>
          <w:tcPr>
            <w:tcW w:type="dxa" w:w="1247"/>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8"/>
              </w:rPr>
              <w:t>2017</w:t>
            </w:r>
          </w:p>
        </w:tc>
        <w:tc>
          <w:tcPr>
            <w:tcW w:type="dxa" w:w="2268"/>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1 549</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257</w:t>
            </w:r>
          </w:p>
        </w:tc>
        <w:tc>
          <w:tcPr>
            <w:tcW w:type="dxa" w:w="204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16,59%</w:t>
            </w:r>
          </w:p>
        </w:tc>
      </w:tr>
      <w:tr>
        <w:trPr>
          <w:cantSplit/>
        </w:trPr>
        <w:tc>
          <w:tcPr>
            <w:tcW w:type="dxa" w:w="1247"/>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8"/>
              </w:rPr>
              <w:t>2018</w:t>
            </w:r>
          </w:p>
        </w:tc>
        <w:tc>
          <w:tcPr>
            <w:tcW w:type="dxa" w:w="2268"/>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1 511</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327</w:t>
            </w:r>
          </w:p>
        </w:tc>
        <w:tc>
          <w:tcPr>
            <w:tcW w:type="dxa" w:w="204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21,64%</w:t>
            </w:r>
          </w:p>
        </w:tc>
      </w:tr>
      <w:tr>
        <w:trPr>
          <w:cantSplit/>
        </w:trPr>
        <w:tc>
          <w:tcPr>
            <w:tcW w:type="dxa" w:w="1247"/>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8"/>
              </w:rPr>
              <w:t>2019</w:t>
            </w:r>
          </w:p>
        </w:tc>
        <w:tc>
          <w:tcPr>
            <w:tcW w:type="dxa" w:w="2268"/>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1 638</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326</w:t>
            </w:r>
          </w:p>
        </w:tc>
        <w:tc>
          <w:tcPr>
            <w:tcW w:type="dxa" w:w="204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19,90%</w:t>
            </w:r>
          </w:p>
        </w:tc>
      </w:tr>
      <w:tr>
        <w:trPr>
          <w:cantSplit/>
        </w:trPr>
        <w:tc>
          <w:tcPr>
            <w:tcW w:type="dxa" w:w="1247"/>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8"/>
              </w:rPr>
              <w:t>2020</w:t>
            </w:r>
          </w:p>
        </w:tc>
        <w:tc>
          <w:tcPr>
            <w:tcW w:type="dxa" w:w="2268"/>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1 688</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219</w:t>
            </w:r>
          </w:p>
        </w:tc>
        <w:tc>
          <w:tcPr>
            <w:tcW w:type="dxa" w:w="204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12,97%</w:t>
            </w:r>
          </w:p>
        </w:tc>
      </w:tr>
      <w:tr>
        <w:trPr>
          <w:cantSplit/>
        </w:trPr>
        <w:tc>
          <w:tcPr>
            <w:tcW w:type="dxa" w:w="1247"/>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8"/>
              </w:rPr>
              <w:t>Razem</w:t>
            </w:r>
          </w:p>
        </w:tc>
        <w:tc>
          <w:tcPr>
            <w:tcW w:type="dxa" w:w="2268"/>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19 671</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3 623</w:t>
            </w:r>
          </w:p>
        </w:tc>
        <w:tc>
          <w:tcPr>
            <w:tcW w:type="dxa" w:w="204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18,42%</w:t>
            </w:r>
          </w:p>
        </w:tc>
      </w:tr>
    </w:tbl>
    <w:p>
      <w:pPr>
        <w:spacing w:line="240" w:lineRule="auto" w:before="60" w:after="120"/>
        <w:ind w:firstLine="0"/>
        <w:jc w:val="left"/>
      </w:pPr>
      <w:r>
        <w:rPr>
          <w:rFonts w:ascii="Times New Roman" w:hAnsi="Times New Roman" w:eastAsia="Times New Roman"/>
          <w:i/>
          <w:sz w:val="18"/>
        </w:rPr>
        <w:t>Źródło: opracowanie własne na podstawie zamrożonej próby supervised ML 2011-2020.</w:t>
      </w:r>
    </w:p>
    <w:p>
      <w:pPr>
        <w:keepNext w:val="0"/>
        <w:spacing w:line="360" w:lineRule="auto" w:before="0" w:after="0"/>
        <w:ind w:firstLine="709"/>
        <w:jc w:val="both"/>
      </w:pPr>
      <w:r>
        <w:rPr>
          <w:rFonts w:ascii="Times New Roman" w:hAnsi="Times New Roman" w:eastAsia="Times New Roman"/>
          <w:sz w:val="24"/>
        </w:rPr>
        <w:t>Rozkład targetu nie jest stały w czasie. Udział klasy pozytywnej mieści się od 12,97% w 2020 r. do 22,58% w 2015 r., a różnica pomiędzy tymi skrajnymi wartościami wynosi 9,61 punktu procentowego. Zmienność ta ma znaczenie dla interpretacji wyników rocznych. W latach o niższej częstości klasy pozytywnej nawet podobna jakość porządkowania obserwacji może prowadzić do niższej precision, a tym samym niższego PR-AUC. Nie oznacza to, że różnice między latami wynikają wyłącznie z prevalencji: mogą odzwierciedlać także zmianę składu spółek, warunków gospodarczych, dostępności danych i relacji pomiędzy cechami a targetem.</w:t>
      </w:r>
    </w:p>
    <w:p>
      <w:pPr>
        <w:spacing w:line="360" w:lineRule="auto" w:before="120" w:after="0"/>
        <w:ind w:firstLine="0"/>
        <w:jc w:val="both"/>
      </w:pPr>
      <w:r>
        <w:rPr>
          <w:rFonts w:ascii="Times New Roman" w:hAnsi="Times New Roman" w:eastAsia="Times New Roman"/>
          <w:b/>
          <w:sz w:val="24"/>
        </w:rPr>
        <w:t xml:space="preserve">Struktura sektorowa i wielkościowa. </w:t>
      </w:r>
      <w:r>
        <w:rPr>
          <w:rFonts w:ascii="Times New Roman" w:hAnsi="Times New Roman" w:eastAsia="Times New Roman"/>
          <w:sz w:val="24"/>
        </w:rPr>
        <w:t>Największą część próby stanowią spółki zaklasyfikowane do sektora Industrials/Manufacturing - 8 230 obserwacji, czyli 41,84% próby. Kolejne grupy to Extended Candidate - 28,89%, Technology - 22,58% oraz Retail - 6,69%. Udział klasy pozytywnej według sektora mieści się w stosunkowo wąskim przedziale od 13,75% dla Retail do 19,13% dla Extended Candidate. Znacznie silniejsza heterogeniczność występuje względem wielkości spółki.</w:t>
      </w:r>
    </w:p>
    <w:p>
      <w:pPr>
        <w:keepNext/>
        <w:spacing w:before="160" w:after="80"/>
        <w:ind w:firstLine="0"/>
        <w:jc w:val="left"/>
      </w:pPr>
      <w:r>
        <w:rPr>
          <w:rFonts w:ascii="Times New Roman" w:hAnsi="Times New Roman" w:eastAsia="Times New Roman"/>
          <w:b/>
          <w:sz w:val="21"/>
        </w:rPr>
        <w:t>Tabela 5.2. Rozkład próby i klasy pozytywnej według sektora</w:t>
      </w:r>
    </w:p>
    <w:tbl>
      <w:tblPr>
        <w:tblStyle w:val="TableGrid"/>
        <w:tblW w:type="auto" w:w="0"/>
        <w:jc w:val="center"/>
        <w:tblLayout w:type="fixed"/>
        <w:tblLook w:firstColumn="1" w:firstRow="1" w:lastColumn="0" w:lastRow="0" w:noHBand="0" w:noVBand="1" w:val="04A0"/>
        <w:tblBorders>
          <w:top w:val="single" w:sz="4" w:space="0" w:color="7F7F7F"/>
          <w:start w:val="single" w:sz="4" w:space="0" w:color="7F7F7F"/>
          <w:bottom w:val="single" w:sz="4" w:space="0" w:color="7F7F7F"/>
          <w:end w:val="single" w:sz="4" w:space="0" w:color="7F7F7F"/>
          <w:insideH w:val="single" w:sz="4" w:space="0" w:color="7F7F7F"/>
          <w:insideV w:val="single" w:sz="4" w:space="0" w:color="7F7F7F"/>
        </w:tblBorders>
      </w:tblPr>
      <w:tblGrid>
        <w:gridCol w:w="2210"/>
        <w:gridCol w:w="2210"/>
        <w:gridCol w:w="2210"/>
        <w:gridCol w:w="2210"/>
      </w:tblGrid>
      <w:tr>
        <w:trPr>
          <w:tblHeader w:val="true"/>
          <w:cantSplit/>
        </w:trPr>
        <w:tc>
          <w:tcPr>
            <w:tcW w:type="dxa" w:w="3515"/>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8"/>
              </w:rPr>
              <w:t>Sektor</w:t>
            </w:r>
          </w:p>
        </w:tc>
        <w:tc>
          <w:tcPr>
            <w:tcW w:type="dxa" w:w="1134"/>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8"/>
              </w:rPr>
              <w:t>N</w:t>
            </w:r>
          </w:p>
        </w:tc>
        <w:tc>
          <w:tcPr>
            <w:tcW w:type="dxa" w:w="1757"/>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8"/>
              </w:rPr>
              <w:t>Udział próby</w:t>
            </w:r>
          </w:p>
        </w:tc>
        <w:tc>
          <w:tcPr>
            <w:tcW w:type="dxa" w:w="1814"/>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8"/>
              </w:rPr>
              <w:t>Udział klasy 1</w:t>
            </w:r>
          </w:p>
        </w:tc>
      </w:tr>
      <w:tr>
        <w:trPr>
          <w:cantSplit/>
        </w:trPr>
        <w:tc>
          <w:tcPr>
            <w:tcW w:type="dxa" w:w="3515"/>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8"/>
              </w:rPr>
              <w:t>Industrials/Manufacturing</w:t>
            </w:r>
          </w:p>
        </w:tc>
        <w:tc>
          <w:tcPr>
            <w:tcW w:type="dxa" w:w="113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8 230</w:t>
            </w:r>
          </w:p>
        </w:tc>
        <w:tc>
          <w:tcPr>
            <w:tcW w:type="dxa" w:w="1757"/>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41,84%</w:t>
            </w:r>
          </w:p>
        </w:tc>
        <w:tc>
          <w:tcPr>
            <w:tcW w:type="dxa" w:w="181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18,68%</w:t>
            </w:r>
          </w:p>
        </w:tc>
      </w:tr>
      <w:tr>
        <w:trPr>
          <w:cantSplit/>
        </w:trPr>
        <w:tc>
          <w:tcPr>
            <w:tcW w:type="dxa" w:w="3515"/>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8"/>
              </w:rPr>
              <w:t>Extended Candidate</w:t>
            </w:r>
          </w:p>
        </w:tc>
        <w:tc>
          <w:tcPr>
            <w:tcW w:type="dxa" w:w="113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5 683</w:t>
            </w:r>
          </w:p>
        </w:tc>
        <w:tc>
          <w:tcPr>
            <w:tcW w:type="dxa" w:w="1757"/>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28,89%</w:t>
            </w:r>
          </w:p>
        </w:tc>
        <w:tc>
          <w:tcPr>
            <w:tcW w:type="dxa" w:w="181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19,13%</w:t>
            </w:r>
          </w:p>
        </w:tc>
      </w:tr>
      <w:tr>
        <w:trPr>
          <w:cantSplit/>
        </w:trPr>
        <w:tc>
          <w:tcPr>
            <w:tcW w:type="dxa" w:w="3515"/>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8"/>
              </w:rPr>
              <w:t>Technology</w:t>
            </w:r>
          </w:p>
        </w:tc>
        <w:tc>
          <w:tcPr>
            <w:tcW w:type="dxa" w:w="113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4 442</w:t>
            </w:r>
          </w:p>
        </w:tc>
        <w:tc>
          <w:tcPr>
            <w:tcW w:type="dxa" w:w="1757"/>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22,58%</w:t>
            </w:r>
          </w:p>
        </w:tc>
        <w:tc>
          <w:tcPr>
            <w:tcW w:type="dxa" w:w="181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18,42%</w:t>
            </w:r>
          </w:p>
        </w:tc>
      </w:tr>
      <w:tr>
        <w:trPr>
          <w:cantSplit/>
        </w:trPr>
        <w:tc>
          <w:tcPr>
            <w:tcW w:type="dxa" w:w="3515"/>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8"/>
              </w:rPr>
              <w:t>Retail</w:t>
            </w:r>
          </w:p>
        </w:tc>
        <w:tc>
          <w:tcPr>
            <w:tcW w:type="dxa" w:w="113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1 316</w:t>
            </w:r>
          </w:p>
        </w:tc>
        <w:tc>
          <w:tcPr>
            <w:tcW w:type="dxa" w:w="1757"/>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6,69%</w:t>
            </w:r>
          </w:p>
        </w:tc>
        <w:tc>
          <w:tcPr>
            <w:tcW w:type="dxa" w:w="181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13,75%</w:t>
            </w:r>
          </w:p>
        </w:tc>
      </w:tr>
    </w:tbl>
    <w:p>
      <w:pPr>
        <w:spacing w:line="240" w:lineRule="auto" w:before="60" w:after="120"/>
        <w:ind w:firstLine="0"/>
        <w:jc w:val="left"/>
      </w:pPr>
      <w:r>
        <w:rPr>
          <w:rFonts w:ascii="Times New Roman" w:hAnsi="Times New Roman" w:eastAsia="Times New Roman"/>
          <w:i/>
          <w:sz w:val="18"/>
        </w:rPr>
        <w:t>Źródło: opracowanie własne na podstawie wyników EDA.</w:t>
      </w:r>
    </w:p>
    <w:p>
      <w:pPr>
        <w:keepNext/>
        <w:spacing w:before="160" w:after="80"/>
        <w:ind w:firstLine="0"/>
        <w:jc w:val="left"/>
      </w:pPr>
      <w:r>
        <w:rPr>
          <w:rFonts w:ascii="Times New Roman" w:hAnsi="Times New Roman" w:eastAsia="Times New Roman"/>
          <w:b/>
          <w:sz w:val="21"/>
        </w:rPr>
        <w:t>Tabela 5.3. Udział klasy pozytywnej według kwartyla wielkości spółki</w:t>
      </w:r>
    </w:p>
    <w:tbl>
      <w:tblPr>
        <w:tblStyle w:val="TableGrid"/>
        <w:tblW w:type="auto" w:w="0"/>
        <w:jc w:val="center"/>
        <w:tblLayout w:type="fixed"/>
        <w:tblLook w:firstColumn="1" w:firstRow="1" w:lastColumn="0" w:lastRow="0" w:noHBand="0" w:noVBand="1" w:val="04A0"/>
        <w:tblBorders>
          <w:top w:val="single" w:sz="4" w:space="0" w:color="7F7F7F"/>
          <w:start w:val="single" w:sz="4" w:space="0" w:color="7F7F7F"/>
          <w:bottom w:val="single" w:sz="4" w:space="0" w:color="7F7F7F"/>
          <w:end w:val="single" w:sz="4" w:space="0" w:color="7F7F7F"/>
          <w:insideH w:val="single" w:sz="4" w:space="0" w:color="7F7F7F"/>
          <w:insideV w:val="single" w:sz="4" w:space="0" w:color="7F7F7F"/>
        </w:tblBorders>
      </w:tblPr>
      <w:tblGrid>
        <w:gridCol w:w="2946"/>
        <w:gridCol w:w="2946"/>
        <w:gridCol w:w="2946"/>
      </w:tblGrid>
      <w:tr>
        <w:trPr>
          <w:tblHeader w:val="true"/>
          <w:cantSplit/>
        </w:trPr>
        <w:tc>
          <w:tcPr>
            <w:tcW w:type="dxa" w:w="4535"/>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8"/>
              </w:rPr>
              <w:t>Grupa wielkości</w:t>
            </w:r>
          </w:p>
        </w:tc>
        <w:tc>
          <w:tcPr>
            <w:tcW w:type="dxa" w:w="1417"/>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8"/>
              </w:rPr>
              <w:t>N</w:t>
            </w:r>
          </w:p>
        </w:tc>
        <w:tc>
          <w:tcPr>
            <w:tcW w:type="dxa" w:w="1984"/>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8"/>
              </w:rPr>
              <w:t>Udział klasy 1</w:t>
            </w:r>
          </w:p>
        </w:tc>
      </w:tr>
      <w:tr>
        <w:trPr>
          <w:cantSplit/>
        </w:trPr>
        <w:tc>
          <w:tcPr>
            <w:tcW w:type="dxa" w:w="4535"/>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8"/>
              </w:rPr>
              <w:t>Q1 - najmniejsze spółki</w:t>
            </w:r>
          </w:p>
        </w:tc>
        <w:tc>
          <w:tcPr>
            <w:tcW w:type="dxa" w:w="1417"/>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4 912</w:t>
            </w:r>
          </w:p>
        </w:tc>
        <w:tc>
          <w:tcPr>
            <w:tcW w:type="dxa" w:w="198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36,14%</w:t>
            </w:r>
          </w:p>
        </w:tc>
      </w:tr>
      <w:tr>
        <w:trPr>
          <w:cantSplit/>
        </w:trPr>
        <w:tc>
          <w:tcPr>
            <w:tcW w:type="dxa" w:w="4535"/>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8"/>
              </w:rPr>
              <w:t>Q2</w:t>
            </w:r>
          </w:p>
        </w:tc>
        <w:tc>
          <w:tcPr>
            <w:tcW w:type="dxa" w:w="1417"/>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4 918</w:t>
            </w:r>
          </w:p>
        </w:tc>
        <w:tc>
          <w:tcPr>
            <w:tcW w:type="dxa" w:w="198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20,88%</w:t>
            </w:r>
          </w:p>
        </w:tc>
      </w:tr>
      <w:tr>
        <w:trPr>
          <w:cantSplit/>
        </w:trPr>
        <w:tc>
          <w:tcPr>
            <w:tcW w:type="dxa" w:w="4535"/>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8"/>
              </w:rPr>
              <w:t>Q3</w:t>
            </w:r>
          </w:p>
        </w:tc>
        <w:tc>
          <w:tcPr>
            <w:tcW w:type="dxa" w:w="1417"/>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4 916</w:t>
            </w:r>
          </w:p>
        </w:tc>
        <w:tc>
          <w:tcPr>
            <w:tcW w:type="dxa" w:w="198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10,52%</w:t>
            </w:r>
          </w:p>
        </w:tc>
      </w:tr>
      <w:tr>
        <w:trPr>
          <w:cantSplit/>
        </w:trPr>
        <w:tc>
          <w:tcPr>
            <w:tcW w:type="dxa" w:w="4535"/>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8"/>
              </w:rPr>
              <w:t>Q4 - największe spółki</w:t>
            </w:r>
          </w:p>
        </w:tc>
        <w:tc>
          <w:tcPr>
            <w:tcW w:type="dxa" w:w="1417"/>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4 920</w:t>
            </w:r>
          </w:p>
        </w:tc>
        <w:tc>
          <w:tcPr>
            <w:tcW w:type="dxa" w:w="198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6,12%</w:t>
            </w:r>
          </w:p>
        </w:tc>
      </w:tr>
      <w:tr>
        <w:trPr>
          <w:cantSplit/>
        </w:trPr>
        <w:tc>
          <w:tcPr>
            <w:tcW w:type="dxa" w:w="4535"/>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8"/>
              </w:rPr>
              <w:t>Brak lub niedodatnie aktywa</w:t>
            </w:r>
          </w:p>
        </w:tc>
        <w:tc>
          <w:tcPr>
            <w:tcW w:type="dxa" w:w="1417"/>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5</w:t>
            </w:r>
          </w:p>
        </w:tc>
        <w:tc>
          <w:tcPr>
            <w:tcW w:type="dxa" w:w="198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60,00%</w:t>
            </w:r>
          </w:p>
        </w:tc>
      </w:tr>
    </w:tbl>
    <w:p>
      <w:pPr>
        <w:spacing w:line="240" w:lineRule="auto" w:before="60" w:after="120"/>
        <w:ind w:firstLine="0"/>
        <w:jc w:val="left"/>
      </w:pPr>
      <w:r>
        <w:rPr>
          <w:rFonts w:ascii="Times New Roman" w:hAnsi="Times New Roman" w:eastAsia="Times New Roman"/>
          <w:i/>
          <w:sz w:val="18"/>
        </w:rPr>
        <w:t>Źródło: opracowanie własne; kwartyle wyznaczono na podstawie wartości aktywów właściwej dla roku t.</w:t>
      </w:r>
    </w:p>
    <w:p>
      <w:pPr>
        <w:keepNext w:val="0"/>
        <w:spacing w:line="360" w:lineRule="auto" w:before="0" w:after="0"/>
        <w:ind w:firstLine="709"/>
        <w:jc w:val="both"/>
      </w:pPr>
      <w:r>
        <w:rPr>
          <w:rFonts w:ascii="Times New Roman" w:hAnsi="Times New Roman" w:eastAsia="Times New Roman"/>
          <w:sz w:val="24"/>
        </w:rPr>
        <w:t>W najmniejszym kwartylu udział klasy pozytywnej wynosi 36,14%, w drugim 20,88%, w trzecim 10,52%, a w kwartylu największych spółek jedynie 6,12%. Częstość klasy 1 jest więc w Q1 około 5,9 razy większa niż w Q4. Jest to jeden z najsilniejszych wzorców opisowych w próbie. Nie stanowi on dowodu, że mały rozmiar przyczynowo prowadzi do pogorszenia, lecz wskazuje, że wielkość spółki może być ważnym predyktorem albo nośnikiem informacji o dojrzałości, dostępie do finansowania, zmienności wyników i jakości raportowania. Jednocześnie tak duża różnica wymaga kontroli, czy model nie osiąga wysokiego wyniku głównie przez identyfikowanie małych emitentów, zamiast rozpoznawać bardziej złożone sygnały finansowe.</w:t>
      </w:r>
    </w:p>
    <w:p>
      <w:pPr>
        <w:spacing w:line="360" w:lineRule="auto" w:before="120" w:after="0"/>
        <w:ind w:firstLine="0"/>
        <w:jc w:val="both"/>
      </w:pPr>
      <w:r>
        <w:rPr>
          <w:rFonts w:ascii="Times New Roman" w:hAnsi="Times New Roman" w:eastAsia="Times New Roman"/>
          <w:b/>
          <w:sz w:val="24"/>
        </w:rPr>
        <w:t xml:space="preserve">Braki danych i rozkłady cech. </w:t>
      </w:r>
      <w:r>
        <w:rPr>
          <w:rFonts w:ascii="Times New Roman" w:hAnsi="Times New Roman" w:eastAsia="Times New Roman"/>
          <w:sz w:val="24"/>
        </w:rPr>
        <w:t>Zestaw wejściowy obejmuje 17 cech finansowych pogrupowanych w bloki L, D i R. Cechy poziomowe z bloku L charakteryzują się relatywnie wysoką dostępnością: udział braków nie przekracza 2,25%. Więcej braków występuje dla zmian rocznych D, gdzie odsetek wynosi około 10,8-13,0%, oraz dla cech opartych na przychodach R. Najwyższy udział braków dotyczy rocznej dynamiki przychodów - 19,21%. Struktura ta uzasadnia włączenie wskaźników braków jako osobnej gałęzi preprocessingu, ponieważ sam fakt niedostępności wybranej informacji może mieć wartość predykcyjną.</w:t>
      </w:r>
    </w:p>
    <w:p>
      <w:pPr>
        <w:keepNext/>
        <w:spacing w:before="160" w:after="80"/>
        <w:ind w:firstLine="0"/>
        <w:jc w:val="left"/>
      </w:pPr>
      <w:r>
        <w:rPr>
          <w:rFonts w:ascii="Times New Roman" w:hAnsi="Times New Roman" w:eastAsia="Times New Roman"/>
          <w:b/>
          <w:sz w:val="21"/>
        </w:rPr>
        <w:t>Tabela 5.4. Udział braków w 17 cechach finansowych</w:t>
      </w:r>
    </w:p>
    <w:tbl>
      <w:tblPr>
        <w:tblStyle w:val="TableGrid"/>
        <w:tblW w:type="auto" w:w="0"/>
        <w:jc w:val="center"/>
        <w:tblLayout w:type="fixed"/>
        <w:tblLook w:firstColumn="1" w:firstRow="1" w:lastColumn="0" w:lastRow="0" w:noHBand="0" w:noVBand="1" w:val="04A0"/>
        <w:tblBorders>
          <w:top w:val="single" w:sz="4" w:space="0" w:color="7F7F7F"/>
          <w:start w:val="single" w:sz="4" w:space="0" w:color="7F7F7F"/>
          <w:bottom w:val="single" w:sz="4" w:space="0" w:color="7F7F7F"/>
          <w:end w:val="single" w:sz="4" w:space="0" w:color="7F7F7F"/>
          <w:insideH w:val="single" w:sz="4" w:space="0" w:color="7F7F7F"/>
          <w:insideV w:val="single" w:sz="4" w:space="0" w:color="7F7F7F"/>
        </w:tblBorders>
      </w:tblPr>
      <w:tblGrid>
        <w:gridCol w:w="2946"/>
        <w:gridCol w:w="2946"/>
        <w:gridCol w:w="2946"/>
      </w:tblGrid>
      <w:tr>
        <w:trPr>
          <w:tblHeader w:val="true"/>
          <w:cantSplit/>
        </w:trPr>
        <w:tc>
          <w:tcPr>
            <w:tcW w:type="dxa" w:w="1020"/>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7"/>
              </w:rPr>
              <w:t>Blok</w:t>
            </w:r>
          </w:p>
        </w:tc>
        <w:tc>
          <w:tcPr>
            <w:tcW w:type="dxa" w:w="4989"/>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7"/>
              </w:rPr>
              <w:t>Cecha</w:t>
            </w:r>
          </w:p>
        </w:tc>
        <w:tc>
          <w:tcPr>
            <w:tcW w:type="dxa" w:w="1701"/>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7"/>
              </w:rPr>
              <w:t>Braki</w:t>
            </w:r>
          </w:p>
        </w:tc>
      </w:tr>
      <w:tr>
        <w:trPr>
          <w:cantSplit/>
        </w:trPr>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L</w:t>
            </w:r>
          </w:p>
        </w:tc>
        <w:tc>
          <w:tcPr>
            <w:tcW w:type="dxa" w:w="498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log_assets_t</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0,03%</w:t>
            </w:r>
          </w:p>
        </w:tc>
      </w:tr>
      <w:tr>
        <w:trPr>
          <w:cantSplit/>
        </w:trPr>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L</w:t>
            </w:r>
          </w:p>
        </w:tc>
        <w:tc>
          <w:tcPr>
            <w:tcW w:type="dxa" w:w="498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roa_t</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2,08%</w:t>
            </w:r>
          </w:p>
        </w:tc>
      </w:tr>
      <w:tr>
        <w:trPr>
          <w:cantSplit/>
        </w:trPr>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L</w:t>
            </w:r>
          </w:p>
        </w:tc>
        <w:tc>
          <w:tcPr>
            <w:tcW w:type="dxa" w:w="498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ocf_to_assets_t</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1,50%</w:t>
            </w:r>
          </w:p>
        </w:tc>
      </w:tr>
      <w:tr>
        <w:trPr>
          <w:cantSplit/>
        </w:trPr>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L</w:t>
            </w:r>
          </w:p>
        </w:tc>
        <w:tc>
          <w:tcPr>
            <w:tcW w:type="dxa" w:w="498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current_ratio_t</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0,38%</w:t>
            </w:r>
          </w:p>
        </w:tc>
      </w:tr>
      <w:tr>
        <w:trPr>
          <w:cantSplit/>
        </w:trPr>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L</w:t>
            </w:r>
          </w:p>
        </w:tc>
        <w:tc>
          <w:tcPr>
            <w:tcW w:type="dxa" w:w="498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liabilities_to_assets_t</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0,17%</w:t>
            </w:r>
          </w:p>
        </w:tc>
      </w:tr>
      <w:tr>
        <w:trPr>
          <w:cantSplit/>
        </w:trPr>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L</w:t>
            </w:r>
          </w:p>
        </w:tc>
        <w:tc>
          <w:tcPr>
            <w:tcW w:type="dxa" w:w="498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working_capital_to_assets_t</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0,39%</w:t>
            </w:r>
          </w:p>
        </w:tc>
      </w:tr>
      <w:tr>
        <w:trPr>
          <w:cantSplit/>
        </w:trPr>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L</w:t>
            </w:r>
          </w:p>
        </w:tc>
        <w:tc>
          <w:tcPr>
            <w:tcW w:type="dxa" w:w="498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accruals_to_assets_t</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2,25%</w:t>
            </w:r>
          </w:p>
        </w:tc>
      </w:tr>
      <w:tr>
        <w:trPr>
          <w:cantSplit/>
        </w:trPr>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D</w:t>
            </w:r>
          </w:p>
        </w:tc>
        <w:tc>
          <w:tcPr>
            <w:tcW w:type="dxa" w:w="498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asset_growth_1y</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10,76%</w:t>
            </w:r>
          </w:p>
        </w:tc>
      </w:tr>
      <w:tr>
        <w:trPr>
          <w:cantSplit/>
        </w:trPr>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D</w:t>
            </w:r>
          </w:p>
        </w:tc>
        <w:tc>
          <w:tcPr>
            <w:tcW w:type="dxa" w:w="498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delta_roa_1y</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13,03%</w:t>
            </w:r>
          </w:p>
        </w:tc>
      </w:tr>
      <w:tr>
        <w:trPr>
          <w:cantSplit/>
        </w:trPr>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D</w:t>
            </w:r>
          </w:p>
        </w:tc>
        <w:tc>
          <w:tcPr>
            <w:tcW w:type="dxa" w:w="498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delta_ocf_to_assets_1y</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12,56%</w:t>
            </w:r>
          </w:p>
        </w:tc>
      </w:tr>
      <w:tr>
        <w:trPr>
          <w:cantSplit/>
        </w:trPr>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D</w:t>
            </w:r>
          </w:p>
        </w:tc>
        <w:tc>
          <w:tcPr>
            <w:tcW w:type="dxa" w:w="498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current_ratio_change_1y</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11,17%</w:t>
            </w:r>
          </w:p>
        </w:tc>
      </w:tr>
      <w:tr>
        <w:trPr>
          <w:cantSplit/>
        </w:trPr>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D</w:t>
            </w:r>
          </w:p>
        </w:tc>
        <w:tc>
          <w:tcPr>
            <w:tcW w:type="dxa" w:w="498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delta_liabilities_to_assets_1y</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10,97%</w:t>
            </w:r>
          </w:p>
        </w:tc>
      </w:tr>
      <w:tr>
        <w:trPr>
          <w:cantSplit/>
        </w:trPr>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R</w:t>
            </w:r>
          </w:p>
        </w:tc>
        <w:tc>
          <w:tcPr>
            <w:tcW w:type="dxa" w:w="498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log1p_revenues_t</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7,59%</w:t>
            </w:r>
          </w:p>
        </w:tc>
      </w:tr>
      <w:tr>
        <w:trPr>
          <w:cantSplit/>
        </w:trPr>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R</w:t>
            </w:r>
          </w:p>
        </w:tc>
        <w:tc>
          <w:tcPr>
            <w:tcW w:type="dxa" w:w="498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profit_margin_t</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8,31%</w:t>
            </w:r>
          </w:p>
        </w:tc>
      </w:tr>
      <w:tr>
        <w:trPr>
          <w:cantSplit/>
        </w:trPr>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R</w:t>
            </w:r>
          </w:p>
        </w:tc>
        <w:tc>
          <w:tcPr>
            <w:tcW w:type="dxa" w:w="498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ocf_margin_t</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7,71%</w:t>
            </w:r>
          </w:p>
        </w:tc>
      </w:tr>
      <w:tr>
        <w:trPr>
          <w:cantSplit/>
        </w:trPr>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R</w:t>
            </w:r>
          </w:p>
        </w:tc>
        <w:tc>
          <w:tcPr>
            <w:tcW w:type="dxa" w:w="498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asset_turnover_t</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7,62%</w:t>
            </w:r>
          </w:p>
        </w:tc>
      </w:tr>
      <w:tr>
        <w:trPr>
          <w:cantSplit/>
        </w:trPr>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R</w:t>
            </w:r>
          </w:p>
        </w:tc>
        <w:tc>
          <w:tcPr>
            <w:tcW w:type="dxa" w:w="498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revenue_growth_1y</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19,21%</w:t>
            </w:r>
          </w:p>
        </w:tc>
      </w:tr>
    </w:tbl>
    <w:p>
      <w:pPr>
        <w:spacing w:line="240" w:lineRule="auto" w:before="60" w:after="120"/>
        <w:ind w:firstLine="0"/>
        <w:jc w:val="left"/>
      </w:pPr>
      <w:r>
        <w:rPr>
          <w:rFonts w:ascii="Times New Roman" w:hAnsi="Times New Roman" w:eastAsia="Times New Roman"/>
          <w:i/>
          <w:sz w:val="18"/>
        </w:rPr>
        <w:t>Źródło: opracowanie własne na podstawie analizy braków przed imputacją.</w:t>
      </w:r>
    </w:p>
    <w:p>
      <w:pPr>
        <w:keepNext w:val="0"/>
        <w:spacing w:line="360" w:lineRule="auto" w:before="0" w:after="0"/>
        <w:ind w:firstLine="709"/>
        <w:jc w:val="both"/>
      </w:pPr>
      <w:r>
        <w:rPr>
          <w:rFonts w:ascii="Times New Roman" w:hAnsi="Times New Roman" w:eastAsia="Times New Roman"/>
          <w:sz w:val="24"/>
        </w:rPr>
        <w:t>Większość wskaźników ma silnie asymetryczne rozkłady. Dotyczy to m.in. rentowności, przepływów operacyjnych, płynności, zadłużenia, kapitału obrotowego, memoriałów, dynamik rocznych, marż i rotacji aktywów. Obserwacje odstające nie zostały w EDA automatycznie uznane za błędy, ponieważ skrajne wartości mogą być realnym symptomem ryzyka. W docelowym pipeline wartości są jednak winsoryzowane na poziomach p1 i p99 wyznaczanych wyłącznie na części treningowej danego folda, następnie imputowane medianą treningową i standaryzowane. Rozwiązanie to ogranicza wpływ ekstremów na estymację, nie wykorzystując informacji z roku walidacyjnego.</w:t>
      </w:r>
    </w:p>
    <w:p>
      <w:pPr>
        <w:keepNext w:val="0"/>
        <w:spacing w:line="360" w:lineRule="auto" w:before="0" w:after="0"/>
        <w:ind w:firstLine="709"/>
        <w:jc w:val="both"/>
      </w:pPr>
      <w:r>
        <w:rPr>
          <w:rFonts w:ascii="Times New Roman" w:hAnsi="Times New Roman" w:eastAsia="Times New Roman"/>
          <w:sz w:val="24"/>
        </w:rPr>
        <w:t>Porównanie rozkładów według targetu pokazuje, że obserwacje klasy pozytywnej dotyczą przeciętnie mniejszych spółek, o niższych przychodach, niższej rentowności i słabszych przepływach operacyjnych. Mediana logarytmu aktywów wynosi 20,18 dla klasy 0 i 17,65 dla klasy 1, a mediana logarytmu przychodów odpowiednio 20,09 i 17,05. Mediana ROA zmienia się z 0,027 do -0,143, mediana OCF/assets z 0,074 do -0,032, mediana marży zysku z 0,027 do -0,158, a mediana marży przepływów operacyjnych z 0,077 do -0,028. Są to różnice opisowe, a nie zależności przyczynowe. Pokazują jednak, że etykieta jest powiązana z ekonomicznie interpretowalnymi cechami obecnymi już w roku t.</w:t>
      </w:r>
    </w:p>
    <w:p>
      <w:pPr>
        <w:keepNext w:val="0"/>
        <w:spacing w:line="360" w:lineRule="auto" w:before="0" w:after="0"/>
        <w:ind w:firstLine="709"/>
        <w:jc w:val="both"/>
      </w:pPr>
      <w:r>
        <w:rPr>
          <w:rFonts w:ascii="Times New Roman" w:hAnsi="Times New Roman" w:eastAsia="Times New Roman"/>
          <w:sz w:val="24"/>
        </w:rPr>
        <w:t>Analiza korelacji ujawniła silną współzależność części wskaźników. Najwyższa korelacja rang Spearmana występuje pomiędzy logarytmem aktywów i logarytmem przychodów i wynosi 0,957. Cztery pary cech przekraczają bezwzględną wartość 0,8, a trzy przekraczają 0,9. Diagnostyka VIF wskazuje także skrajną współliniowość w pełnym układzie zmiennych. Nie dyskwalifikuje to modeli drzewiastych, ale utrudnia interpretację pojedynczych współczynników modelu liniowego i uzasadnia ostrożność przy przypisywaniu znaczenia konkretnej cesze. W części kwantowej dodatkowym sposobem uporządkowania współzależności jest PCA, którego konsekwencje omówiono w podrozdziale 5.3.</w:t>
      </w:r>
    </w:p>
    <w:p>
      <w:pPr>
        <w:keepNext w:val="0"/>
        <w:spacing w:line="360" w:lineRule="auto" w:before="0" w:after="0"/>
        <w:ind w:firstLine="709"/>
        <w:jc w:val="both"/>
      </w:pPr>
      <w:r>
        <w:rPr>
          <w:rFonts w:ascii="Times New Roman" w:hAnsi="Times New Roman" w:eastAsia="Times New Roman"/>
          <w:sz w:val="24"/>
        </w:rPr>
        <w:t>Kontrole integralności nie wykazały zduplikowanych kluczy kanonicznych ani zduplikowanych par CIK-rok. W 17 cechach nie stwierdzono wartości nieskończonych, a pięć obserwacji z brakiem lub niedodatnią wartością aktywów zachowano w próbie zgodnie z polityką niewykluczania wiersza z powodu pojedynczego braku cechy. Wyniki EDA wskazują więc, że głównym problemem jakościowym nie są błędy techniczne w rodzaju duplikatów lub nieskończoności, lecz heterogeniczność ekonomiczna, asymetria rozkładów, współliniowość i potencjalnie informacyjny charakter braków.</w:t>
      </w:r>
    </w:p>
    <w:p>
      <w:pPr>
        <w:pStyle w:val="Heading2"/>
      </w:pPr>
      <w:r>
        <w:rPr>
          <w:rFonts w:ascii="Times New Roman" w:hAnsi="Times New Roman" w:eastAsia="Times New Roman"/>
          <w:b/>
          <w:sz w:val="28"/>
        </w:rPr>
        <w:t>5.2. Wyniki modeli klasycznych i kwantowych</w:t>
      </w:r>
    </w:p>
    <w:p>
      <w:pPr>
        <w:spacing w:line="360" w:lineRule="auto" w:before="120" w:after="0"/>
        <w:ind w:firstLine="0"/>
        <w:jc w:val="both"/>
      </w:pPr>
      <w:r>
        <w:rPr>
          <w:rFonts w:ascii="Times New Roman" w:hAnsi="Times New Roman" w:eastAsia="Times New Roman"/>
          <w:b/>
          <w:sz w:val="24"/>
        </w:rPr>
        <w:t xml:space="preserve">Protokół porównania. </w:t>
      </w:r>
      <w:r>
        <w:rPr>
          <w:rFonts w:ascii="Times New Roman" w:hAnsi="Times New Roman" w:eastAsia="Times New Roman"/>
          <w:sz w:val="24"/>
        </w:rPr>
        <w:t>Wstępne porównanie modeli przeprowadzono na sześciu foldach walidacji czasowej. Lata walidacyjne obejmują okres 2015-2020, a część treningowa rozszerza się w kolejnych foldach. Rok bezpośrednio poprzedzający walidację pełni funkcję embargo. Dodatkowo każdy wiersz treningowy musi posiadać target dostępny przed najwcześniejszym momentem predykcji w danym foldzie. Konstrukcja ta ogranicza ryzyko przecieku informacji z przyszłości i lepiej odpowiada rzeczywistemu scenariuszowi prognozowania niż losowy podział obserwacji.</w:t>
      </w:r>
    </w:p>
    <w:p>
      <w:pPr>
        <w:keepNext w:val="0"/>
        <w:spacing w:line="360" w:lineRule="auto" w:before="0" w:after="0"/>
        <w:ind w:firstLine="709"/>
        <w:jc w:val="both"/>
      </w:pPr>
      <w:r>
        <w:rPr>
          <w:rFonts w:ascii="Times New Roman" w:hAnsi="Times New Roman" w:eastAsia="Times New Roman"/>
          <w:sz w:val="24"/>
        </w:rPr>
        <w:t>Dla każdej kompletnej konfiguracji połączono predykcje out-of-fold dla 10 760 obserwacji, w tym 1 986 przypadków klasy pozytywnej. Udział klasy 1 w zbiorze OOF wynosi 18,46%. Pooled PR-AUC jest liczone jednokrotnie po połączeniu wszystkich predykcji, a nie jako średnia sześciu wyników rocznych. Średnia i odchylenie standardowe PR-AUC foldów są raportowane osobno jako miary stabilności. ROC-AUC ma charakter uzupełniający: w klasycznej interpretacji określa prawdopodobieństwo, że losowo wybrana obserwacja pozytywna otrzyma wyższy score niż losowo wybrana obserwacja negatywna, z uwzględnieniem obsługi remisów.</w:t>
      </w:r>
      <w:r>
        <w:footnoteReference w:id="2"/>
      </w:r>
    </w:p>
    <w:p>
      <w:pPr>
        <w:spacing w:line="360" w:lineRule="auto" w:before="120" w:after="0"/>
        <w:ind w:firstLine="0"/>
        <w:jc w:val="both"/>
      </w:pPr>
      <w:r>
        <w:rPr>
          <w:rFonts w:ascii="Times New Roman" w:hAnsi="Times New Roman" w:eastAsia="Times New Roman"/>
          <w:b/>
          <w:sz w:val="24"/>
        </w:rPr>
        <w:t xml:space="preserve">Kompletność coarse searchu. </w:t>
      </w:r>
      <w:r>
        <w:rPr>
          <w:rFonts w:ascii="Times New Roman" w:hAnsi="Times New Roman" w:eastAsia="Times New Roman"/>
          <w:sz w:val="24"/>
        </w:rPr>
        <w:t>Rozszerzony indeks obejmował 247 pozycji kandydatów, co przełożyło się na 1 482 dopasowania fold-model. Zakończono poprawnie 238 pozycji. Dziewięć konfiguracji SVM RBF zostało wykluczonych w trybie fail-closed po ostrzeżeniach o braku zbieżności; po trzy dla każdego bloku cech. Wyniki, statusy i nieudane próby pozostały zapisane w manifestach. Pozostałe rodziny zakończyły wszystkie zaplanowane konfiguracje. Takie traktowanie awarii zapobiega selektywnemu pomijaniu technicznie niekorzystnych wyników.</w:t>
      </w:r>
    </w:p>
    <w:p>
      <w:pPr>
        <w:keepNext/>
        <w:spacing w:before="160" w:after="80"/>
        <w:ind w:firstLine="0"/>
        <w:jc w:val="left"/>
      </w:pPr>
      <w:r>
        <w:rPr>
          <w:rFonts w:ascii="Times New Roman" w:hAnsi="Times New Roman" w:eastAsia="Times New Roman"/>
          <w:b/>
          <w:sz w:val="21"/>
        </w:rPr>
        <w:t>Tabela 5.5. Najlepsza konfiguracja coarse searchu w każdej rodzinie modeli</w:t>
      </w:r>
    </w:p>
    <w:tbl>
      <w:tblPr>
        <w:tblStyle w:val="TableGrid"/>
        <w:tblW w:type="auto" w:w="0"/>
        <w:jc w:val="center"/>
        <w:tblLayout w:type="fixed"/>
        <w:tblLook w:firstColumn="1" w:firstRow="1" w:lastColumn="0" w:lastRow="0" w:noHBand="0" w:noVBand="1" w:val="04A0"/>
        <w:tblBorders>
          <w:top w:val="single" w:sz="4" w:space="0" w:color="7F7F7F"/>
          <w:start w:val="single" w:sz="4" w:space="0" w:color="7F7F7F"/>
          <w:bottom w:val="single" w:sz="4" w:space="0" w:color="7F7F7F"/>
          <w:end w:val="single" w:sz="4" w:space="0" w:color="7F7F7F"/>
          <w:insideH w:val="single" w:sz="4" w:space="0" w:color="7F7F7F"/>
          <w:insideV w:val="single" w:sz="4" w:space="0" w:color="7F7F7F"/>
        </w:tblBorders>
      </w:tblPr>
      <w:tblGrid>
        <w:gridCol w:w="1473"/>
        <w:gridCol w:w="1473"/>
        <w:gridCol w:w="1473"/>
        <w:gridCol w:w="1473"/>
        <w:gridCol w:w="1473"/>
        <w:gridCol w:w="1473"/>
      </w:tblGrid>
      <w:tr>
        <w:trPr>
          <w:tblHeader w:val="true"/>
          <w:cantSplit/>
        </w:trPr>
        <w:tc>
          <w:tcPr>
            <w:tcW w:type="dxa" w:w="2268"/>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7"/>
              </w:rPr>
              <w:t>Rodzina</w:t>
            </w:r>
          </w:p>
        </w:tc>
        <w:tc>
          <w:tcPr>
            <w:tcW w:type="dxa" w:w="1020"/>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7"/>
              </w:rPr>
              <w:t>Blok</w:t>
            </w:r>
          </w:p>
        </w:tc>
        <w:tc>
          <w:tcPr>
            <w:tcW w:type="dxa" w:w="1134"/>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7"/>
              </w:rPr>
              <w:t>PR-AUC</w:t>
            </w:r>
          </w:p>
        </w:tc>
        <w:tc>
          <w:tcPr>
            <w:tcW w:type="dxa" w:w="1134"/>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7"/>
              </w:rPr>
              <w:t>ROC-AUC</w:t>
            </w:r>
          </w:p>
        </w:tc>
        <w:tc>
          <w:tcPr>
            <w:tcW w:type="dxa" w:w="1191"/>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7"/>
              </w:rPr>
              <w:t>SD PR-AUC</w:t>
            </w:r>
          </w:p>
        </w:tc>
        <w:tc>
          <w:tcPr>
            <w:tcW w:type="dxa" w:w="1020"/>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7"/>
              </w:rPr>
              <w:t>Czas [s]</w:t>
            </w:r>
          </w:p>
        </w:tc>
      </w:tr>
      <w:tr>
        <w:trPr>
          <w:cantSplit/>
        </w:trPr>
        <w:tc>
          <w:tcPr>
            <w:tcW w:type="dxa" w:w="2268"/>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XGBoost</w:t>
            </w:r>
          </w:p>
        </w:tc>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L+D+R</w:t>
            </w:r>
          </w:p>
        </w:tc>
        <w:tc>
          <w:tcPr>
            <w:tcW w:type="dxa" w:w="113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0,4117</w:t>
            </w:r>
          </w:p>
        </w:tc>
        <w:tc>
          <w:tcPr>
            <w:tcW w:type="dxa" w:w="113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0,7595</w:t>
            </w:r>
          </w:p>
        </w:tc>
        <w:tc>
          <w:tcPr>
            <w:tcW w:type="dxa" w:w="119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0,0699</w:t>
            </w:r>
          </w:p>
        </w:tc>
        <w:tc>
          <w:tcPr>
            <w:tcW w:type="dxa" w:w="1020"/>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12,9</w:t>
            </w:r>
          </w:p>
        </w:tc>
      </w:tr>
      <w:tr>
        <w:trPr>
          <w:cantSplit/>
        </w:trPr>
        <w:tc>
          <w:tcPr>
            <w:tcW w:type="dxa" w:w="2268"/>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HistGB</w:t>
            </w:r>
          </w:p>
        </w:tc>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L+D+R</w:t>
            </w:r>
          </w:p>
        </w:tc>
        <w:tc>
          <w:tcPr>
            <w:tcW w:type="dxa" w:w="113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0,4078</w:t>
            </w:r>
          </w:p>
        </w:tc>
        <w:tc>
          <w:tcPr>
            <w:tcW w:type="dxa" w:w="113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0,7588</w:t>
            </w:r>
          </w:p>
        </w:tc>
        <w:tc>
          <w:tcPr>
            <w:tcW w:type="dxa" w:w="119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0,0552</w:t>
            </w:r>
          </w:p>
        </w:tc>
        <w:tc>
          <w:tcPr>
            <w:tcW w:type="dxa" w:w="1020"/>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15,6</w:t>
            </w:r>
          </w:p>
        </w:tc>
      </w:tr>
      <w:tr>
        <w:trPr>
          <w:cantSplit/>
        </w:trPr>
        <w:tc>
          <w:tcPr>
            <w:tcW w:type="dxa" w:w="2268"/>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Random Forest</w:t>
            </w:r>
          </w:p>
        </w:tc>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L+D+R</w:t>
            </w:r>
          </w:p>
        </w:tc>
        <w:tc>
          <w:tcPr>
            <w:tcW w:type="dxa" w:w="113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0,4074</w:t>
            </w:r>
          </w:p>
        </w:tc>
        <w:tc>
          <w:tcPr>
            <w:tcW w:type="dxa" w:w="113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0,7587</w:t>
            </w:r>
          </w:p>
        </w:tc>
        <w:tc>
          <w:tcPr>
            <w:tcW w:type="dxa" w:w="119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0,0737</w:t>
            </w:r>
          </w:p>
        </w:tc>
        <w:tc>
          <w:tcPr>
            <w:tcW w:type="dxa" w:w="1020"/>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171,7</w:t>
            </w:r>
          </w:p>
        </w:tc>
      </w:tr>
      <w:tr>
        <w:trPr>
          <w:cantSplit/>
        </w:trPr>
        <w:tc>
          <w:tcPr>
            <w:tcW w:type="dxa" w:w="2268"/>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MLP (PyTorch)</w:t>
            </w:r>
          </w:p>
        </w:tc>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L+D</w:t>
            </w:r>
          </w:p>
        </w:tc>
        <w:tc>
          <w:tcPr>
            <w:tcW w:type="dxa" w:w="113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0,3955</w:t>
            </w:r>
          </w:p>
        </w:tc>
        <w:tc>
          <w:tcPr>
            <w:tcW w:type="dxa" w:w="113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0,7449</w:t>
            </w:r>
          </w:p>
        </w:tc>
        <w:tc>
          <w:tcPr>
            <w:tcW w:type="dxa" w:w="119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0,0480</w:t>
            </w:r>
          </w:p>
        </w:tc>
        <w:tc>
          <w:tcPr>
            <w:tcW w:type="dxa" w:w="1020"/>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46,5</w:t>
            </w:r>
          </w:p>
        </w:tc>
      </w:tr>
      <w:tr>
        <w:trPr>
          <w:cantSplit/>
        </w:trPr>
        <w:tc>
          <w:tcPr>
            <w:tcW w:type="dxa" w:w="2268"/>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SVM RBF</w:t>
            </w:r>
          </w:p>
        </w:tc>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L+D+R</w:t>
            </w:r>
          </w:p>
        </w:tc>
        <w:tc>
          <w:tcPr>
            <w:tcW w:type="dxa" w:w="113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0,3936</w:t>
            </w:r>
          </w:p>
        </w:tc>
        <w:tc>
          <w:tcPr>
            <w:tcW w:type="dxa" w:w="113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0,7360</w:t>
            </w:r>
          </w:p>
        </w:tc>
        <w:tc>
          <w:tcPr>
            <w:tcW w:type="dxa" w:w="119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0,0688</w:t>
            </w:r>
          </w:p>
        </w:tc>
        <w:tc>
          <w:tcPr>
            <w:tcW w:type="dxa" w:w="1020"/>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37,0</w:t>
            </w:r>
          </w:p>
        </w:tc>
      </w:tr>
      <w:tr>
        <w:trPr>
          <w:cantSplit/>
        </w:trPr>
        <w:tc>
          <w:tcPr>
            <w:tcW w:type="dxa" w:w="2268"/>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Logit Elastic Net</w:t>
            </w:r>
          </w:p>
        </w:tc>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L+D+R</w:t>
            </w:r>
          </w:p>
        </w:tc>
        <w:tc>
          <w:tcPr>
            <w:tcW w:type="dxa" w:w="113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0,3818</w:t>
            </w:r>
          </w:p>
        </w:tc>
        <w:tc>
          <w:tcPr>
            <w:tcW w:type="dxa" w:w="113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0,7401</w:t>
            </w:r>
          </w:p>
        </w:tc>
        <w:tc>
          <w:tcPr>
            <w:tcW w:type="dxa" w:w="119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0,0540</w:t>
            </w:r>
          </w:p>
        </w:tc>
        <w:tc>
          <w:tcPr>
            <w:tcW w:type="dxa" w:w="1020"/>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11,3</w:t>
            </w:r>
          </w:p>
        </w:tc>
      </w:tr>
      <w:tr>
        <w:trPr>
          <w:cantSplit/>
        </w:trPr>
        <w:tc>
          <w:tcPr>
            <w:tcW w:type="dxa" w:w="2268"/>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Logit fixed L2</w:t>
            </w:r>
          </w:p>
        </w:tc>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L+D+R</w:t>
            </w:r>
          </w:p>
        </w:tc>
        <w:tc>
          <w:tcPr>
            <w:tcW w:type="dxa" w:w="113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0,3817</w:t>
            </w:r>
          </w:p>
        </w:tc>
        <w:tc>
          <w:tcPr>
            <w:tcW w:type="dxa" w:w="113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0,7387</w:t>
            </w:r>
          </w:p>
        </w:tc>
        <w:tc>
          <w:tcPr>
            <w:tcW w:type="dxa" w:w="119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0,0520</w:t>
            </w:r>
          </w:p>
        </w:tc>
        <w:tc>
          <w:tcPr>
            <w:tcW w:type="dxa" w:w="1020"/>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11,3</w:t>
            </w:r>
          </w:p>
        </w:tc>
      </w:tr>
      <w:tr>
        <w:trPr>
          <w:cantSplit/>
        </w:trPr>
        <w:tc>
          <w:tcPr>
            <w:tcW w:type="dxa" w:w="2268"/>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7"/>
              </w:rPr>
              <w:t>Dummy prior</w:t>
            </w:r>
          </w:p>
        </w:tc>
        <w:tc>
          <w:tcPr>
            <w:tcW w:type="dxa" w:w="1020"/>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w:t>
            </w:r>
          </w:p>
        </w:tc>
        <w:tc>
          <w:tcPr>
            <w:tcW w:type="dxa" w:w="113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0,1723</w:t>
            </w:r>
          </w:p>
        </w:tc>
        <w:tc>
          <w:tcPr>
            <w:tcW w:type="dxa" w:w="113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0,4626</w:t>
            </w:r>
          </w:p>
        </w:tc>
        <w:tc>
          <w:tcPr>
            <w:tcW w:type="dxa" w:w="119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0,0365</w:t>
            </w:r>
          </w:p>
        </w:tc>
        <w:tc>
          <w:tcPr>
            <w:tcW w:type="dxa" w:w="1020"/>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11,2</w:t>
            </w:r>
          </w:p>
        </w:tc>
      </w:tr>
    </w:tbl>
    <w:p>
      <w:pPr>
        <w:spacing w:line="240" w:lineRule="auto" w:before="60" w:after="120"/>
        <w:ind w:firstLine="0"/>
        <w:jc w:val="left"/>
      </w:pPr>
      <w:r>
        <w:rPr>
          <w:rFonts w:ascii="Times New Roman" w:hAnsi="Times New Roman" w:eastAsia="Times New Roman"/>
          <w:i/>
          <w:sz w:val="18"/>
        </w:rPr>
        <w:t>Źródło: opracowanie własne na podstawie pooled OOF coarse searchu. Czas oznacza wartość raportowaną dla kandydata w tym samym środowisku obliczeniowym i nie jest niezależnym benchmarkiem sprzętowym.</w:t>
      </w:r>
    </w:p>
    <w:p>
      <w:pPr>
        <w:keepNext w:val="0"/>
        <w:spacing w:line="360" w:lineRule="auto" w:before="0" w:after="0"/>
        <w:ind w:firstLine="709"/>
        <w:jc w:val="both"/>
      </w:pPr>
      <w:r>
        <w:rPr>
          <w:rFonts w:ascii="Times New Roman" w:hAnsi="Times New Roman" w:eastAsia="Times New Roman"/>
          <w:sz w:val="24"/>
        </w:rPr>
        <w:t>Najwyższy pooled OOF PR-AUC uzyskał XGBoost w konfiguracji model_stage_v1__coarse__xgboost__004 i bloku L+D+R. Wynik wynosi 0,4117, a uzupełniający ROC-AUC 0,7595. Drugie i trzecie miejsce na poziomie liderów rodzin zajmują HistGradientBoosting i Random Forest z PR-AUC odpowiednio 0,4078 i 0,4074. Różnica pomiędzy liderem a tymi modelami wynosi zaledwie 0,0039 oraz 0,0043. Tak małe odległości uzasadniają dalszy refinement i analizę niepewności; coarse search nie daje podstaw do stwierdzenia, że jedna z trzech rodzin jest bezspornie najlepsza.</w:t>
      </w:r>
    </w:p>
    <w:p>
      <w:pPr>
        <w:keepNext w:val="0"/>
        <w:spacing w:line="360" w:lineRule="auto" w:before="0" w:after="0"/>
        <w:ind w:firstLine="709"/>
        <w:jc w:val="both"/>
      </w:pPr>
      <w:r>
        <w:rPr>
          <w:rFonts w:ascii="Times New Roman" w:hAnsi="Times New Roman" w:eastAsia="Times New Roman"/>
          <w:sz w:val="24"/>
        </w:rPr>
        <w:t>Przewaga XGBoost nad empirycznym baseline Dummy prior wynosi 0,2394 punktu PR-AUC. Stosunek obu wyników wynosi około 2,39. Względem regresji logistycznej fixed L2 poprawa wynosi 0,0300, czyli około 7,9% wyniku modelu bazowego. Względem najlepszego MLP przewaga wynosi 0,0162, czyli około 4,1% wyniku MLP. Wartości względne pomagają opisać skalę różnicy, lecz nie mogą być utożsamiane z proporcjonalną poprawą użyteczności operacyjnej. Ta zależy od kalibracji, progu, kosztów błędów i liczby przypadków poddawanych dalszej analizie.</w:t>
      </w:r>
    </w:p>
    <w:p>
      <w:pPr>
        <w:keepNext w:val="0"/>
        <w:spacing w:line="360" w:lineRule="auto" w:before="0" w:after="0"/>
        <w:ind w:firstLine="709"/>
        <w:jc w:val="both"/>
      </w:pPr>
      <w:r>
        <w:rPr>
          <w:rFonts w:ascii="Times New Roman" w:hAnsi="Times New Roman" w:eastAsia="Times New Roman"/>
          <w:sz w:val="24"/>
        </w:rPr>
        <w:t>PR-AUC na poziomie około 0,4 nie oznacza wyniku bliskiego doskonałości. Jednocześnie nie powinien być oceniany wyłącznie przez odległość od wartości 1. W niezbalansowanym zadaniu punktem odniesienia jest częstość klasy pozytywnej oraz wynik uczciwego baseline. Model XGBoost osiąga wyraźnie wyższy wynik niż Dummy i modele logistyczne, ale nadal pozostawia znaczną przestrzeń dla błędów. Analogicznie ROC-AUC 0,7595 wskazuje na istotną zdolność porządkowania obserwacji, lecz daleką od separacji niemal idealnej. Wniosek jest zatem dwuczęściowy: sygnał predykcyjny istnieje i jest ekonomicznie sensowny, ale zadanie pozostaje trudne i nie uzasadnia obietnicy automatycznego, bezbłędnego wykrywania ryzyka.</w:t>
      </w:r>
    </w:p>
    <w:p>
      <w:pPr>
        <w:keepNext w:val="0"/>
        <w:spacing w:line="360" w:lineRule="auto" w:before="0" w:after="0"/>
        <w:ind w:firstLine="709"/>
        <w:jc w:val="both"/>
      </w:pPr>
      <w:r>
        <w:rPr>
          <w:rFonts w:ascii="Times New Roman" w:hAnsi="Times New Roman" w:eastAsia="Times New Roman"/>
          <w:sz w:val="24"/>
        </w:rPr>
        <w:t>Trzy najlepsze rodziny są modelami zespołowymi opartymi na drzewach. Może to wskazywać, że relacja pomiędzy wskaźnikami finansowymi a przyszłym pogorszeniem jest nieliniowa i obejmuje interakcje, progi oraz różne reżimy zależne od wielkości i profilu spółki. Nie oznacza to jednak, że modele liniowe są nieprzydatne. Regresja logistyczna pełni ważną rolę interpretowalnego baseline, a jej PR-AUC około 0,382 potwierdza, że część sygnału można uchwycić za pomocą względnie prostej granicy decyzyjnej.</w:t>
      </w:r>
    </w:p>
    <w:p>
      <w:pPr>
        <w:keepNext w:val="0"/>
        <w:spacing w:line="360" w:lineRule="auto" w:before="0" w:after="0"/>
        <w:ind w:firstLine="709"/>
        <w:jc w:val="both"/>
      </w:pPr>
      <w:r>
        <w:rPr>
          <w:rFonts w:ascii="Times New Roman" w:hAnsi="Times New Roman" w:eastAsia="Times New Roman"/>
          <w:sz w:val="24"/>
        </w:rPr>
        <w:t>MLP osiąga PR-AUC 0,3955 i ROC-AUC 0,7449. Jest to wynik niższy od lidera XGBoost, lecz wyższy od regresji logistycznej i zbliżony do SVM RBF. MLP ma szczególne znaczenie dla głównego pytania pracy, ponieważ stanowi klasyczną sieć neuronową, której sposób uczenia i zdolność do modelowania nieliniowości są bliższe QNN niż w przypadku modeli drzewiastych. Porównanie QNN wyłącznie z globalnym liderem klasycznym byłoby niewystarczające: należy dodatkowo zestawić je z MLP na pełnej reprezentacji oraz z MLP korzystającym z identycznej reprezentacji PCA-matched.</w:t>
      </w:r>
    </w:p>
    <w:p>
      <w:pPr>
        <w:keepNext w:val="0"/>
        <w:spacing w:line="360" w:lineRule="auto" w:before="0" w:after="0"/>
        <w:ind w:firstLine="709"/>
        <w:jc w:val="both"/>
      </w:pPr>
      <w:r>
        <w:rPr>
          <w:rFonts w:ascii="Times New Roman" w:hAnsi="Times New Roman" w:eastAsia="Times New Roman"/>
          <w:sz w:val="24"/>
        </w:rPr>
        <w:t>Wstępne czasy obliczeń pokazują, że XGBoost łączy najwyższy wynik z relatywnie krótkim czasem coarse searchu dla zwycięskiej konfiguracji. Random Forest uzyskuje bardzo podobny PR-AUC, ale jego raportowany czas jest ponad dziesięciokrotnie większy. MLP zajmuje pozycję pośrednią. Porównanie to ma charakter lokalny: zależy od implementacji, sprzętu, liczby wątków i rozmiaru siatki. Nie można go jeszcze zestawiać z kosztem QNN, dopóki nie zostaną wykonane wszystkie foldy, seedy i próby wznowienia zgodnie z zamrożonym budżetem.</w:t>
      </w:r>
    </w:p>
    <w:p>
      <w:pPr>
        <w:spacing w:line="360" w:lineRule="auto" w:before="120" w:after="0"/>
        <w:ind w:firstLine="0"/>
        <w:jc w:val="both"/>
      </w:pPr>
      <w:r>
        <w:rPr>
          <w:rFonts w:ascii="Times New Roman" w:hAnsi="Times New Roman" w:eastAsia="Times New Roman"/>
          <w:b/>
          <w:sz w:val="24"/>
        </w:rPr>
        <w:t xml:space="preserve">Wpływ bloków cech. </w:t>
      </w:r>
      <w:r>
        <w:rPr>
          <w:rFonts w:ascii="Times New Roman" w:hAnsi="Times New Roman" w:eastAsia="Times New Roman"/>
          <w:sz w:val="24"/>
        </w:rPr>
        <w:t>Dla każdego z trzech bloków globalnym liderem jest XGBoost. PR-AUC rośnie z 0,4027 dla bloku L do 0,4057 dla L+D i 0,4117 dla L+D+R. Dodanie zmian rocznych D poprawia wynik o 0,0030, a dołączenie cech przychodowych R o dalsze 0,0060. Łączna różnica pomiędzy L i pełnym blokiem wynosi 0,0090. Jest to poprawa konsekwentna, lecz umiarkowana, co sugeruje, że najwięcej informacji znajduje się już w poziomach finansowych, a dynamiki i cechy przychodowe stanowią uzupełnienie, nie zaś całkowicie nową podstawę predykcji.</w:t>
      </w:r>
    </w:p>
    <w:p>
      <w:pPr>
        <w:keepNext/>
        <w:spacing w:before="160" w:after="80"/>
        <w:ind w:firstLine="0"/>
        <w:jc w:val="left"/>
      </w:pPr>
      <w:r>
        <w:rPr>
          <w:rFonts w:ascii="Times New Roman" w:hAnsi="Times New Roman" w:eastAsia="Times New Roman"/>
          <w:b/>
          <w:sz w:val="21"/>
        </w:rPr>
        <w:t>Tabela 5.6. Najlepszy wynik coarse searchu według bloku cech</w:t>
      </w:r>
    </w:p>
    <w:tbl>
      <w:tblPr>
        <w:tblStyle w:val="TableGrid"/>
        <w:tblW w:type="auto" w:w="0"/>
        <w:jc w:val="center"/>
        <w:tblLayout w:type="fixed"/>
        <w:tblLook w:firstColumn="1" w:firstRow="1" w:lastColumn="0" w:lastRow="0" w:noHBand="0" w:noVBand="1" w:val="04A0"/>
        <w:tblBorders>
          <w:top w:val="single" w:sz="4" w:space="0" w:color="7F7F7F"/>
          <w:start w:val="single" w:sz="4" w:space="0" w:color="7F7F7F"/>
          <w:bottom w:val="single" w:sz="4" w:space="0" w:color="7F7F7F"/>
          <w:end w:val="single" w:sz="4" w:space="0" w:color="7F7F7F"/>
          <w:insideH w:val="single" w:sz="4" w:space="0" w:color="7F7F7F"/>
          <w:insideV w:val="single" w:sz="4" w:space="0" w:color="7F7F7F"/>
        </w:tblBorders>
      </w:tblPr>
      <w:tblGrid>
        <w:gridCol w:w="1768"/>
        <w:gridCol w:w="1768"/>
        <w:gridCol w:w="1768"/>
        <w:gridCol w:w="1768"/>
        <w:gridCol w:w="1768"/>
      </w:tblGrid>
      <w:tr>
        <w:trPr>
          <w:tblHeader w:val="true"/>
          <w:cantSplit/>
        </w:trPr>
        <w:tc>
          <w:tcPr>
            <w:tcW w:type="dxa" w:w="1247"/>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8"/>
              </w:rPr>
              <w:t>Blok</w:t>
            </w:r>
          </w:p>
        </w:tc>
        <w:tc>
          <w:tcPr>
            <w:tcW w:type="dxa" w:w="1928"/>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8"/>
              </w:rPr>
              <w:t>Lider</w:t>
            </w:r>
          </w:p>
        </w:tc>
        <w:tc>
          <w:tcPr>
            <w:tcW w:type="dxa" w:w="1814"/>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8"/>
              </w:rPr>
              <w:t>Najlepszy PR-AUC</w:t>
            </w:r>
          </w:p>
        </w:tc>
        <w:tc>
          <w:tcPr>
            <w:tcW w:type="dxa" w:w="1701"/>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8"/>
              </w:rPr>
              <w:t>ROC-AUC lidera</w:t>
            </w:r>
          </w:p>
        </w:tc>
        <w:tc>
          <w:tcPr>
            <w:tcW w:type="dxa" w:w="1814"/>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8"/>
              </w:rPr>
              <w:t>Mediana PR-AUC</w:t>
            </w:r>
          </w:p>
        </w:tc>
      </w:tr>
      <w:tr>
        <w:trPr>
          <w:cantSplit/>
        </w:trPr>
        <w:tc>
          <w:tcPr>
            <w:tcW w:type="dxa" w:w="1247"/>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8"/>
              </w:rPr>
              <w:t>L</w:t>
            </w:r>
          </w:p>
        </w:tc>
        <w:tc>
          <w:tcPr>
            <w:tcW w:type="dxa" w:w="1928"/>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8"/>
              </w:rPr>
              <w:t>XGBoost</w:t>
            </w:r>
          </w:p>
        </w:tc>
        <w:tc>
          <w:tcPr>
            <w:tcW w:type="dxa" w:w="181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0,4027</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0,7546</w:t>
            </w:r>
          </w:p>
        </w:tc>
        <w:tc>
          <w:tcPr>
            <w:tcW w:type="dxa" w:w="181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0,3788</w:t>
            </w:r>
          </w:p>
        </w:tc>
      </w:tr>
      <w:tr>
        <w:trPr>
          <w:cantSplit/>
        </w:trPr>
        <w:tc>
          <w:tcPr>
            <w:tcW w:type="dxa" w:w="1247"/>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8"/>
              </w:rPr>
              <w:t>L+D</w:t>
            </w:r>
          </w:p>
        </w:tc>
        <w:tc>
          <w:tcPr>
            <w:tcW w:type="dxa" w:w="1928"/>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8"/>
              </w:rPr>
              <w:t>XGBoost</w:t>
            </w:r>
          </w:p>
        </w:tc>
        <w:tc>
          <w:tcPr>
            <w:tcW w:type="dxa" w:w="181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0,4057</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0,7569</w:t>
            </w:r>
          </w:p>
        </w:tc>
        <w:tc>
          <w:tcPr>
            <w:tcW w:type="dxa" w:w="181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0,3809</w:t>
            </w:r>
          </w:p>
        </w:tc>
      </w:tr>
      <w:tr>
        <w:trPr>
          <w:cantSplit/>
        </w:trPr>
        <w:tc>
          <w:tcPr>
            <w:tcW w:type="dxa" w:w="1247"/>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8"/>
              </w:rPr>
              <w:t>L+D+R</w:t>
            </w:r>
          </w:p>
        </w:tc>
        <w:tc>
          <w:tcPr>
            <w:tcW w:type="dxa" w:w="1928"/>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8"/>
              </w:rPr>
              <w:t>XGBoost</w:t>
            </w:r>
          </w:p>
        </w:tc>
        <w:tc>
          <w:tcPr>
            <w:tcW w:type="dxa" w:w="181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0,4117</w:t>
            </w:r>
          </w:p>
        </w:tc>
        <w:tc>
          <w:tcPr>
            <w:tcW w:type="dxa" w:w="1701"/>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0,7595</w:t>
            </w:r>
          </w:p>
        </w:tc>
        <w:tc>
          <w:tcPr>
            <w:tcW w:type="dxa" w:w="181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0,3836</w:t>
            </w:r>
          </w:p>
        </w:tc>
      </w:tr>
    </w:tbl>
    <w:p>
      <w:pPr>
        <w:spacing w:line="240" w:lineRule="auto" w:before="60" w:after="120"/>
        <w:ind w:firstLine="0"/>
        <w:jc w:val="left"/>
      </w:pPr>
      <w:r>
        <w:rPr>
          <w:rFonts w:ascii="Times New Roman" w:hAnsi="Times New Roman" w:eastAsia="Times New Roman"/>
          <w:i/>
          <w:sz w:val="18"/>
        </w:rPr>
        <w:t>Źródło: opracowanie własne. Mediana obejmuje kompletne konfiguracje wszystkich rodzin w danym bloku.</w:t>
      </w:r>
    </w:p>
    <w:p>
      <w:pPr>
        <w:keepNext w:val="0"/>
        <w:spacing w:line="360" w:lineRule="auto" w:before="0" w:after="0"/>
        <w:ind w:firstLine="709"/>
        <w:jc w:val="both"/>
      </w:pPr>
      <w:r>
        <w:rPr>
          <w:rFonts w:ascii="Times New Roman" w:hAnsi="Times New Roman" w:eastAsia="Times New Roman"/>
          <w:sz w:val="24"/>
        </w:rPr>
        <w:t>Również mediana wyniku wszystkich kompletnych konfiguracji wzrasta wraz z rozszerzaniem reprezentacji: z 0,3788 do 0,3809 i 0,3836. Wzorzec nie ogranicza się więc wyłącznie do pojedynczego lidera. Jednocześnie najlepszy MLP wykorzystuje blok L+D, a nie L+D+R. Może to oznaczać, że cechy przychodowe nie przynoszą sieci dodatkowej informacji przy wybranej architekturze, zwiększają trudność optymalizacji albo wymagają odmiennej regularyzacji. Rozstrzygnięcie wymaga zaplanowanego refinementu MLP jako kontroli naukowej, a nie wyboru pojedynczego wyniku po fakcie.</w:t>
      </w:r>
    </w:p>
    <w:p>
      <w:pPr>
        <w:spacing w:line="360" w:lineRule="auto" w:before="120" w:after="0"/>
        <w:ind w:firstLine="0"/>
        <w:jc w:val="both"/>
      </w:pPr>
      <w:r>
        <w:rPr>
          <w:rFonts w:ascii="Times New Roman" w:hAnsi="Times New Roman" w:eastAsia="Times New Roman"/>
          <w:b/>
          <w:sz w:val="24"/>
        </w:rPr>
        <w:t xml:space="preserve">Stabilność w czasie. </w:t>
      </w:r>
      <w:r>
        <w:rPr>
          <w:rFonts w:ascii="Times New Roman" w:hAnsi="Times New Roman" w:eastAsia="Times New Roman"/>
          <w:sz w:val="24"/>
        </w:rPr>
        <w:t>Wyniki roczne są wyraźnie zróżnicowane. Dla lidera XGBoost PR-AUC wynosi od 0,3297 w 2019 r. do 0,5277 w 2015 r., co daje rozstęp 0,1980. Najlepszy wynik nie występuje w roku o najniższym udziale klasy pozytywnej, a najsłabszy rok nie pokrywa się dokładnie z rokiem najniższej prevalencji. Potwierdza to, że zmienność jakości nie jest prostą funkcją rozkładu klas.</w:t>
      </w:r>
    </w:p>
    <w:p>
      <w:pPr>
        <w:keepNext/>
        <w:spacing w:before="160" w:after="80"/>
        <w:ind w:firstLine="0"/>
        <w:jc w:val="left"/>
      </w:pPr>
      <w:r>
        <w:rPr>
          <w:rFonts w:ascii="Times New Roman" w:hAnsi="Times New Roman" w:eastAsia="Times New Roman"/>
          <w:b/>
          <w:sz w:val="21"/>
        </w:rPr>
        <w:t>Tabela 5.7. Roczny PR-AUC wybranych liderów rodzin</w:t>
      </w:r>
    </w:p>
    <w:tbl>
      <w:tblPr>
        <w:tblStyle w:val="TableGrid"/>
        <w:tblW w:type="auto" w:w="0"/>
        <w:jc w:val="center"/>
        <w:tblLayout w:type="fixed"/>
        <w:tblLook w:firstColumn="1" w:firstRow="1" w:lastColumn="0" w:lastRow="0" w:noHBand="0" w:noVBand="1" w:val="04A0"/>
        <w:tblBorders>
          <w:top w:val="single" w:sz="4" w:space="0" w:color="7F7F7F"/>
          <w:start w:val="single" w:sz="4" w:space="0" w:color="7F7F7F"/>
          <w:bottom w:val="single" w:sz="4" w:space="0" w:color="7F7F7F"/>
          <w:end w:val="single" w:sz="4" w:space="0" w:color="7F7F7F"/>
          <w:insideH w:val="single" w:sz="4" w:space="0" w:color="7F7F7F"/>
          <w:insideV w:val="single" w:sz="4" w:space="0" w:color="7F7F7F"/>
        </w:tblBorders>
      </w:tblPr>
      <w:tblGrid>
        <w:gridCol w:w="1473"/>
        <w:gridCol w:w="1473"/>
        <w:gridCol w:w="1473"/>
        <w:gridCol w:w="1473"/>
        <w:gridCol w:w="1473"/>
        <w:gridCol w:w="1473"/>
      </w:tblGrid>
      <w:tr>
        <w:trPr>
          <w:tblHeader w:val="true"/>
          <w:cantSplit/>
        </w:trPr>
        <w:tc>
          <w:tcPr>
            <w:tcW w:type="dxa" w:w="907"/>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7"/>
              </w:rPr>
              <w:t>Rok</w:t>
            </w:r>
          </w:p>
        </w:tc>
        <w:tc>
          <w:tcPr>
            <w:tcW w:type="dxa" w:w="1304"/>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7"/>
              </w:rPr>
              <w:t>XGBoost</w:t>
            </w:r>
          </w:p>
        </w:tc>
        <w:tc>
          <w:tcPr>
            <w:tcW w:type="dxa" w:w="1304"/>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7"/>
              </w:rPr>
              <w:t>HistGB</w:t>
            </w:r>
          </w:p>
        </w:tc>
        <w:tc>
          <w:tcPr>
            <w:tcW w:type="dxa" w:w="1304"/>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7"/>
              </w:rPr>
              <w:t>MLP</w:t>
            </w:r>
          </w:p>
        </w:tc>
        <w:tc>
          <w:tcPr>
            <w:tcW w:type="dxa" w:w="1304"/>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7"/>
              </w:rPr>
              <w:t>Logit L2</w:t>
            </w:r>
          </w:p>
        </w:tc>
        <w:tc>
          <w:tcPr>
            <w:tcW w:type="dxa" w:w="1928"/>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7"/>
              </w:rPr>
              <w:t>Dummy/prevalencja</w:t>
            </w:r>
          </w:p>
        </w:tc>
      </w:tr>
      <w:tr>
        <w:trPr>
          <w:cantSplit/>
        </w:trPr>
        <w:tc>
          <w:tcPr>
            <w:tcW w:type="dxa" w:w="907"/>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2015</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0,5277</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0,5081</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0,4698</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0,4660</w:t>
            </w:r>
          </w:p>
        </w:tc>
        <w:tc>
          <w:tcPr>
            <w:tcW w:type="dxa" w:w="1928"/>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0,2258</w:t>
            </w:r>
          </w:p>
        </w:tc>
      </w:tr>
      <w:tr>
        <w:trPr>
          <w:cantSplit/>
        </w:trPr>
        <w:tc>
          <w:tcPr>
            <w:tcW w:type="dxa" w:w="907"/>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2016</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0,3908</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0,3793</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0,4106</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0,3798</w:t>
            </w:r>
          </w:p>
        </w:tc>
        <w:tc>
          <w:tcPr>
            <w:tcW w:type="dxa" w:w="1928"/>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0,1646</w:t>
            </w:r>
          </w:p>
        </w:tc>
      </w:tr>
      <w:tr>
        <w:trPr>
          <w:cantSplit/>
        </w:trPr>
        <w:tc>
          <w:tcPr>
            <w:tcW w:type="dxa" w:w="907"/>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2017</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0,4398</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0,4250</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0,4150</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0,4077</w:t>
            </w:r>
          </w:p>
        </w:tc>
        <w:tc>
          <w:tcPr>
            <w:tcW w:type="dxa" w:w="1928"/>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0,1659</w:t>
            </w:r>
          </w:p>
        </w:tc>
      </w:tr>
      <w:tr>
        <w:trPr>
          <w:cantSplit/>
        </w:trPr>
        <w:tc>
          <w:tcPr>
            <w:tcW w:type="dxa" w:w="907"/>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2018</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0,4333</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0,4311</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0,4084</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0,3855</w:t>
            </w:r>
          </w:p>
        </w:tc>
        <w:tc>
          <w:tcPr>
            <w:tcW w:type="dxa" w:w="1928"/>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0,2164</w:t>
            </w:r>
          </w:p>
        </w:tc>
      </w:tr>
      <w:tr>
        <w:trPr>
          <w:cantSplit/>
        </w:trPr>
        <w:tc>
          <w:tcPr>
            <w:tcW w:type="dxa" w:w="907"/>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2019</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0,3297</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0,3478</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0,3264</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0,3272</w:t>
            </w:r>
          </w:p>
        </w:tc>
        <w:tc>
          <w:tcPr>
            <w:tcW w:type="dxa" w:w="1928"/>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0,1990</w:t>
            </w:r>
          </w:p>
        </w:tc>
      </w:tr>
      <w:tr>
        <w:trPr>
          <w:cantSplit/>
        </w:trPr>
        <w:tc>
          <w:tcPr>
            <w:tcW w:type="dxa" w:w="907"/>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sz w:val="17"/>
              </w:rPr>
              <w:t>2020</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0,3608</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0,3940</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0,3714</w:t>
            </w:r>
          </w:p>
        </w:tc>
        <w:tc>
          <w:tcPr>
            <w:tcW w:type="dxa" w:w="130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0,3294</w:t>
            </w:r>
          </w:p>
        </w:tc>
        <w:tc>
          <w:tcPr>
            <w:tcW w:type="dxa" w:w="1928"/>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7"/>
              </w:rPr>
              <w:t>0,1297</w:t>
            </w:r>
          </w:p>
        </w:tc>
      </w:tr>
    </w:tbl>
    <w:p>
      <w:pPr>
        <w:spacing w:line="240" w:lineRule="auto" w:before="60" w:after="120"/>
        <w:ind w:firstLine="0"/>
        <w:jc w:val="left"/>
      </w:pPr>
      <w:r>
        <w:rPr>
          <w:rFonts w:ascii="Times New Roman" w:hAnsi="Times New Roman" w:eastAsia="Times New Roman"/>
          <w:i/>
          <w:sz w:val="18"/>
        </w:rPr>
        <w:t>Źródło: opracowanie własne na podstawie foldów 2015-2020. Dla Dummy wynik roczny odpowiada udziałowi klasy pozytywnej w danym roku.</w:t>
      </w:r>
    </w:p>
    <w:p>
      <w:pPr>
        <w:keepNext w:val="0"/>
        <w:spacing w:line="360" w:lineRule="auto" w:before="0" w:after="0"/>
        <w:ind w:firstLine="709"/>
        <w:jc w:val="both"/>
      </w:pPr>
      <w:r>
        <w:rPr>
          <w:rFonts w:ascii="Times New Roman" w:hAnsi="Times New Roman" w:eastAsia="Times New Roman"/>
          <w:sz w:val="24"/>
        </w:rPr>
        <w:t>Ranking roczny nie jest stały. MLP przewyższa XGBoost w 2016 i 2020 r., a HistGradientBoosting uzyskuje wyższy wynik w 2019 i 2020 r. Pooled ranking wskazuje jednak XGBoost, ponieważ łączy predykcje wszystkich lat i realizuje zamrożoną regułę wyboru. Jest to ważne rozróżnienie: wybór modelu na podstawie pojedynczego roku prowadziłby do niestabilnych i wzajemnie sprzecznych decyzji. Równocześnie roczne odchylenia pokazują, że sam pooled PR-AUC nie wystarcza do oceny odporności czasowej.</w:t>
      </w:r>
    </w:p>
    <w:p>
      <w:pPr>
        <w:spacing w:line="360" w:lineRule="auto" w:before="120" w:after="0"/>
        <w:ind w:firstLine="0"/>
        <w:jc w:val="both"/>
      </w:pPr>
      <w:r>
        <w:rPr>
          <w:rFonts w:ascii="Times New Roman" w:hAnsi="Times New Roman" w:eastAsia="Times New Roman"/>
          <w:b/>
          <w:sz w:val="24"/>
        </w:rPr>
        <w:t xml:space="preserve">Refinement i potwierdzenie seedów. </w:t>
      </w:r>
      <w:r>
        <w:rPr>
          <w:rFonts w:ascii="Times New Roman" w:hAnsi="Times New Roman" w:eastAsia="Times New Roman"/>
          <w:sz w:val="24"/>
        </w:rPr>
        <w:t>Zgodnie z regułą kwalifikacji do conditional refinementu przeszły trzy rodziny: XGBoost, HistGradientBoosting i Random Forest. Reguła została określona przed obejrzeniem wyników i ogranicza liczbę rodzin do trzech, aby kontrolować budżet przeszukiwania i ryzyko wielokrotnego dostrajania. Kwalifikacja nie oznacza, że pozostałe modele są bezwartościowe; oznacza jedynie, że nie spełniły warunków wejścia do głównego, wynikowego refinementu.</w:t>
      </w:r>
    </w:p>
    <w:tbl>
      <w:tblPr>
        <w:tblW w:type="auto" w:w="0"/>
        <w:jc w:val="center"/>
        <w:tblLayout w:type="autofit"/>
        <w:tblLook w:firstColumn="1" w:firstRow="1" w:lastColumn="0" w:lastRow="0" w:noHBand="0" w:noVBand="1" w:val="04A0"/>
        <w:tblBorders>
          <w:top w:val="single" w:sz="6" w:space="0" w:color="A6A6A6"/>
          <w:start w:val="single" w:sz="6" w:space="0" w:color="A6A6A6"/>
          <w:bottom w:val="single" w:sz="6" w:space="0" w:color="A6A6A6"/>
          <w:end w:val="single" w:sz="6" w:space="0" w:color="A6A6A6"/>
          <w:insideH w:val="single" w:sz="6" w:space="0" w:color="A6A6A6"/>
          <w:insideV w:val="single" w:sz="6" w:space="0" w:color="A6A6A6"/>
        </w:tblBorders>
      </w:tblPr>
      <w:tblGrid>
        <w:gridCol w:w="8839"/>
      </w:tblGrid>
      <w:tr>
        <w:trPr>
          <w:cantSplit/>
        </w:trPr>
        <w:tc>
          <w:tcPr>
            <w:tcW w:type="dxa" w:w="8839"/>
            <w:shd w:fill="E7E6E6"/>
            <w:tcMar>
              <w:top w:w="140" w:type="dxa"/>
              <w:start w:w="180" w:type="dxa"/>
              <w:bottom w:w="140" w:type="dxa"/>
              <w:end w:w="180" w:type="dxa"/>
            </w:tcMar>
          </w:tcPr>
          <w:p>
            <w:pPr>
              <w:spacing w:line="276" w:lineRule="auto" w:after="0"/>
              <w:ind w:firstLine="0"/>
              <w:jc w:val="both"/>
            </w:pPr>
            <w:r>
              <w:rPr>
                <w:rFonts w:ascii="Times New Roman" w:hAnsi="Times New Roman" w:eastAsia="Times New Roman"/>
                <w:b/>
                <w:sz w:val="21"/>
              </w:rPr>
              <w:t xml:space="preserve">DO UZUPEŁNIENIA PO REFINEMENCIE I POTWIERDZENIU SEEDÓW. </w:t>
            </w:r>
            <w:r>
              <w:rPr>
                <w:rFonts w:ascii="Times New Roman" w:hAnsi="Times New Roman" w:eastAsia="Times New Roman"/>
                <w:sz w:val="21"/>
              </w:rPr>
              <w:t>W tym miejscu należy wstawić: (1) najlepsze konfiguracje refinementu dla XGBoost, HistGradientBoosting i Random Forest; (2) porównanie ich z liderami coarse searchu; (3) wyniki dla seedów 20260818, 20260819 i 20260820; (4) pooled PR-AUC na uśrednionych score; (5) rozrzut między seedami i foldami; (6) clustered bootstrap 95% CI dla różnic między finalistami. Do czasu wykonania tych etapów nie należy ogłaszać finalnego zwycięzcy modeli klasycznych.</w:t>
            </w:r>
          </w:p>
        </w:tc>
      </w:tr>
    </w:tbl>
    <w:p>
      <w:pPr>
        <w:spacing w:after="0"/>
      </w:pPr>
    </w:p>
    <w:p>
      <w:pPr>
        <w:keepNext w:val="0"/>
        <w:spacing w:line="360" w:lineRule="auto" w:before="0" w:after="0"/>
        <w:ind w:firstLine="709"/>
        <w:jc w:val="both"/>
      </w:pPr>
      <w:r>
        <w:rPr>
          <w:rFonts w:ascii="Times New Roman" w:hAnsi="Times New Roman" w:eastAsia="Times New Roman"/>
          <w:sz w:val="24"/>
        </w:rPr>
        <w:t>Ze względu na cel pracy uzasadnione jest dodatkowe, wtórne dopracowanie MLP jako klasycznej kontroli neuronowej. Taki etap nie powinien być przedstawiany jako element pierwotnej reguły conditional refinementu ani używany do retrospektywnej zmiany głównego rankingu. Powinien zostać oznaczony jako wersjonowana, naukowo motywowana analiza rozszerzająca, której celem jest zapewnienie uczciwszego porównania klasycznej sieci neuronowej z QNN. Najważniejsze jest zamrożenie przestrzeni MLP przed otwarciem chronionych okresów oraz zastosowanie tych samych foldów, seedów i reguł raportowania.</w:t>
      </w:r>
    </w:p>
    <w:p>
      <w:pPr>
        <w:spacing w:line="360" w:lineRule="auto" w:before="120" w:after="0"/>
        <w:ind w:firstLine="0"/>
        <w:jc w:val="both"/>
      </w:pPr>
      <w:r>
        <w:rPr>
          <w:rFonts w:ascii="Times New Roman" w:hAnsi="Times New Roman" w:eastAsia="Times New Roman"/>
          <w:b/>
          <w:sz w:val="24"/>
        </w:rPr>
        <w:t xml:space="preserve">Wyniki QNN i kontrole PCA-matched. </w:t>
      </w:r>
      <w:r>
        <w:rPr>
          <w:rFonts w:ascii="Times New Roman" w:hAnsi="Times New Roman" w:eastAsia="Times New Roman"/>
          <w:sz w:val="24"/>
        </w:rPr>
        <w:t>Eksperyment kwantowy został podzielony na dwa etapy. Q1 porównuje trzy zamrożone pakiety architektury ansatzu przy pozostałych ustawieniach utrzymanych na stałym poziomie. Q2 przeszukuje cztery pełne konfiguracje z ansatzem wybranym w Q1. Wejście QNN powstaje po preprocessingu C, redukcji PCA do 4 albo 6 komponentów, ponownej standaryzacji, obcięciu do przedziału [-3, 3] i mapowaniu na kąty. Ograniczenie do 4 lub 6 komponentów odpowiada liczbie kubitów, ale równocześnie zmienia reprezentację problemu.</w:t>
      </w:r>
    </w:p>
    <w:tbl>
      <w:tblPr>
        <w:tblW w:type="auto" w:w="0"/>
        <w:jc w:val="center"/>
        <w:tblLayout w:type="autofit"/>
        <w:tblLook w:firstColumn="1" w:firstRow="1" w:lastColumn="0" w:lastRow="0" w:noHBand="0" w:noVBand="1" w:val="04A0"/>
        <w:tblBorders>
          <w:top w:val="single" w:sz="6" w:space="0" w:color="A6A6A6"/>
          <w:start w:val="single" w:sz="6" w:space="0" w:color="A6A6A6"/>
          <w:bottom w:val="single" w:sz="6" w:space="0" w:color="A6A6A6"/>
          <w:end w:val="single" w:sz="6" w:space="0" w:color="A6A6A6"/>
          <w:insideH w:val="single" w:sz="6" w:space="0" w:color="A6A6A6"/>
          <w:insideV w:val="single" w:sz="6" w:space="0" w:color="A6A6A6"/>
        </w:tblBorders>
      </w:tblPr>
      <w:tblGrid>
        <w:gridCol w:w="8839"/>
      </w:tblGrid>
      <w:tr>
        <w:trPr>
          <w:cantSplit/>
        </w:trPr>
        <w:tc>
          <w:tcPr>
            <w:tcW w:type="dxa" w:w="8839"/>
            <w:shd w:fill="E7E6E6"/>
            <w:tcMar>
              <w:top w:w="140" w:type="dxa"/>
              <w:start w:w="180" w:type="dxa"/>
              <w:bottom w:w="140" w:type="dxa"/>
              <w:end w:w="180" w:type="dxa"/>
            </w:tcMar>
          </w:tcPr>
          <w:p>
            <w:pPr>
              <w:spacing w:line="276" w:lineRule="auto" w:after="0"/>
              <w:ind w:firstLine="0"/>
              <w:jc w:val="both"/>
            </w:pPr>
            <w:r>
              <w:rPr>
                <w:rFonts w:ascii="Times New Roman" w:hAnsi="Times New Roman" w:eastAsia="Times New Roman"/>
                <w:b/>
                <w:sz w:val="21"/>
              </w:rPr>
              <w:t xml:space="preserve">DO UZUPEŁNIENIA PO QNN Q1-Q2. </w:t>
            </w:r>
            <w:r>
              <w:rPr>
                <w:rFonts w:ascii="Times New Roman" w:hAnsi="Times New Roman" w:eastAsia="Times New Roman"/>
                <w:sz w:val="21"/>
              </w:rPr>
              <w:t>Należy wstawić osobne tabele dla: (1) Q1 - trzy pakiety architektury i ich PR-AUC/ROC-AUC, stabilność, czas oraz status techniczny; (2) Q2 - cztery zamrożone konfiguracje; (3) finalny QNN po potwierdzeniu seedów; (4) fixed-L2 logistic PCA-matched i MLP PCA-matched na dokładnie tych samych wierszach i reprezentacji; (5) różnice QNN minus MLP PCA-matched oraz QNN minus globalny klasyczny lider wraz z clustered CI. Bez tych kontroli nie wolno przypisywać ewentualnej przewagi samemu komponentowi kwantowemu.</w:t>
            </w:r>
          </w:p>
        </w:tc>
      </w:tr>
    </w:tbl>
    <w:p>
      <w:pPr>
        <w:spacing w:after="0"/>
      </w:pPr>
    </w:p>
    <w:p>
      <w:pPr>
        <w:spacing w:line="360" w:lineRule="auto" w:before="120" w:after="0"/>
        <w:ind w:firstLine="0"/>
        <w:jc w:val="both"/>
      </w:pPr>
      <w:r>
        <w:rPr>
          <w:rFonts w:ascii="Times New Roman" w:hAnsi="Times New Roman" w:eastAsia="Times New Roman"/>
          <w:b/>
          <w:sz w:val="24"/>
        </w:rPr>
        <w:t xml:space="preserve">Kalibracja i próg decyzyjny. </w:t>
      </w:r>
      <w:r>
        <w:rPr>
          <w:rFonts w:ascii="Times New Roman" w:hAnsi="Times New Roman" w:eastAsia="Times New Roman"/>
          <w:sz w:val="24"/>
        </w:rPr>
        <w:t>Primary ranking wykorzystuje surowe score i pozostaje niezależny od kalibracji. Dla każdego zamrożonego reprezentanta rodziny przewidziano kalibrację Platta na pooled OOF score oraz wybór progu maksymalizującego F1. Próg ten jest punktem operacyjnym dobranym na danych rozwojowych, a nie niezależnym oszacowaniem wyników poza próbą. Dopiero po jego zamrożeniu można rzetelnie raportować precision, recall, specificity, F1 i macierz pomyłek.</w:t>
      </w:r>
    </w:p>
    <w:tbl>
      <w:tblPr>
        <w:tblW w:type="auto" w:w="0"/>
        <w:jc w:val="center"/>
        <w:tblLayout w:type="autofit"/>
        <w:tblLook w:firstColumn="1" w:firstRow="1" w:lastColumn="0" w:lastRow="0" w:noHBand="0" w:noVBand="1" w:val="04A0"/>
        <w:tblBorders>
          <w:top w:val="single" w:sz="6" w:space="0" w:color="A6A6A6"/>
          <w:start w:val="single" w:sz="6" w:space="0" w:color="A6A6A6"/>
          <w:bottom w:val="single" w:sz="6" w:space="0" w:color="A6A6A6"/>
          <w:end w:val="single" w:sz="6" w:space="0" w:color="A6A6A6"/>
          <w:insideH w:val="single" w:sz="6" w:space="0" w:color="A6A6A6"/>
          <w:insideV w:val="single" w:sz="6" w:space="0" w:color="A6A6A6"/>
        </w:tblBorders>
      </w:tblPr>
      <w:tblGrid>
        <w:gridCol w:w="8839"/>
      </w:tblGrid>
      <w:tr>
        <w:trPr>
          <w:cantSplit/>
        </w:trPr>
        <w:tc>
          <w:tcPr>
            <w:tcW w:type="dxa" w:w="8839"/>
            <w:shd w:fill="E7E6E6"/>
            <w:tcMar>
              <w:top w:w="140" w:type="dxa"/>
              <w:start w:w="180" w:type="dxa"/>
              <w:bottom w:w="140" w:type="dxa"/>
              <w:end w:w="180" w:type="dxa"/>
            </w:tcMar>
          </w:tcPr>
          <w:p>
            <w:pPr>
              <w:spacing w:line="276" w:lineRule="auto" w:after="0"/>
              <w:ind w:firstLine="0"/>
              <w:jc w:val="both"/>
            </w:pPr>
            <w:r>
              <w:rPr>
                <w:rFonts w:ascii="Times New Roman" w:hAnsi="Times New Roman" w:eastAsia="Times New Roman"/>
                <w:b/>
                <w:sz w:val="21"/>
              </w:rPr>
              <w:t xml:space="preserve">DO UZUPEŁNIENIA PO KALIBRACJI. </w:t>
            </w:r>
            <w:r>
              <w:rPr>
                <w:rFonts w:ascii="Times New Roman" w:hAnsi="Times New Roman" w:eastAsia="Times New Roman"/>
                <w:sz w:val="21"/>
              </w:rPr>
              <w:t>Wstawić Brier score lub inną zamrożoną miarę kalibracji, parametry calibratora, próg max-F1, precision, recall, specificity, F1 oraz liczbę TP, FP, TN i FN dla każdego finalnego reprezentanta. Należy wyraźnie oddzielić wynik OOF użyty do wyboru progu od późniejszych wyników 2021-2022 i 2023-2024.</w:t>
            </w:r>
          </w:p>
        </w:tc>
      </w:tr>
    </w:tbl>
    <w:p>
      <w:pPr>
        <w:spacing w:after="0"/>
      </w:pPr>
    </w:p>
    <w:p>
      <w:pPr>
        <w:pStyle w:val="Heading2"/>
      </w:pPr>
      <w:r>
        <w:rPr>
          <w:rFonts w:ascii="Times New Roman" w:hAnsi="Times New Roman" w:eastAsia="Times New Roman"/>
          <w:b/>
          <w:sz w:val="28"/>
        </w:rPr>
        <w:t>5.3. Analiza wrażliwości wyników na dobór cech i definicję etykiety</w:t>
      </w:r>
    </w:p>
    <w:p>
      <w:pPr>
        <w:spacing w:line="360" w:lineRule="auto" w:before="120" w:after="0"/>
        <w:ind w:firstLine="0"/>
        <w:jc w:val="both"/>
      </w:pPr>
      <w:r>
        <w:rPr>
          <w:rFonts w:ascii="Times New Roman" w:hAnsi="Times New Roman" w:eastAsia="Times New Roman"/>
          <w:b/>
          <w:sz w:val="24"/>
        </w:rPr>
        <w:t xml:space="preserve">Dobór bloków cech. </w:t>
      </w:r>
      <w:r>
        <w:rPr>
          <w:rFonts w:ascii="Times New Roman" w:hAnsi="Times New Roman" w:eastAsia="Times New Roman"/>
          <w:sz w:val="24"/>
        </w:rPr>
        <w:t>Pierwsza analiza wrażliwości dotyczy stopniowego rozszerzania reprezentacji od poziomów L, przez poziomy i zmiany L+D, po pełny zestaw L+D+R. W coarse searchu pełny blok daje najwyższy wynik globalny, jednak przyrost względem L jest mniejszy niż 0,01 PR-AUC. Wniosek nie powinien brzmieć, że zmiany i cechy przychodowe są nieistotne, lecz że ich wartość dodana jest umiarkowana w stosunku do informacji zawartej w bieżących poziomach finansowych.</w:t>
      </w:r>
    </w:p>
    <w:p>
      <w:pPr>
        <w:keepNext w:val="0"/>
        <w:spacing w:line="360" w:lineRule="auto" w:before="0" w:after="0"/>
        <w:ind w:firstLine="709"/>
        <w:jc w:val="both"/>
      </w:pPr>
      <w:r>
        <w:rPr>
          <w:rFonts w:ascii="Times New Roman" w:hAnsi="Times New Roman" w:eastAsia="Times New Roman"/>
          <w:sz w:val="24"/>
        </w:rPr>
        <w:t>W przypadku modeli liniowych i zespołów drzewiastych najlepsze konfiguracje rodzin wykorzystują zwykle pełny blok L+D+R. MLP stanowi wyjątek, ponieważ jego lider korzysta z L+D. Wrażliwość na blok może zatem zależeć od rodziny modelu. Dodatkowe cechy zwiększają potencjalny sygnał, ale również wymiar, liczbę wskaźników braków i ryzyko dopasowania do szumu. Ostateczna ocena powinna łączyć różnicę w pooled PR-AUC, stabilność roczną, niepewność oraz koszt obliczeniowy, a nie opierać się wyłącznie na maksymalnej wartości punktowej.</w:t>
      </w:r>
    </w:p>
    <w:p>
      <w:pPr>
        <w:spacing w:line="360" w:lineRule="auto" w:before="120" w:after="0"/>
        <w:ind w:firstLine="0"/>
        <w:jc w:val="both"/>
      </w:pPr>
      <w:r>
        <w:rPr>
          <w:rFonts w:ascii="Times New Roman" w:hAnsi="Times New Roman" w:eastAsia="Times New Roman"/>
          <w:b/>
          <w:sz w:val="24"/>
        </w:rPr>
        <w:t xml:space="preserve">Diagnostyka PCA dla wariantów cztero- i sześciokubitowych. </w:t>
      </w:r>
      <w:r>
        <w:rPr>
          <w:rFonts w:ascii="Times New Roman" w:hAnsi="Times New Roman" w:eastAsia="Times New Roman"/>
          <w:sz w:val="24"/>
        </w:rPr>
        <w:t>PCA-4 zachowuje 66,94% wariancji 17 cech finansowych i redukuje wymiar z 17 do 4, czyli usuwa 76,47% wymiarów. PCA-6 zachowuje 78,18% wariancji i redukuje wymiar do 6. Dwa dodatkowe komponenty przechowują łącznie 11,25% wariancji, a błąd rekonstrukcji MSE spada z 0,3306 do 0,2182. PCA maksymalizuje wariancję wejścia, nie rozdzielność klas, dlatego wyższy udział wariancji nie gwarantuje wyższego PR-AUC.</w:t>
      </w:r>
      <w:r>
        <w:footnoteReference w:id="3"/>
      </w:r>
    </w:p>
    <w:p>
      <w:pPr>
        <w:keepNext/>
        <w:spacing w:before="160" w:after="80"/>
        <w:ind w:firstLine="0"/>
        <w:jc w:val="left"/>
      </w:pPr>
      <w:r>
        <w:rPr>
          <w:rFonts w:ascii="Times New Roman" w:hAnsi="Times New Roman" w:eastAsia="Times New Roman"/>
          <w:b/>
          <w:sz w:val="21"/>
        </w:rPr>
        <w:t>Tabela 5.8. Porównanie diagnostyczne PCA-4 i PCA-6</w:t>
      </w:r>
    </w:p>
    <w:tbl>
      <w:tblPr>
        <w:tblStyle w:val="TableGrid"/>
        <w:tblW w:type="auto" w:w="0"/>
        <w:jc w:val="center"/>
        <w:tblLayout w:type="fixed"/>
        <w:tblLook w:firstColumn="1" w:firstRow="1" w:lastColumn="0" w:lastRow="0" w:noHBand="0" w:noVBand="1" w:val="04A0"/>
        <w:tblBorders>
          <w:top w:val="single" w:sz="4" w:space="0" w:color="7F7F7F"/>
          <w:start w:val="single" w:sz="4" w:space="0" w:color="7F7F7F"/>
          <w:bottom w:val="single" w:sz="4" w:space="0" w:color="7F7F7F"/>
          <w:end w:val="single" w:sz="4" w:space="0" w:color="7F7F7F"/>
          <w:insideH w:val="single" w:sz="4" w:space="0" w:color="7F7F7F"/>
          <w:insideV w:val="single" w:sz="4" w:space="0" w:color="7F7F7F"/>
        </w:tblBorders>
      </w:tblPr>
      <w:tblGrid>
        <w:gridCol w:w="2946"/>
        <w:gridCol w:w="2946"/>
        <w:gridCol w:w="2946"/>
      </w:tblGrid>
      <w:tr>
        <w:trPr>
          <w:tblHeader w:val="true"/>
          <w:cantSplit/>
        </w:trPr>
        <w:tc>
          <w:tcPr>
            <w:tcW w:type="dxa" w:w="3969"/>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8"/>
              </w:rPr>
              <w:t>Miara</w:t>
            </w:r>
          </w:p>
        </w:tc>
        <w:tc>
          <w:tcPr>
            <w:tcW w:type="dxa" w:w="1984"/>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8"/>
              </w:rPr>
              <w:t>PCA-4</w:t>
            </w:r>
          </w:p>
        </w:tc>
        <w:tc>
          <w:tcPr>
            <w:tcW w:type="dxa" w:w="1984"/>
            <w:shd w:fill="D9E1F2"/>
            <w:tcMar>
              <w:top w:w="80" w:type="dxa"/>
              <w:start w:w="100" w:type="dxa"/>
              <w:bottom w:w="80" w:type="dxa"/>
              <w:end w:w="100" w:type="dxa"/>
            </w:tcMar>
            <w:vAlign w:val="center"/>
          </w:tcPr>
          <w:p>
            <w:pPr>
              <w:spacing w:line="240" w:lineRule="auto" w:after="0"/>
              <w:ind w:firstLine="0"/>
              <w:jc w:val="center"/>
            </w:pPr>
            <w:r>
              <w:rPr>
                <w:rFonts w:ascii="Times New Roman" w:hAnsi="Times New Roman" w:eastAsia="Times New Roman"/>
                <w:b/>
                <w:sz w:val="18"/>
              </w:rPr>
              <w:t>PCA-6</w:t>
            </w:r>
          </w:p>
        </w:tc>
      </w:tr>
      <w:tr>
        <w:trPr>
          <w:cantSplit/>
        </w:trPr>
        <w:tc>
          <w:tcPr>
            <w:tcW w:type="dxa" w:w="396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8"/>
              </w:rPr>
              <w:t>Liczba komponentów</w:t>
            </w:r>
          </w:p>
        </w:tc>
        <w:tc>
          <w:tcPr>
            <w:tcW w:type="dxa" w:w="198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4</w:t>
            </w:r>
          </w:p>
        </w:tc>
        <w:tc>
          <w:tcPr>
            <w:tcW w:type="dxa" w:w="198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6</w:t>
            </w:r>
          </w:p>
        </w:tc>
      </w:tr>
      <w:tr>
        <w:trPr>
          <w:cantSplit/>
        </w:trPr>
        <w:tc>
          <w:tcPr>
            <w:tcW w:type="dxa" w:w="396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8"/>
              </w:rPr>
              <w:t>Zachowana wariancja</w:t>
            </w:r>
          </w:p>
        </w:tc>
        <w:tc>
          <w:tcPr>
            <w:tcW w:type="dxa" w:w="198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66,94%</w:t>
            </w:r>
          </w:p>
        </w:tc>
        <w:tc>
          <w:tcPr>
            <w:tcW w:type="dxa" w:w="198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78,18%</w:t>
            </w:r>
          </w:p>
        </w:tc>
      </w:tr>
      <w:tr>
        <w:trPr>
          <w:cantSplit/>
        </w:trPr>
        <w:tc>
          <w:tcPr>
            <w:tcW w:type="dxa" w:w="396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8"/>
              </w:rPr>
              <w:t>Utracona wariancja</w:t>
            </w:r>
          </w:p>
        </w:tc>
        <w:tc>
          <w:tcPr>
            <w:tcW w:type="dxa" w:w="198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33,06%</w:t>
            </w:r>
          </w:p>
        </w:tc>
        <w:tc>
          <w:tcPr>
            <w:tcW w:type="dxa" w:w="198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21,82%</w:t>
            </w:r>
          </w:p>
        </w:tc>
      </w:tr>
      <w:tr>
        <w:trPr>
          <w:cantSplit/>
        </w:trPr>
        <w:tc>
          <w:tcPr>
            <w:tcW w:type="dxa" w:w="396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8"/>
              </w:rPr>
              <w:t>Redukcja liczby wymiarów</w:t>
            </w:r>
          </w:p>
        </w:tc>
        <w:tc>
          <w:tcPr>
            <w:tcW w:type="dxa" w:w="198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76,47%</w:t>
            </w:r>
          </w:p>
        </w:tc>
        <w:tc>
          <w:tcPr>
            <w:tcW w:type="dxa" w:w="198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64,71%</w:t>
            </w:r>
          </w:p>
        </w:tc>
      </w:tr>
      <w:tr>
        <w:trPr>
          <w:cantSplit/>
        </w:trPr>
        <w:tc>
          <w:tcPr>
            <w:tcW w:type="dxa" w:w="396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8"/>
              </w:rPr>
              <w:t>MSE rekonstrukcji</w:t>
            </w:r>
          </w:p>
        </w:tc>
        <w:tc>
          <w:tcPr>
            <w:tcW w:type="dxa" w:w="198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0,3306</w:t>
            </w:r>
          </w:p>
        </w:tc>
        <w:tc>
          <w:tcPr>
            <w:tcW w:type="dxa" w:w="198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0,2182</w:t>
            </w:r>
          </w:p>
        </w:tc>
      </w:tr>
      <w:tr>
        <w:trPr>
          <w:cantSplit/>
        </w:trPr>
        <w:tc>
          <w:tcPr>
            <w:tcW w:type="dxa" w:w="3969"/>
            <w:tcMar>
              <w:top w:w="80" w:type="dxa"/>
              <w:start w:w="100" w:type="dxa"/>
              <w:bottom w:w="80" w:type="dxa"/>
              <w:end w:w="100" w:type="dxa"/>
            </w:tcMar>
            <w:vAlign w:val="center"/>
          </w:tcPr>
          <w:p>
            <w:pPr>
              <w:spacing w:line="240" w:lineRule="auto" w:after="0"/>
              <w:ind w:firstLine="0"/>
              <w:jc w:val="left"/>
            </w:pPr>
            <w:r>
              <w:rPr>
                <w:rFonts w:ascii="Times New Roman" w:hAnsi="Times New Roman" w:eastAsia="Times New Roman"/>
                <w:sz w:val="18"/>
              </w:rPr>
              <w:t>Odpowiadająca liczba kubitów</w:t>
            </w:r>
          </w:p>
        </w:tc>
        <w:tc>
          <w:tcPr>
            <w:tcW w:type="dxa" w:w="198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4</w:t>
            </w:r>
          </w:p>
        </w:tc>
        <w:tc>
          <w:tcPr>
            <w:tcW w:type="dxa" w:w="1984"/>
            <w:tcMar>
              <w:top w:w="80" w:type="dxa"/>
              <w:start w:w="100" w:type="dxa"/>
              <w:bottom w:w="80" w:type="dxa"/>
              <w:end w:w="100" w:type="dxa"/>
            </w:tcMar>
            <w:vAlign w:val="center"/>
          </w:tcPr>
          <w:p>
            <w:pPr>
              <w:spacing w:line="240" w:lineRule="auto" w:after="0"/>
              <w:ind w:firstLine="0"/>
              <w:jc w:val="right"/>
            </w:pPr>
            <w:r>
              <w:rPr>
                <w:rFonts w:ascii="Times New Roman" w:hAnsi="Times New Roman" w:eastAsia="Times New Roman"/>
                <w:sz w:val="18"/>
              </w:rPr>
              <w:t>6</w:t>
            </w:r>
          </w:p>
        </w:tc>
      </w:tr>
    </w:tbl>
    <w:p>
      <w:pPr>
        <w:spacing w:line="240" w:lineRule="auto" w:before="60" w:after="120"/>
        <w:ind w:firstLine="0"/>
        <w:jc w:val="left"/>
      </w:pPr>
      <w:r>
        <w:rPr>
          <w:rFonts w:ascii="Times New Roman" w:hAnsi="Times New Roman" w:eastAsia="Times New Roman"/>
          <w:i/>
          <w:sz w:val="18"/>
        </w:rPr>
        <w:t>Źródło: opracowanie własne na podstawie diagnostyki PCA wykonanej na 17 cechach finansowych próby 2011-2020.</w:t>
      </w:r>
    </w:p>
    <w:p>
      <w:pPr>
        <w:keepNext w:val="0"/>
        <w:spacing w:line="360" w:lineRule="auto" w:before="0" w:after="0"/>
        <w:ind w:firstLine="709"/>
        <w:jc w:val="both"/>
      </w:pPr>
      <w:r>
        <w:rPr>
          <w:rFonts w:ascii="Times New Roman" w:hAnsi="Times New Roman" w:eastAsia="Times New Roman"/>
          <w:sz w:val="24"/>
        </w:rPr>
        <w:t>Pierwszy komponent jest zdominowany przez ROA, accruals/assets i OCF/assets, co wskazuje na wspólny wymiar rentowności, przepływów i jakości wyniku. Drugi komponent łączy dynamikę aktywów, zmianę zadłużenia i zmianę płynności. Trzeci opisuje przede wszystkim marże i rotację aktywów, a czwarty wielkość spółki oraz poziom przychodów w relacji do płynności. Komponenty piąty i szósty wnoszą dodatkową informację o rotacji, wzroście przychodów i zmianach płynności. Interpretacja znaków jest względna, ponieważ orientacja komponentu PCA jest arbitralna; znaczenie ma struktura i bezwzględna wielkość ładunków.</w:t>
      </w:r>
    </w:p>
    <w:p>
      <w:pPr>
        <w:keepNext w:val="0"/>
        <w:spacing w:line="360" w:lineRule="auto" w:before="0" w:after="0"/>
        <w:ind w:firstLine="709"/>
        <w:jc w:val="both"/>
      </w:pPr>
      <w:r>
        <w:rPr>
          <w:rFonts w:ascii="Times New Roman" w:hAnsi="Times New Roman" w:eastAsia="Times New Roman"/>
          <w:sz w:val="24"/>
        </w:rPr>
        <w:t>PCA-4 zapewnia silniejszą kompresję i niższy koszt kwantowy, ale usuwa jedną trzecią wariancji. PCA-6 zachowuje więcej informacji, lecz zwiększa liczbę kubitów oraz rozmiar obwodu. Nie można z góry uznać jednego wariantu za lepszy. Wybór musi wynikać z zamrożonego eksperymentu QNN i kontroli PCA-matched. Ponadto diagnostyka PCA opisana powyżej została wykonana na 17 cechach finansowych, natomiast produkcyjna reprezentacja QNN obejmuje również wskaźniki braków. Liczb tych nie należy więc traktować jako dokładnej kopii wariancji zachowanej w każdym foldzie eksperymentu kwantowego.</w:t>
      </w:r>
    </w:p>
    <w:p>
      <w:pPr>
        <w:keepNext w:val="0"/>
        <w:spacing w:line="360" w:lineRule="auto" w:before="0" w:after="0"/>
        <w:ind w:firstLine="709"/>
        <w:jc w:val="both"/>
      </w:pPr>
      <w:r>
        <w:rPr>
          <w:rFonts w:ascii="Times New Roman" w:hAnsi="Times New Roman" w:eastAsia="Times New Roman"/>
          <w:sz w:val="24"/>
        </w:rPr>
        <w:t>Kontrole PCA-matched są niezbędne do rozdzielenia wpływu redukcji wymiaru od wpływu modelu. Jeżeli QNN przewyższy klasyczne modele korzystające z pełnych 17 cech, ale nie przewyższy MLP lub regresji logistycznej uczonych na identycznych komponentach PCA, bardziej prawdopodobnym wyjaśnieniem będzie różnica reprezentacji niż przewaga kwantowego mechanizmu uczenia. Dopiero przewaga nad matched controls, powtarzalna między foldami i seedami, stanowiłaby mocniejszy argument na rzecz wartości architektury QNN.</w:t>
      </w:r>
    </w:p>
    <w:p>
      <w:pPr>
        <w:spacing w:line="360" w:lineRule="auto" w:before="120" w:after="0"/>
        <w:ind w:firstLine="0"/>
        <w:jc w:val="both"/>
      </w:pPr>
      <w:r>
        <w:rPr>
          <w:rFonts w:ascii="Times New Roman" w:hAnsi="Times New Roman" w:eastAsia="Times New Roman"/>
          <w:b/>
          <w:sz w:val="24"/>
        </w:rPr>
        <w:t xml:space="preserve">Wrażliwość na definicję targetu. </w:t>
      </w:r>
      <w:r>
        <w:rPr>
          <w:rFonts w:ascii="Times New Roman" w:hAnsi="Times New Roman" w:eastAsia="Times New Roman"/>
          <w:sz w:val="24"/>
        </w:rPr>
        <w:t>Główny target wykorzystuje próg deterioration_score_1y &gt;= 3. Zamrożone analizy odporności obejmują wariant łagodniejszy score &gt;= 2, wariant bardziej rygorystyczny score &gt;= 4 oraz wariant, w którym pogorszenie ROA i OCF jest agregowane do jednego bloku operating performance. Warianty te nie są kandydatami wybieranymi według wyniku modeli. Ich zadaniem jest sprawdzenie, czy główne wnioski utrzymują się przy rozsądnych zmianach surowości etykiety.</w:t>
      </w:r>
    </w:p>
    <w:p>
      <w:pPr>
        <w:keepNext w:val="0"/>
        <w:spacing w:line="360" w:lineRule="auto" w:before="0" w:after="0"/>
        <w:ind w:firstLine="709"/>
        <w:jc w:val="both"/>
      </w:pPr>
      <w:r>
        <w:rPr>
          <w:rFonts w:ascii="Times New Roman" w:hAnsi="Times New Roman" w:eastAsia="Times New Roman"/>
          <w:sz w:val="24"/>
        </w:rPr>
        <w:t>Zmiana definicji targetu wpłynie na prevalencję, skład klasy pozytywnej i trudność zadania. PR-AUC dla różnych etykiet nie powinien być porównywany bez odniesienia do nowych baseline i liczebności klas. Wariant score &gt;= 2 prawdopodobnie obejmie łagodniejsze przypadki, zwiększając liczbę pozytywów, ale także heterogeniczność klasy. Wariant score &gt;= 4 będzie bardziej selektywny i może odpowiadać cięższemu pogorszeniu, lecz ograniczy liczbę zdarzeń. Interpretacja powinna koncentrować się na zachowaniu rankingu modeli, kierunku efektów i względnej poprawie nad baseline, a nie na mechanicznym wyborze najwyższego PR-AUC.</w:t>
      </w:r>
    </w:p>
    <w:tbl>
      <w:tblPr>
        <w:tblW w:type="auto" w:w="0"/>
        <w:jc w:val="center"/>
        <w:tblLayout w:type="autofit"/>
        <w:tblLook w:firstColumn="1" w:firstRow="1" w:lastColumn="0" w:lastRow="0" w:noHBand="0" w:noVBand="1" w:val="04A0"/>
        <w:tblBorders>
          <w:top w:val="single" w:sz="6" w:space="0" w:color="A6A6A6"/>
          <w:start w:val="single" w:sz="6" w:space="0" w:color="A6A6A6"/>
          <w:bottom w:val="single" w:sz="6" w:space="0" w:color="A6A6A6"/>
          <w:end w:val="single" w:sz="6" w:space="0" w:color="A6A6A6"/>
          <w:insideH w:val="single" w:sz="6" w:space="0" w:color="A6A6A6"/>
          <w:insideV w:val="single" w:sz="6" w:space="0" w:color="A6A6A6"/>
        </w:tblBorders>
      </w:tblPr>
      <w:tblGrid>
        <w:gridCol w:w="8839"/>
      </w:tblGrid>
      <w:tr>
        <w:trPr>
          <w:cantSplit/>
        </w:trPr>
        <w:tc>
          <w:tcPr>
            <w:tcW w:type="dxa" w:w="8839"/>
            <w:shd w:fill="E7E6E6"/>
            <w:tcMar>
              <w:top w:w="140" w:type="dxa"/>
              <w:start w:w="180" w:type="dxa"/>
              <w:bottom w:w="140" w:type="dxa"/>
              <w:end w:w="180" w:type="dxa"/>
            </w:tcMar>
          </w:tcPr>
          <w:p>
            <w:pPr>
              <w:spacing w:line="276" w:lineRule="auto" w:after="0"/>
              <w:ind w:firstLine="0"/>
              <w:jc w:val="both"/>
            </w:pPr>
            <w:r>
              <w:rPr>
                <w:rFonts w:ascii="Times New Roman" w:hAnsi="Times New Roman" w:eastAsia="Times New Roman"/>
                <w:b/>
                <w:sz w:val="21"/>
              </w:rPr>
              <w:t xml:space="preserve">DO UZUPEŁNIENIA PO ANALIZIE ODPORNOŚCI TARGETU. </w:t>
            </w:r>
            <w:r>
              <w:rPr>
                <w:rFonts w:ascii="Times New Roman" w:hAnsi="Times New Roman" w:eastAsia="Times New Roman"/>
                <w:sz w:val="21"/>
              </w:rPr>
              <w:t>Dla trzech alternatywnych etykiet należy podać: liczebność i udział klasy 1, agreement/Jaccard z targetem głównym, wynik finalnych reprezentantów, zmianę rankingu oraz clustered CI różnic. Wyniki nie mogą prowadzić do zastąpienia zamrożonego targetu głównego.</w:t>
            </w:r>
          </w:p>
        </w:tc>
      </w:tr>
    </w:tbl>
    <w:p>
      <w:pPr>
        <w:spacing w:after="0"/>
      </w:pPr>
    </w:p>
    <w:p>
      <w:pPr>
        <w:spacing w:line="360" w:lineRule="auto" w:before="120" w:after="0"/>
        <w:ind w:firstLine="0"/>
        <w:jc w:val="both"/>
      </w:pPr>
      <w:r>
        <w:rPr>
          <w:rFonts w:ascii="Times New Roman" w:hAnsi="Times New Roman" w:eastAsia="Times New Roman"/>
          <w:b/>
          <w:sz w:val="24"/>
        </w:rPr>
        <w:t xml:space="preserve">Odporność na preprocessing i skład próby. </w:t>
      </w:r>
      <w:r>
        <w:rPr>
          <w:rFonts w:ascii="Times New Roman" w:hAnsi="Times New Roman" w:eastAsia="Times New Roman"/>
          <w:sz w:val="24"/>
        </w:rPr>
        <w:t>Zamrożony plan przewiduje pięć głównych powtórzeń: usunięcie wskaźników braków, complete-case, brak winsoryzacji, purged economic-group CV oraz wykluczenie wierszy z dostępnością co najwyżej 10 z 17 cech. Każdy test odpowiada innemu ryzyku metodologicznemu. Usunięcie wskaźników braków sprawdza, czy model nie wykorzystuje głównie wzorca dostępności danych. Complete-case ocenia zależność od imputacji, ale zmienia populację i dlatego ma wyłącznie charakter pomocniczy. Brak winsoryzacji mierzy wrażliwość na skrajne wartości. Purged group CV przybliża zdolność generalizacji do nowych grup ekonomicznych. Filtr sparse-row sprawdza, czy wynik nie jest napędzany obserwacjami o bardzo ubogiej informacji wejściowej.</w:t>
      </w:r>
    </w:p>
    <w:tbl>
      <w:tblPr>
        <w:tblW w:type="auto" w:w="0"/>
        <w:jc w:val="center"/>
        <w:tblLayout w:type="autofit"/>
        <w:tblLook w:firstColumn="1" w:firstRow="1" w:lastColumn="0" w:lastRow="0" w:noHBand="0" w:noVBand="1" w:val="04A0"/>
        <w:tblBorders>
          <w:top w:val="single" w:sz="6" w:space="0" w:color="A6A6A6"/>
          <w:start w:val="single" w:sz="6" w:space="0" w:color="A6A6A6"/>
          <w:bottom w:val="single" w:sz="6" w:space="0" w:color="A6A6A6"/>
          <w:end w:val="single" w:sz="6" w:space="0" w:color="A6A6A6"/>
          <w:insideH w:val="single" w:sz="6" w:space="0" w:color="A6A6A6"/>
          <w:insideV w:val="single" w:sz="6" w:space="0" w:color="A6A6A6"/>
        </w:tblBorders>
      </w:tblPr>
      <w:tblGrid>
        <w:gridCol w:w="8839"/>
      </w:tblGrid>
      <w:tr>
        <w:trPr>
          <w:cantSplit/>
        </w:trPr>
        <w:tc>
          <w:tcPr>
            <w:tcW w:type="dxa" w:w="8839"/>
            <w:shd w:fill="E7E6E6"/>
            <w:tcMar>
              <w:top w:w="140" w:type="dxa"/>
              <w:start w:w="180" w:type="dxa"/>
              <w:bottom w:w="140" w:type="dxa"/>
              <w:end w:w="180" w:type="dxa"/>
            </w:tcMar>
          </w:tcPr>
          <w:p>
            <w:pPr>
              <w:spacing w:line="276" w:lineRule="auto" w:after="0"/>
              <w:ind w:firstLine="0"/>
              <w:jc w:val="both"/>
            </w:pPr>
            <w:r>
              <w:rPr>
                <w:rFonts w:ascii="Times New Roman" w:hAnsi="Times New Roman" w:eastAsia="Times New Roman"/>
                <w:b/>
                <w:sz w:val="21"/>
              </w:rPr>
              <w:t xml:space="preserve">DO UZUPEŁNIENIA PO ANALIZACH ODPORNOŚCI. </w:t>
            </w:r>
            <w:r>
              <w:rPr>
                <w:rFonts w:ascii="Times New Roman" w:hAnsi="Times New Roman" w:eastAsia="Times New Roman"/>
                <w:sz w:val="21"/>
              </w:rPr>
              <w:t>Wstawić tabelę z głównym pooled PR-AUC oraz zmianą względem main pipeline dla każdego finalnego modelu i każdego powtórzenia. Należy osobno raportować zmianę liczebności próby, prevalencji oraz niepowodzenia techniczne. Analizy nie mogą zmieniać głównego wyboru modelu.</w:t>
            </w:r>
          </w:p>
        </w:tc>
      </w:tr>
    </w:tbl>
    <w:p>
      <w:pPr>
        <w:spacing w:after="0"/>
      </w:pPr>
    </w:p>
    <w:p>
      <w:pPr>
        <w:spacing w:line="360" w:lineRule="auto" w:before="120" w:after="0"/>
        <w:ind w:firstLine="0"/>
        <w:jc w:val="both"/>
      </w:pPr>
      <w:r>
        <w:rPr>
          <w:rFonts w:ascii="Times New Roman" w:hAnsi="Times New Roman" w:eastAsia="Times New Roman"/>
          <w:b/>
          <w:sz w:val="24"/>
        </w:rPr>
        <w:t xml:space="preserve">Dowody czasowe 2021-2024. </w:t>
      </w:r>
      <w:r>
        <w:rPr>
          <w:rFonts w:ascii="Times New Roman" w:hAnsi="Times New Roman" w:eastAsia="Times New Roman"/>
          <w:sz w:val="24"/>
        </w:rPr>
        <w:t>Okres 2021-2022 ma status design-exposed i spent development period, ponieważ jego statystyki targetu, braków i cech zostały wcześniej oglądane podczas projektowania pipeline. Nie może być przedstawiany jako niezależna walidacja one-shot. Po spełnieniu właściwej bramki dostępu może zostać wykorzystany jedynie jako wtórny dowód czasowy, bez prawa do aktywowania tuningu, refinementu, zmiany cech, kalibracji lub progu.</w:t>
      </w:r>
    </w:p>
    <w:p>
      <w:pPr>
        <w:keepNext w:val="0"/>
        <w:spacing w:line="360" w:lineRule="auto" w:before="0" w:after="0"/>
        <w:ind w:firstLine="709"/>
        <w:jc w:val="both"/>
      </w:pPr>
      <w:r>
        <w:rPr>
          <w:rFonts w:ascii="Times New Roman" w:hAnsi="Times New Roman" w:eastAsia="Times New Roman"/>
          <w:sz w:val="24"/>
        </w:rPr>
        <w:t>Lata 2023-2024 pozostają czasowym holdoutem wyników modeli, ale z ujawnionym ograniczeniem: w historii projektu znane były agregaty targetu. Nie jest to więc okres całkowicie nieoglądany pod każdym względem. Ocena wymaga dwuetapowej procedury. Najpierw zamrożony pipeline powinien wytworzyć predykcje bez dostępu do etykiet, a predykcje powinny zostać sprawdzone pod względem kompletności i zahashowane. Dopiero osobna bramka może zezwolić na jednorazowe ujawnienie etykiet i obliczenie wyników. Żaden rezultat testowy nie może zmienić metodologii.</w:t>
      </w:r>
    </w:p>
    <w:tbl>
      <w:tblPr>
        <w:tblW w:type="auto" w:w="0"/>
        <w:jc w:val="center"/>
        <w:tblLayout w:type="autofit"/>
        <w:tblLook w:firstColumn="1" w:firstRow="1" w:lastColumn="0" w:lastRow="0" w:noHBand="0" w:noVBand="1" w:val="04A0"/>
        <w:tblBorders>
          <w:top w:val="single" w:sz="6" w:space="0" w:color="A6A6A6"/>
          <w:start w:val="single" w:sz="6" w:space="0" w:color="A6A6A6"/>
          <w:bottom w:val="single" w:sz="6" w:space="0" w:color="A6A6A6"/>
          <w:end w:val="single" w:sz="6" w:space="0" w:color="A6A6A6"/>
          <w:insideH w:val="single" w:sz="6" w:space="0" w:color="A6A6A6"/>
          <w:insideV w:val="single" w:sz="6" w:space="0" w:color="A6A6A6"/>
        </w:tblBorders>
      </w:tblPr>
      <w:tblGrid>
        <w:gridCol w:w="8839"/>
      </w:tblGrid>
      <w:tr>
        <w:trPr>
          <w:cantSplit/>
        </w:trPr>
        <w:tc>
          <w:tcPr>
            <w:tcW w:type="dxa" w:w="8839"/>
            <w:shd w:fill="E7E6E6"/>
            <w:tcMar>
              <w:top w:w="140" w:type="dxa"/>
              <w:start w:w="180" w:type="dxa"/>
              <w:bottom w:w="140" w:type="dxa"/>
              <w:end w:w="180" w:type="dxa"/>
            </w:tcMar>
          </w:tcPr>
          <w:p>
            <w:pPr>
              <w:spacing w:line="276" w:lineRule="auto" w:after="0"/>
              <w:ind w:firstLine="0"/>
              <w:jc w:val="both"/>
            </w:pPr>
            <w:r>
              <w:rPr>
                <w:rFonts w:ascii="Times New Roman" w:hAnsi="Times New Roman" w:eastAsia="Times New Roman"/>
                <w:b/>
                <w:sz w:val="21"/>
              </w:rPr>
              <w:t xml:space="preserve">DO UZUPEŁNIENIA PO OTWARCIU BRAMEK DANYCH. </w:t>
            </w:r>
            <w:r>
              <w:rPr>
                <w:rFonts w:ascii="Times New Roman" w:hAnsi="Times New Roman" w:eastAsia="Times New Roman"/>
                <w:sz w:val="21"/>
              </w:rPr>
              <w:t>Dla 2021-2022 raportować wyniki jako spent secondary evidence. Dla 2023-2024 raportować jednorazowy temporal holdout z ujawnieniem wcześniejszej ekspozycji na agregaty targetu. W obu przypadkach podać PR-AUC, ROC-AUC, calibration/threshold metrics, liczebności, roczne wyniki, CI i pełne porównanie zamrożonego rosteru bez jakiegokolwiek retuningu.</w:t>
            </w:r>
          </w:p>
        </w:tc>
      </w:tr>
    </w:tbl>
    <w:p>
      <w:pPr>
        <w:spacing w:after="0"/>
      </w:pPr>
    </w:p>
    <w:p>
      <w:pPr>
        <w:pStyle w:val="Heading2"/>
      </w:pPr>
      <w:r>
        <w:rPr>
          <w:rFonts w:ascii="Times New Roman" w:hAnsi="Times New Roman" w:eastAsia="Times New Roman"/>
          <w:b/>
          <w:sz w:val="28"/>
        </w:rPr>
        <w:t>5.4. Dyskusja wyników, analiza błędów i ograniczenia badania</w:t>
      </w:r>
    </w:p>
    <w:p>
      <w:pPr>
        <w:spacing w:line="360" w:lineRule="auto" w:before="120" w:after="0"/>
        <w:ind w:firstLine="0"/>
        <w:jc w:val="both"/>
      </w:pPr>
      <w:r>
        <w:rPr>
          <w:rFonts w:ascii="Times New Roman" w:hAnsi="Times New Roman" w:eastAsia="Times New Roman"/>
          <w:b/>
          <w:sz w:val="24"/>
        </w:rPr>
        <w:t xml:space="preserve">Znaczenie dotychczasowych wyników. </w:t>
      </w:r>
      <w:r>
        <w:rPr>
          <w:rFonts w:ascii="Times New Roman" w:hAnsi="Times New Roman" w:eastAsia="Times New Roman"/>
          <w:sz w:val="24"/>
        </w:rPr>
        <w:t>Na etapie coarse searchu dane dostarczają spójnego sygnału predykcyjnego. Wszystkie właściwe modele wyraźnie przewyższają baseline Dummy prior, a najlepsze wyniki osiągają zespoły drzewiaste. XGBoost jest prowizorycznym liderem, lecz jego przewaga nad HistGradientBoosting i Random Forest jest niewielka. Z perspektywy naukowej ważniejszy od samego miejsca w rankingu jest fakt, że trzy odmienne implementacje boosting/ensemble uzyskują bardzo zbliżony poziom około 0,407-0,412 PR-AUC. Sugeruje to, że wynik nie jest przypadkowym artefaktem jednej konfiguracji, ale wymaga potwierdzenia przez seedy i bootstrap klastrowany.</w:t>
      </w:r>
    </w:p>
    <w:p>
      <w:pPr>
        <w:keepNext w:val="0"/>
        <w:spacing w:line="360" w:lineRule="auto" w:before="0" w:after="0"/>
        <w:ind w:firstLine="709"/>
        <w:jc w:val="both"/>
      </w:pPr>
      <w:r>
        <w:rPr>
          <w:rFonts w:ascii="Times New Roman" w:hAnsi="Times New Roman" w:eastAsia="Times New Roman"/>
          <w:sz w:val="24"/>
        </w:rPr>
        <w:t>MLP nie pokonał najlepszych modeli drzewiastych w coarse searchu, lecz osiągnął konkurencyjny wynik i przewyższył oba warianty regresji logistycznej. Jest to wystarczający powód, aby zachować MLP jako kluczową kontrolę. Dla pytania o QNN bardziej informatywne będzie bowiem porównanie z klasyczną siecią neuronową o podobnym charakterze optymalizacji niż wyłącznie z XGBoost. Ostateczny wniosek powinien obejmować oba poziomy: QNN wobec najlepszego modelu klasycznego oraz QNN wobec MLP, w tym MLP PCA-matched.</w:t>
      </w:r>
    </w:p>
    <w:p>
      <w:pPr>
        <w:spacing w:line="360" w:lineRule="auto" w:before="120" w:after="0"/>
        <w:ind w:firstLine="0"/>
        <w:jc w:val="both"/>
      </w:pPr>
      <w:r>
        <w:rPr>
          <w:rFonts w:ascii="Times New Roman" w:hAnsi="Times New Roman" w:eastAsia="Times New Roman"/>
          <w:b/>
          <w:sz w:val="24"/>
        </w:rPr>
        <w:t xml:space="preserve">Istotność praktyczna i interpretacja metryk. </w:t>
      </w:r>
      <w:r>
        <w:rPr>
          <w:rFonts w:ascii="Times New Roman" w:hAnsi="Times New Roman" w:eastAsia="Times New Roman"/>
          <w:sz w:val="24"/>
        </w:rPr>
        <w:t>Wynik PR-AUC 0,4117 jest ponad dwukrotnie wyższy od wyniku Dummy prior, ale nie mówi jeszcze, ile przypadków można poprawnie wykryć przy akceptowalnej liczbie fałszywych alarmów. Odpowiedź zależy od wybranego progu. Przykładowo system wspomagający selekcję spółek do dalszej analizy może tolerować niższą precision, jeżeli wysoki recall ogranicza ryzyko pominięcia istotnego pogorszenia. Z kolei zastosowanie generujące kosztowne działania kontrolne może wymagać wyższej precision. Bez jawnej funkcji kosztu i kalibracji nie można określić, czy różnica 0,030 PR-AUC względem regresji logistycznej jest ekonomicznie istotna w konkretnym wdrożeniu.</w:t>
      </w:r>
    </w:p>
    <w:p>
      <w:pPr>
        <w:keepNext w:val="0"/>
        <w:spacing w:line="360" w:lineRule="auto" w:before="0" w:after="0"/>
        <w:ind w:firstLine="709"/>
        <w:jc w:val="both"/>
      </w:pPr>
      <w:r>
        <w:rPr>
          <w:rFonts w:ascii="Times New Roman" w:hAnsi="Times New Roman" w:eastAsia="Times New Roman"/>
          <w:sz w:val="24"/>
        </w:rPr>
        <w:t>ROC-AUC około 0,76 wskazuje na zauważalną, lecz niedoskonałą zdolność porządkowania. Metryka ta może wyglądać relatywnie wysoko nawet wtedy, gdy precision dla klasy rzadkiej pozostaje ograniczona. Dlatego w niniejszym badaniu ROC-AUC nie zastępuje PR-AUC. Z kolei PR-AUC nie ma uniwersalnych progów typu słaby, dobry lub bardzo dobry. Powinien być interpretowany względem prevalencji, baseline, niepewności i zastosowania. Dążenie do wyniku bliskiego 1 nie może uzasadniać rozszerzania przestrzeni hiperparametrów po obejrzeniu danych chronionych ani zmiany definicji targetu pod modele.</w:t>
      </w:r>
    </w:p>
    <w:p>
      <w:pPr>
        <w:spacing w:line="360" w:lineRule="auto" w:before="120" w:after="0"/>
        <w:ind w:firstLine="0"/>
        <w:jc w:val="both"/>
      </w:pPr>
      <w:r>
        <w:rPr>
          <w:rFonts w:ascii="Times New Roman" w:hAnsi="Times New Roman" w:eastAsia="Times New Roman"/>
          <w:b/>
          <w:sz w:val="24"/>
        </w:rPr>
        <w:t xml:space="preserve">Analiza błędów. </w:t>
      </w:r>
      <w:r>
        <w:rPr>
          <w:rFonts w:ascii="Times New Roman" w:hAnsi="Times New Roman" w:eastAsia="Times New Roman"/>
          <w:sz w:val="24"/>
        </w:rPr>
        <w:t>Pełna analiza fałszywie dodatnich i fałszywie ujemnych przypadków wymaga zamrożonego progu. Na obecnym etapie dostępne są score i wyniki progowo niezależne, dlatego nie należy tworzyć narracji o typowych błędach na podstawie arbitralnego progu 0,5. Po kalibracji analiza powinna zostać przeprowadzona według roku, sektora, kwartyla wielkości, statusu X_t, liczby dostępnych cech oraz nasilenia deterioration score. Szczególnie istotne będzie sprawdzenie, czy model nadmiernie oznacza małe spółki jako ryzykowne oraz czy pomija duże spółki, w których pogorszenie występuje rzadziej.</w:t>
      </w:r>
    </w:p>
    <w:tbl>
      <w:tblPr>
        <w:tblW w:type="auto" w:w="0"/>
        <w:jc w:val="center"/>
        <w:tblLayout w:type="autofit"/>
        <w:tblLook w:firstColumn="1" w:firstRow="1" w:lastColumn="0" w:lastRow="0" w:noHBand="0" w:noVBand="1" w:val="04A0"/>
        <w:tblBorders>
          <w:top w:val="single" w:sz="6" w:space="0" w:color="A6A6A6"/>
          <w:start w:val="single" w:sz="6" w:space="0" w:color="A6A6A6"/>
          <w:bottom w:val="single" w:sz="6" w:space="0" w:color="A6A6A6"/>
          <w:end w:val="single" w:sz="6" w:space="0" w:color="A6A6A6"/>
          <w:insideH w:val="single" w:sz="6" w:space="0" w:color="A6A6A6"/>
          <w:insideV w:val="single" w:sz="6" w:space="0" w:color="A6A6A6"/>
        </w:tblBorders>
      </w:tblPr>
      <w:tblGrid>
        <w:gridCol w:w="8839"/>
      </w:tblGrid>
      <w:tr>
        <w:trPr>
          <w:cantSplit/>
        </w:trPr>
        <w:tc>
          <w:tcPr>
            <w:tcW w:type="dxa" w:w="8839"/>
            <w:shd w:fill="E7E6E6"/>
            <w:tcMar>
              <w:top w:w="140" w:type="dxa"/>
              <w:start w:w="180" w:type="dxa"/>
              <w:bottom w:w="140" w:type="dxa"/>
              <w:end w:w="180" w:type="dxa"/>
            </w:tcMar>
          </w:tcPr>
          <w:p>
            <w:pPr>
              <w:spacing w:line="276" w:lineRule="auto" w:after="0"/>
              <w:ind w:firstLine="0"/>
              <w:jc w:val="both"/>
            </w:pPr>
            <w:r>
              <w:rPr>
                <w:rFonts w:ascii="Times New Roman" w:hAnsi="Times New Roman" w:eastAsia="Times New Roman"/>
                <w:b/>
                <w:sz w:val="21"/>
              </w:rPr>
              <w:t xml:space="preserve">DO UZUPEŁNIENIA PO WYBORZE PROGU I INTERPRETOWALNOŚCI. </w:t>
            </w:r>
            <w:r>
              <w:rPr>
                <w:rFonts w:ascii="Times New Roman" w:hAnsi="Times New Roman" w:eastAsia="Times New Roman"/>
                <w:sz w:val="21"/>
              </w:rPr>
              <w:t>Wstawić analizę FP/FN, przykłady case-level wybrane według jawnej reguły, grouped permutation importance wspólne dla rodzin, współczynniki/ilorazy szans dla logitów, TreeSHAP dla modeli drzewiastych, Integrated Gradients dla MLP oraz konserwatywną analizę QNN. Przykłady nie mogą ujawniać informacji spoza zakresu danych dopuszczonego przez bramki.</w:t>
            </w:r>
          </w:p>
        </w:tc>
      </w:tr>
    </w:tbl>
    <w:p>
      <w:pPr>
        <w:spacing w:after="0"/>
      </w:pPr>
    </w:p>
    <w:p>
      <w:pPr>
        <w:spacing w:line="360" w:lineRule="auto" w:before="120" w:after="0"/>
        <w:ind w:firstLine="0"/>
        <w:jc w:val="both"/>
      </w:pPr>
      <w:r>
        <w:rPr>
          <w:rFonts w:ascii="Times New Roman" w:hAnsi="Times New Roman" w:eastAsia="Times New Roman"/>
          <w:b/>
          <w:sz w:val="24"/>
        </w:rPr>
        <w:t xml:space="preserve">Koszt obliczeniowy. </w:t>
      </w:r>
      <w:r>
        <w:rPr>
          <w:rFonts w:ascii="Times New Roman" w:hAnsi="Times New Roman" w:eastAsia="Times New Roman"/>
          <w:sz w:val="24"/>
        </w:rPr>
        <w:t>Coarse search pokazuje, że podobny poziom jakości może wiązać się z bardzo różnym czasem wykonania. Random Forest jest znacząco wolniejszy od XGBoost i HistGradientBoosting, mimo zbliżonego PR-AUC. MLP wymaga dłuższego uczenia niż zwycięskie konfiguracje boostingowe, ale pozostaje wykonalny na klasycznym sprzęcie. Dla QNN właściwą jednostką porównania nie będzie wyłącznie czas pojedynczego dopasowania. Należy uwzględnić liczbę foldów, seedów, epok, parametrów obwodu, prób wznowienia i całkowity budżet CPU. Dopiero takie zestawienie pozwoli ocenić, czy ewentualna poprawa jakości równoważy dodatkowy koszt.</w:t>
      </w:r>
    </w:p>
    <w:p>
      <w:pPr>
        <w:spacing w:line="360" w:lineRule="auto" w:before="120" w:after="0"/>
        <w:ind w:firstLine="0"/>
        <w:jc w:val="both"/>
      </w:pPr>
      <w:r>
        <w:rPr>
          <w:rFonts w:ascii="Times New Roman" w:hAnsi="Times New Roman" w:eastAsia="Times New Roman"/>
          <w:b/>
          <w:sz w:val="24"/>
        </w:rPr>
        <w:t xml:space="preserve">Model a redukcja PCA. </w:t>
      </w:r>
      <w:r>
        <w:rPr>
          <w:rFonts w:ascii="Times New Roman" w:hAnsi="Times New Roman" w:eastAsia="Times New Roman"/>
          <w:sz w:val="24"/>
        </w:rPr>
        <w:t>Jednym z centralnych zagrożeń interpretacyjnych jest przypisanie wyniku QNN modelowi kwantowemu, gdy rzeczywistym źródłem różnicy jest kompresja PCA. PCA-4 usuwa około trzy czwarte wymiarów, a PCA-6 prawie dwie trzecie. Może to działać jak regularyzacja i poprawiać generalizację także modeli klasycznych, ale może również usuwać informacje istotne dla klasyfikacji. Z tego względu wynik QNN bez matched controls nie odpowiada na pytanie o przewagę kwantową. Uczciwy wniosek musi bazować na porównaniu modeli działających na identycznych wierszach, komponentach, skalowaniu i procedurze walidacji.</w:t>
      </w:r>
    </w:p>
    <w:p>
      <w:pPr>
        <w:spacing w:line="360" w:lineRule="auto" w:before="120" w:after="0"/>
        <w:ind w:firstLine="0"/>
        <w:jc w:val="both"/>
      </w:pPr>
      <w:r>
        <w:rPr>
          <w:rFonts w:ascii="Times New Roman" w:hAnsi="Times New Roman" w:eastAsia="Times New Roman"/>
          <w:b/>
          <w:sz w:val="24"/>
        </w:rPr>
        <w:t xml:space="preserve">Ograniczenie targetu. </w:t>
      </w:r>
      <w:r>
        <w:rPr>
          <w:rFonts w:ascii="Times New Roman" w:hAnsi="Times New Roman" w:eastAsia="Times New Roman"/>
          <w:sz w:val="24"/>
        </w:rPr>
        <w:t>Najważniejszym ograniczeniem merytorycznym jest charakter zmiennej celu. Target opisuje przyszłe, wielowymiarowe pogorszenie finansowe, a nie wykryte oszustwo sprawozdawcze. Model może identyfikować spółki o słabej rentowności, niskich przepływach i małej skali, nie rozpoznając intencjonalnej manipulacji. Wniosków nie można więc uogólniać na rzeczywiste fraud detection bez odrębnej walidacji na etykietach egzekucyjnych, restatements albo innych bezpośrednich zdarzeniach. Jednocześnie konserwatywna konstrukcja targetu i zakaz mapowania braków na klasę 0 ograniczają ryzyko sztucznego zwiększania próby kosztem błędnych etykiet.</w:t>
      </w:r>
    </w:p>
    <w:p>
      <w:pPr>
        <w:spacing w:line="360" w:lineRule="auto" w:before="120" w:after="0"/>
        <w:ind w:firstLine="0"/>
        <w:jc w:val="both"/>
      </w:pPr>
      <w:r>
        <w:rPr>
          <w:rFonts w:ascii="Times New Roman" w:hAnsi="Times New Roman" w:eastAsia="Times New Roman"/>
          <w:b/>
          <w:sz w:val="24"/>
        </w:rPr>
        <w:t xml:space="preserve">Selekcja próby i informacyjne braki. </w:t>
      </w:r>
      <w:r>
        <w:rPr>
          <w:rFonts w:ascii="Times New Roman" w:hAnsi="Times New Roman" w:eastAsia="Times New Roman"/>
          <w:sz w:val="24"/>
        </w:rPr>
        <w:t>Wyniki dotyczą obserwacji z dostępnym targetem i akceptowalnym X_t. Dostępność ta może zależeć od wielkości, sektora, historii notowań, zmian jednostki raportującej, M&amp;A, delistingu i jakości XBRL. Braki mogą więc nie być losowe. Odrzucenie IPW w zamrożonym pipeline wynika z problemów ze wsparciem i efektywną liczebnością; nie usuwa jednak ograniczenia reprezentatywności. W pracy należy jawnie odróżnić trafność modelu w warunkowej próbie od jego potencjalnej skuteczności dla wszystkich emitentów.</w:t>
      </w:r>
    </w:p>
    <w:p>
      <w:pPr>
        <w:spacing w:line="360" w:lineRule="auto" w:before="120" w:after="0"/>
        <w:ind w:firstLine="0"/>
        <w:jc w:val="both"/>
      </w:pPr>
      <w:r>
        <w:rPr>
          <w:rFonts w:ascii="Times New Roman" w:hAnsi="Times New Roman" w:eastAsia="Times New Roman"/>
          <w:b/>
          <w:sz w:val="24"/>
        </w:rPr>
        <w:t xml:space="preserve">Zależność panelowa i zmienność czasowa. </w:t>
      </w:r>
      <w:r>
        <w:rPr>
          <w:rFonts w:ascii="Times New Roman" w:hAnsi="Times New Roman" w:eastAsia="Times New Roman"/>
          <w:sz w:val="24"/>
        </w:rPr>
        <w:t>Powtarzające się spółki i grupy ekonomiczne naruszają założenie niezależności obserwacji. Główne foldy są bezpieczne czasowo, lecz mogą zawierać tę samą grupę w treningu i walidacji w różnych latach. Purged economic-group CV ma sprawdzić trudniejszy scenariusz nowych grup. Ponadto roczny PR-AUC lidera zmienia się o prawie 0,20. Oznacza to, że pooled wynik nie powinien być interpretowany jako stała właściwość modelu niezależna od okresu. Wnioski o stabilności wymagają wyników 2021-2022 i 2023-2024, a także analizy zmian w prevalencji, dostępności cech i strukturze sektorowej.</w:t>
      </w:r>
    </w:p>
    <w:p>
      <w:pPr>
        <w:spacing w:line="360" w:lineRule="auto" w:before="120" w:after="0"/>
        <w:ind w:firstLine="0"/>
        <w:jc w:val="both"/>
      </w:pPr>
      <w:r>
        <w:rPr>
          <w:rFonts w:ascii="Times New Roman" w:hAnsi="Times New Roman" w:eastAsia="Times New Roman"/>
          <w:b/>
          <w:sz w:val="24"/>
        </w:rPr>
        <w:t xml:space="preserve">Wielokrotne porównania i niepewność. </w:t>
      </w:r>
      <w:r>
        <w:rPr>
          <w:rFonts w:ascii="Times New Roman" w:hAnsi="Times New Roman" w:eastAsia="Times New Roman"/>
          <w:sz w:val="24"/>
        </w:rPr>
        <w:t>Coarse search obejmuje wiele konfiguracji i rodzin, dlatego maksymalny wynik może częściowo odzwierciedlać wariancję selekcji. Zamrożone listy kandydatów, ograniczenie refinementu i confirmation seeds zmniejszają to ryzyko, lecz go nie eliminują. Różnice rzędu kilku tysięcznych PR-AUC nie powinny być nadinterpretowane bez przedziałów ufności dla różnic. Clustered bootstrap jest szczególnie ważny, ponieważ zachowuje zależność obserwacji należących do tej samej grupy ekonomicznej.</w:t>
      </w:r>
    </w:p>
    <w:p>
      <w:pPr>
        <w:spacing w:line="360" w:lineRule="auto" w:before="120" w:after="0"/>
        <w:ind w:firstLine="0"/>
        <w:jc w:val="both"/>
      </w:pPr>
      <w:r>
        <w:rPr>
          <w:rFonts w:ascii="Times New Roman" w:hAnsi="Times New Roman" w:eastAsia="Times New Roman"/>
          <w:b/>
          <w:sz w:val="24"/>
        </w:rPr>
        <w:t xml:space="preserve">Ograniczenia QNN. </w:t>
      </w:r>
      <w:r>
        <w:rPr>
          <w:rFonts w:ascii="Times New Roman" w:hAnsi="Times New Roman" w:eastAsia="Times New Roman"/>
          <w:sz w:val="24"/>
        </w:rPr>
        <w:t>Planowane obwody wykorzystują 4 albo 6 kubitów i analityczny symulator default.qubit. Takie ustawienie jest adekwatne do kontrolowanego eksperymentu magisterskiego, lecz nie stanowi dowodu skalowalności ani przewagi na sprzęcie kwantowym. Mała liczba kubitów wymusza silną redukcję wymiaru, a wyniki mogą zależeć od ansatzu, inicjalizacji, głębokości i krajobrazu optymalizacji. Ewentualna przewaga punktowa powinna być opisana jako przewaga w konkretnym, zamrożonym eksperymencie, a nie jako ogólna quantum advantage.</w:t>
      </w:r>
    </w:p>
    <w:p>
      <w:pPr>
        <w:spacing w:line="360" w:lineRule="auto" w:before="120" w:after="0"/>
        <w:ind w:firstLine="0"/>
        <w:jc w:val="both"/>
      </w:pPr>
      <w:r>
        <w:rPr>
          <w:rFonts w:ascii="Times New Roman" w:hAnsi="Times New Roman" w:eastAsia="Times New Roman"/>
          <w:b/>
          <w:sz w:val="24"/>
        </w:rPr>
        <w:t xml:space="preserve">Ograniczenia dostępu do danych końcowych. </w:t>
      </w:r>
      <w:r>
        <w:rPr>
          <w:rFonts w:ascii="Times New Roman" w:hAnsi="Times New Roman" w:eastAsia="Times New Roman"/>
          <w:sz w:val="24"/>
        </w:rPr>
        <w:t>Okres 2021-2022 jest spent development period, a okres 2023-2024 ma wcześniejszą ekspozycję na agregaty targetu. Transparentne ujawnienie tych faktów jest metodologicznie ważniejsze niż utrzymywanie formalnej etykiety całkowicie niezależnego testu. Bramki dostępu, blind prediction przed label reveal oraz zakaz retuningu pozwalają nadal uzyskać wartościowy dowód czasowy, ale siła wniosku będzie mniejsza niż w przypadku całkowicie nieoglądanego, zewnętrznego zbioru danych.</w:t>
      </w:r>
    </w:p>
    <w:p>
      <w:pPr>
        <w:spacing w:line="360" w:lineRule="auto" w:before="120" w:after="0"/>
        <w:ind w:firstLine="0"/>
        <w:jc w:val="both"/>
      </w:pPr>
      <w:r>
        <w:rPr>
          <w:rFonts w:ascii="Times New Roman" w:hAnsi="Times New Roman" w:eastAsia="Times New Roman"/>
          <w:b/>
          <w:sz w:val="24"/>
        </w:rPr>
        <w:t xml:space="preserve">Odpowiedź na pytanie badawcze na obecnym etapie. </w:t>
      </w:r>
      <w:r>
        <w:rPr>
          <w:rFonts w:ascii="Times New Roman" w:hAnsi="Times New Roman" w:eastAsia="Times New Roman"/>
          <w:sz w:val="24"/>
        </w:rPr>
        <w:t>Wyniki pozwalają stwierdzić, że klasyczne modele uczą się użytecznego sygnału predykcyjnego, a najlepszy wynik coarse searchu uzyskał XGBoost. MLP jest konkurencyjną, choć słabszą klasyczną siecią neuronową i powinien pozostać główną kontrolą dla QNN. Nie można jeszcze stwierdzić, czy QNN pokona modele klasyczne, czy ewentualna różnica będzie praktycznie istotna, czy QNN będzie stabilny ani czy wynik będzie efektem modelu, czy PCA. Te odpowiedzi powinny zostać wpisane dopiero po zakończeniu wszystkich zamrożonych etapów eksperymentu.</w:t>
      </w:r>
    </w:p>
    <w:p>
      <w:pPr>
        <w:keepNext w:val="0"/>
        <w:spacing w:line="360" w:lineRule="auto" w:before="0" w:after="0"/>
        <w:ind w:firstLine="709"/>
        <w:jc w:val="both"/>
      </w:pPr>
      <w:r>
        <w:rPr>
          <w:rFonts w:ascii="Times New Roman" w:hAnsi="Times New Roman" w:eastAsia="Times New Roman"/>
          <w:sz w:val="24"/>
        </w:rPr>
        <w:t>Dotychczasowe wyniki są zatem obiecujące, ale nie rozstrzygające. Ich najważniejszą wartością jest ustanowienie wymagającego i dobrze udokumentowanego punktu odniesienia: PR-AUC około 0,412 dla XGBoost, około 0,395 dla MLP i około 0,382 dla regresji logistycznej. QNN powinien być oceniany wobec tych wartości oraz wobec matched controls, z uwzględnieniem niepewności, stabilności i kosztu. Niezależnie od tego, czy model kwantowy wygra, wynik negatywny lub równoważny również będzie miał wartość naukową, jeżeli eksperyment pozostanie prerejestrowany, reprodukowalny i wolny od post-hoc dostrajania na okresach chronionych.</w:t>
      </w:r>
    </w:p>
    <w:p>
      <w:pPr>
        <w:keepNext w:val="0"/>
        <w:spacing w:line="360" w:lineRule="auto" w:before="0" w:after="0"/>
        <w:ind w:firstLine="709"/>
        <w:jc w:val="both"/>
      </w:pPr>
      <w:r>
        <w:rPr>
          <w:rFonts w:ascii="Times New Roman" w:hAnsi="Times New Roman" w:eastAsia="Times New Roman"/>
          <w:sz w:val="24"/>
        </w:rPr>
        <w:t>Po uzupełnieniu oznaczonych bloków podrozdział 5.4 powinien zakończyć się syntetycznym, liczbowym porównaniem finalnego lidera klasycznego, MLP, MLP PCA-matched i QNN, odpowiedzią na hipotezy badawcze oraz wskazaniem, czy różnice są jednocześnie statystycznie wiarygodne i praktycznie znaczące. Zakończenie całej pracy może następnie skrócić te ustalenia do kilku głównych wniosków, bez tworzenia odrębnego rozdziału 6.</w:t>
      </w:r>
    </w:p>
    <w:sectPr w:rsidR="00FC693F" w:rsidRPr="0006063C" w:rsidSect="00034616">
      <w:footerReference w:type="default" r:id="rId9"/>
      <w:pgSz w:w="12240" w:h="15840"/>
      <w:pgMar w:top="1417" w:right="1417" w:bottom="1417" w:left="198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 PAGE </w:instrText>
      <w:fldChar w:fldCharType="end"/>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ind w:left="0" w:right="0" w:firstLine="0"/>
        <w:jc w:val="left"/>
        <w:spacing w:before="0" w:after="0" w:line="180" w:lineRule="auto"/>
      </w:pPr>
      <w:r>
        <w:rPr>
          <w:rStyle w:val="FootnoteReference"/>
        </w:rPr>
        <w:footnoteRef/>
      </w:r>
      <w:r>
        <w:t xml:space="preserve"> </w:t>
      </w:r>
      <w:r>
        <w:rPr>
          <w:rFonts w:ascii="Times New Roman" w:hAnsi="Times New Roman" w:eastAsia="Times New Roman" w:cs="Times New Roman"/>
          <w:sz w:val="18"/>
          <w:szCs w:val="18"/>
        </w:rPr>
        <w:t xml:space="preserve">Por. T. Saito, M. Rehmsmeier, „The Precision-Recall Plot Is More Informative than the ROC Plot When Evaluating Binary Classifiers on Imbalanced Datasets”, PLoS ONE, 2015, t. 10, nr 3, e0118432, doi: 10.1371/journal.pone.0118432; J. Davis, M. Goadrich, „The Relationship Between Precision-Recall and ROC Curves”, Proceedings of ICML 2006, s. 233-240, doi: 10.1145/1143844.1143874.</w:t>
      </w:r>
    </w:p>
  </w:footnote>
  <w:footnote w:id="2">
    <w:p>
      <w:pPr>
        <w:pStyle w:val="FootnoteText"/>
        <w:ind w:left="0" w:right="0" w:firstLine="0"/>
        <w:jc w:val="left"/>
        <w:spacing w:before="0" w:after="0" w:line="180" w:lineRule="auto"/>
      </w:pPr>
      <w:r>
        <w:rPr>
          <w:rStyle w:val="FootnoteReference"/>
        </w:rPr>
        <w:footnoteRef/>
      </w:r>
      <w:r>
        <w:t xml:space="preserve"> </w:t>
      </w:r>
      <w:r>
        <w:rPr>
          <w:rFonts w:ascii="Times New Roman" w:hAnsi="Times New Roman" w:eastAsia="Times New Roman" w:cs="Times New Roman"/>
          <w:sz w:val="18"/>
          <w:szCs w:val="18"/>
        </w:rPr>
        <w:t xml:space="preserve">T. Fawcett, „An Introduction to ROC Analysis”, Pattern Recognition Letters, 2006, t. 27, nr 8, s. 861-874, doi: 10.1016/j.patrec.2005.10.010.</w:t>
      </w:r>
    </w:p>
  </w:footnote>
  <w:footnote w:id="3">
    <w:p>
      <w:pPr>
        <w:pStyle w:val="FootnoteText"/>
        <w:ind w:left="0" w:right="0" w:firstLine="0"/>
        <w:jc w:val="left"/>
        <w:spacing w:before="0" w:after="0" w:line="180" w:lineRule="auto"/>
      </w:pPr>
      <w:r>
        <w:rPr>
          <w:rStyle w:val="FootnoteReference"/>
        </w:rPr>
        <w:footnoteRef/>
      </w:r>
      <w:r>
        <w:t xml:space="preserve"> </w:t>
      </w:r>
      <w:r>
        <w:rPr>
          <w:rFonts w:ascii="Times New Roman" w:hAnsi="Times New Roman" w:eastAsia="Times New Roman" w:cs="Times New Roman"/>
          <w:sz w:val="18"/>
          <w:szCs w:val="18"/>
        </w:rPr>
        <w:t xml:space="preserve">I. T. Jolliffe, J. Cadima, „Principal Component Analysis: A Review and Recent Developments”, Philosophical Transactions of the Royal Society A, 2016, t. 374, 20150202, doi: 10.1098/rsta.2015.0202.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footnotePr>
    <w:footnote w:id="-1"/>
    <w:footnote w:id="0"/>
  </w:footnotePr>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ind w:firstLine="0"/>
      <w:jc w:val="center"/>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ind w:firstLine="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FootnoteText" w:type="paragraph">
    <w:name w:val="Footnote Text"/>
    <w:basedOn w:val="Normal"/>
    <w:next w:val="FootnoteText"/>
    <w:uiPriority w:val="9"/>
    <w:unhideWhenUsed/>
    <w:qFormat/>
    <w:pPr>
      <w:spacing w:after="0" w:line="180" w:lineRule="auto" w:before="0"/>
      <w:ind w:left="0" w:right="0" w:firstLine="0"/>
      <w:jc w:val="left"/>
    </w:pPr>
    <w:rPr>
      <w:rFonts w:ascii="Times New Roman" w:hAnsi="Times New Roman" w:eastAsia="Times New Roman" w:cs="Times New Roman"/>
      <w:sz w:val="18"/>
      <w:szCs w:val="18"/>
    </w:rPr>
  </w:style>
  <w:style w:styleId="FootnoteReference" w:type="character">
    <w:name w:val="Footnote Reference"/>
    <w:basedOn w:val="BodyTextChar"/>
    <w:rPr>
      <w:vertAlign w:val="superscript"/>
      <w:rFonts w:ascii="Times New Roman" w:hAnsi="Times New Roman" w:eastAsia="Times New Roman" w:cs="Times New Roman"/>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Rozdział 5. Ewaluacja modeli i interpretacja wyników badania</dc:title>
  <dc:subject>Praca magisterska - wersja robocza</dc:subject>
  <dc:creator/>
  <cp:keywords>QNN, klasyfikacja, sprawozdania finansowe, SEC EDGAR, PR-AUC</cp:keywords>
  <dc:description>generated by python-docx</dc:description>
  <cp:lastModifiedBy/>
  <cp:revision>1</cp:revision>
  <dcterms:created xsi:type="dcterms:W3CDTF">2013-12-23T23:15:00Z</dcterms:created>
  <dcterms:modified xsi:type="dcterms:W3CDTF">2013-12-23T23:15:00Z</dcterms:modified>
  <cp:category/>
</cp:coreProperties>
</file>