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A29887" w14:textId="77777777" w:rsidR="00FD4551" w:rsidRPr="00344444" w:rsidRDefault="00000000">
      <w:pPr>
        <w:pStyle w:val="Normal"/>
        <w:rPr>
          <w:rFonts w:ascii="Times New Roman" w:eastAsia="Times New Roman" w:hAnsi="Times New Roman" w:cs="Times New Roman"/>
          <w:color w:val="auto"/>
          <w:sz w:val="24"/>
          <w:szCs w:val="24"/>
          <w:lang w:val="pl-PL"/>
        </w:rPr>
        <w:jc w:val="center"/>
        <w:ind w:left="0" w:firstLine="0"/>
        <w:spacing w:before="0" w:after="240" w:line="360" w:lineRule="auto"/>
        <w:keepNext w:val="1"/>
        <w:keepLines w:val="1"/>
      </w:pPr>
      <w:r w:rsidRPr="00344444">
        <w:rPr>
          <w:rFonts w:ascii="Times New Roman" w:hAnsi="Times New Roman" w:cs="Times New Roman"/>
          <w:sz w:val="28"/>
          <w:szCs w:val="28"/>
          <w:lang w:val="pl-PL"/>
          <w:b/>
          <w:bCs/>
        </w:rPr>
        <w:t>Rozdział 3. Kwantowe uczenie maszynowe i hybrydowe kwantowe sieci neuronowe</w:t>
      </w:r>
    </w:p>
    <w:p w14:paraId="1E808204" w14:textId="3D09FDA5" w:rsidR="002740CF" w:rsidRDefault="002740CF" w:rsidP="002740CF">
      <w:pPr>
        <w:pStyle w:val="Normal"/>
        <w:ind w:firstLine="709" w:left="0"/>
        <w:jc w:val="both"/>
        <w:rPr>
          <w:rFonts w:cs="Times New Roman"/>
          <w:szCs w:val="24"/>
          <w:lang w:val="pl-PL"/>
        </w:rPr>
        <w:spacing w:before="0" w:after="0" w:line="360" w:lineRule="auto"/>
      </w:pPr>
      <w:r>
        <w:t>Celem niniejszego rozdziału jest przedstawienie aparatu pojęciowego i teoretycznego potrzebnego do zrozumienia hybrydowych kwantowych sieci neuronowych stosowanych do klasyfikacji danych tabelarycznych. Zakres ograniczono do zagadnień mających bezpośrednie znaczenie dla uzasadnienia lub interpretacji dalszej części pracy: reprezentacji kubitu i rejestru wielokubitowego, parametryzowanych obwodów i ansatzu, kodowania danych klasycznych, pomiaru i klasycznego wyjścia modelu, hybrydowej pętli optymalizacji oraz ograniczeń interpretacyjnych i obliczeniowych. Rozdział nie stanowi ogólnego wykładu z informatyki kwantowej. QNN są ujmowane jako eksperymentalna rodzina modeli, której wyniki należy oceniać na tle właściwie dobranych metod klasycznych, bez zakładania z góry przewagi kwantowej.</w:t>
      </w:r>
    </w:p>
    <w:p w14:paraId="761C190D" w14:textId="71C144FD" w:rsidR="001B67D2" w:rsidRPr="007B76E5" w:rsidRDefault="001B67D2" w:rsidP="001B67D2">
      <w:pPr>
        <w:pStyle w:val="Heading1"/>
        <w:rPr>
          <w:rFonts w:ascii="Times New Roman" w:hAnsi="Times New Roman" w:cs="Times New Roman"/>
          <w:color w:val="auto"/>
          <w:sz w:val="24"/>
          <w:szCs w:val="24"/>
          <w:lang w:val="pl-PL"/>
        </w:rPr>
        <w:jc w:val="left"/>
        <w:ind w:left="0" w:firstLine="0"/>
        <w:spacing w:before="240" w:after="120" w:line="360" w:lineRule="auto"/>
        <w:keepNext w:val="1"/>
        <w:keepLines w:val="1"/>
      </w:pPr>
      <w:r w:rsidRPr="007B76E5">
        <w:t>3.1. Podstawy kwantowego uczenia maszynowego</w:t>
      </w:r>
    </w:p>
    <w:p w14:paraId="0F8A9B5B" w14:textId="79988AEE" w:rsidR="00C400E4" w:rsidRPr="00344444" w:rsidRDefault="007E3A58" w:rsidP="00640510">
      <w:pPr>
        <w:pStyle w:val="Normal"/>
        <w:ind w:firstLine="709" w:left="0"/>
        <w:jc w:val="both"/>
        <w:rPr>
          <w:rFonts w:cs="Times New Roman"/>
          <w:szCs w:val="24"/>
          <w:lang w:val="pl-PL"/>
        </w:rPr>
        <w:spacing w:before="0" w:after="0" w:line="360" w:lineRule="auto"/>
      </w:pPr>
      <w:r>
        <w:rPr>
          <w:rFonts w:ascii="Times New Roman" w:hAnsi="Times New Roman" w:cs="Times New Roman"/>
          <w:lang w:val="pl-PL"/>
        </w:rPr>
        <w:t>Kwantowe uczenie maszynowe (ang. Quantum Machine Learning, QML) jest szeroką rodziną metod łączących uczenie maszynowe z obliczeniami kwantowymi</w:t>
      </w:r>
      <w:r>
        <w:rPr>
          <w:rStyle w:val="FootnoteReference"/>
        </w:rPr>
        <w:footnoteReference w:id="1"/>
      </w:r>
      <w:r>
        <w:rPr>
          <w:rFonts w:ascii="Times New Roman" w:hAnsi="Times New Roman" w:cs="Times New Roman"/>
          <w:lang w:val="pl-PL"/>
        </w:rPr>
        <w:t>. Termin ten obejmuje zarówno metody uczące się na danych kwantowych, jak i modele przetwarzające dane klasyczne za pomocą obwodów kwantowych. Dla niniejszej pracy istotna jest druga grupa, w szczególności modele hybrydowe wykorzystujące parametryzowane bramki. Część kwantowa nie zastępuje całej procedury analitycznej, lecz współdziała z klasycznym przetwarzaniem danych, obliczaniem funkcji straty i optymalizacją parametrów</w:t>
      </w:r>
      <w:r>
        <w:rPr>
          <w:rStyle w:val="FootnoteReference"/>
        </w:rPr>
        <w:footnoteReference w:id="2"/>
      </w:r>
      <w:r>
        <w:rPr>
          <w:rFonts w:ascii="Times New Roman" w:hAnsi="Times New Roman" w:cs="Times New Roman"/>
          <w:lang w:val="pl-PL"/>
        </w:rPr>
        <w:t>.</w:t>
      </w:r>
    </w:p>
    <w:p w14:paraId="5200B65D" w14:textId="32C375CA" w:rsidR="00FD4551" w:rsidRPr="00344444" w:rsidRDefault="00000000" w:rsidP="001B67D2">
      <w:pPr>
        <w:pStyle w:val="Normal"/>
        <w:ind w:firstLine="709" w:left="0"/>
        <w:jc w:val="both"/>
        <w:rPr>
          <w:rFonts w:cs="Times New Roman"/>
          <w:szCs w:val="24"/>
          <w:lang w:val="pl-PL"/>
        </w:rPr>
        <w:spacing w:before="0" w:after="0" w:line="360" w:lineRule="auto"/>
        <w:keepNext w:val="1"/>
        <w:keepLines w:val="1"/>
      </w:pPr>
      <w:r w:rsidRPr="00344444">
        <w:rPr>
          <w:rFonts w:cs="Times New Roman"/>
          <w:szCs w:val="24"/>
          <w:lang w:val="pl-PL"/>
        </w:rPr>
        <w:t xml:space="preserve">Podstawową jednostką informacji w modelu obliczeń kwantowych jest kubit. Klasyczny bit przyjmuje jedną z dwóch wartości: 0 albo 1. Kubit </w:t>
      </w:r>
      <w:r w:rsidR="00C400E4" w:rsidRPr="00344444">
        <w:rPr>
          <w:rFonts w:cs="Times New Roman"/>
          <w:szCs w:val="24"/>
          <w:lang w:val="pl-PL"/>
        </w:rPr>
        <w:t xml:space="preserve">kwantowy </w:t>
      </w:r>
      <w:r w:rsidRPr="00344444">
        <w:rPr>
          <w:rFonts w:cs="Times New Roman"/>
          <w:szCs w:val="24"/>
          <w:lang w:val="pl-PL"/>
        </w:rPr>
        <w:t xml:space="preserve">jest opisywany jako wektor w dwuwymiarowej przestrzeni Hilberta, będący kombinacją liniową dwóch </w:t>
      </w:r>
      <w:r w:rsidRPr="00344444">
        <w:rPr>
          <w:rFonts w:cs="Times New Roman"/>
          <w:szCs w:val="24"/>
          <w:lang w:val="pl-PL"/>
        </w:rPr>
        <w:lastRenderedPageBreak/>
        <w:t>stanów bazowych oznaczanych zwykle jako |0</w:t>
      </w:r>
      <w:r w:rsidRPr="00344444">
        <w:rPr>
          <w:rFonts w:ascii="Cambria Math" w:hAnsi="Cambria Math" w:cs="Cambria Math"/>
          <w:szCs w:val="24"/>
        </w:rPr>
        <w:t>⟩</w:t>
      </w:r>
      <w:r w:rsidRPr="00344444">
        <w:rPr>
          <w:rFonts w:cs="Times New Roman"/>
          <w:szCs w:val="24"/>
          <w:lang w:val="pl-PL"/>
        </w:rPr>
        <w:t xml:space="preserve"> i |1</w:t>
      </w:r>
      <w:r w:rsidRPr="00344444">
        <w:rPr>
          <w:rFonts w:ascii="Cambria Math" w:hAnsi="Cambria Math" w:cs="Cambria Math"/>
          <w:szCs w:val="24"/>
        </w:rPr>
        <w:t>⟩</w:t>
      </w:r>
      <w:r w:rsidRPr="00344444">
        <w:rPr>
          <w:rFonts w:cs="Times New Roman"/>
          <w:szCs w:val="24"/>
          <w:lang w:val="pl-PL"/>
        </w:rPr>
        <w:t>. Najprostszy zapis stanu pojedynczego kubitu ma postać:</w:t>
      </w:r>
    </w:p>
    <w:p w14:paraId="0060F574" w14:textId="3E54374D" w:rsidR="00FD4551" w:rsidRPr="00344444" w:rsidRDefault="00000000">
      <w:pPr>
        <w:pStyle w:val="Normal"/>
        <w:spacing w:before="0" w:line="276" w:lineRule="auto" w:after="0"/>
        <w:jc w:val="center"/>
        <w:rPr>
          <w:rFonts w:cs="Times New Roman"/>
          <w:szCs w:val="24"/>
          <w:lang w:val="pl-PL"/>
        </w:rPr>
        <w:ind w:left="0" w:firstLine="0"/>
        <w:keepLines w:val="1"/>
      </w:pPr>
      <w:r>
        <w:rPr>
          <w:rFonts w:ascii="Times New Roman" w:hAnsi="Times New Roman" w:cs="Times New Roman"/>
          <w:lang w:val="pl-PL"/>
          <w:sz w:val="24"/>
          <w:szCs w:val="24"/>
        </w:rPr>
        <w:t xml:space="preserve">(3.1)    </w:t>
      </w:r>
      <m:oMath>
        <m:d>
          <m:dPr>
            <m:begChr m:val="|"/>
            <m:endChr m:val="⟩"/>
          </m:dPr>
          <m:e>
            <m:r>
              <w:rPr>
                <w:rFonts w:ascii="Cambria Math" w:hAnsi="Cambria Math" w:cs="Cambria Math"/>
                <w:sz w:val="24"/>
                <w:szCs w:val="24"/>
              </w:rPr>
              <m:t>ψ</m:t>
            </m:r>
          </m:e>
        </m:d>
        <m:r>
          <w:rPr>
            <w:rFonts w:ascii="Cambria Math" w:hAnsi="Cambria Math" w:cs="Cambria Math"/>
            <w:sz w:val="24"/>
            <w:szCs w:val="24"/>
          </w:rPr>
          <m:t>=</m:t>
        </m:r>
        <m:r>
          <w:rPr>
            <w:rFonts w:ascii="Cambria Math" w:hAnsi="Cambria Math" w:cs="Cambria Math"/>
            <w:sz w:val="24"/>
            <w:szCs w:val="24"/>
          </w:rPr>
          <m:t>α</m:t>
        </m:r>
        <m:d>
          <m:dPr>
            <m:begChr m:val="|"/>
            <m:endChr m:val="⟩"/>
          </m:dPr>
          <m:e>
            <m:r>
              <m:rPr>
                <m:sty m:val="p"/>
              </m:rPr>
              <w:rPr>
                <w:rFonts w:ascii="Cambria Math" w:hAnsi="Cambria Math" w:cs="Cambria Math"/>
                <w:sz w:val="24"/>
                <w:szCs w:val="24"/>
              </w:rPr>
              <m:t>0</m:t>
            </m:r>
          </m:e>
        </m:d>
        <m:r>
          <w:rPr>
            <w:rFonts w:ascii="Cambria Math" w:hAnsi="Cambria Math" w:cs="Cambria Math"/>
            <w:sz w:val="24"/>
            <w:szCs w:val="24"/>
          </w:rPr>
          <m:t>+</m:t>
        </m:r>
        <m:r>
          <w:rPr>
            <w:rFonts w:ascii="Cambria Math" w:hAnsi="Cambria Math" w:cs="Cambria Math"/>
            <w:sz w:val="24"/>
            <w:szCs w:val="24"/>
          </w:rPr>
          <m:t>β</m:t>
        </m:r>
        <m:d>
          <m:dPr>
            <m:begChr m:val="|"/>
            <m:endChr m:val="⟩"/>
          </m:dPr>
          <m:e>
            <m:r>
              <m:rPr>
                <m:sty m:val="p"/>
              </m:rPr>
              <w:rPr>
                <w:rFonts w:ascii="Cambria Math" w:hAnsi="Cambria Math" w:cs="Cambria Math"/>
                <w:sz w:val="24"/>
                <w:szCs w:val="24"/>
              </w:rPr>
              <m:t>1</m:t>
            </m:r>
          </m:e>
        </m:d>
        <m:r>
          <m:rPr>
            <m:sty m:val="p"/>
          </m:rPr>
          <w:rPr>
            <w:rFonts w:ascii="Cambria Math" w:hAnsi="Cambria Math" w:cs="Cambria Math"/>
            <w:sz w:val="24"/>
            <w:szCs w:val="24"/>
          </w:rPr>
          <m:t>,   </m:t>
        </m:r>
        <m:sSup>
          <m:e>
            <m:d>
              <m:dPr>
                <m:begChr m:val="|"/>
                <m:endChr m:val="|"/>
              </m:dPr>
              <m:e>
                <m:r>
                  <w:rPr>
                    <w:rFonts w:ascii="Cambria Math" w:hAnsi="Cambria Math" w:cs="Cambria Math"/>
                    <w:sz w:val="24"/>
                    <w:szCs w:val="24"/>
                  </w:rPr>
                  <m:t>α</m:t>
                </m:r>
              </m:e>
            </m:d>
          </m:e>
          <m:sup>
            <m:r>
              <m:rPr>
                <m:sty m:val="p"/>
              </m:rPr>
              <w:rPr>
                <w:rFonts w:ascii="Cambria Math" w:hAnsi="Cambria Math" w:cs="Cambria Math"/>
                <w:sz w:val="24"/>
                <w:szCs w:val="24"/>
              </w:rPr>
              <m:t>2</m:t>
            </m:r>
          </m:sup>
        </m:sSup>
        <m:r>
          <w:rPr>
            <w:rFonts w:ascii="Cambria Math" w:hAnsi="Cambria Math" w:cs="Cambria Math"/>
            <w:sz w:val="24"/>
            <w:szCs w:val="24"/>
          </w:rPr>
          <m:t>+</m:t>
        </m:r>
        <m:sSup>
          <m:e>
            <m:d>
              <m:dPr>
                <m:begChr m:val="|"/>
                <m:endChr m:val="|"/>
              </m:dPr>
              <m:e>
                <m:r>
                  <w:rPr>
                    <w:rFonts w:ascii="Cambria Math" w:hAnsi="Cambria Math" w:cs="Cambria Math"/>
                    <w:sz w:val="24"/>
                    <w:szCs w:val="24"/>
                  </w:rPr>
                  <m:t>β</m:t>
                </m:r>
              </m:e>
            </m:d>
          </m:e>
          <m:sup>
            <m:r>
              <m:rPr>
                <m:sty m:val="p"/>
              </m:rPr>
              <w:rPr>
                <w:rFonts w:ascii="Cambria Math" w:hAnsi="Cambria Math" w:cs="Cambria Math"/>
                <w:sz w:val="24"/>
                <w:szCs w:val="24"/>
              </w:rPr>
              <m:t>2</m:t>
            </m:r>
          </m:sup>
        </m:sSup>
        <m:r>
          <m:rPr>
            <m:sty m:val="p"/>
          </m:rPr>
          <w:rPr>
            <w:rFonts w:ascii="Cambria Math" w:hAnsi="Cambria Math" w:cs="Cambria Math"/>
            <w:sz w:val="24"/>
            <w:szCs w:val="24"/>
          </w:rPr>
          <m:t>=1</m:t>
        </m:r>
      </m:oMath>
      <w:r>
        <w:rPr>
          <w:rFonts w:ascii="Times New Roman" w:hAnsi="Times New Roman" w:cs="Times New Roman"/>
          <w:lang w:val="pl-PL"/>
          <w:sz w:val="24"/>
          <w:szCs w:val="24"/>
        </w:rPr>
        <w:t>.</w:t>
      </w:r>
    </w:p>
    <w:p w14:paraId="6258B45E" w14:textId="1AE40C2C" w:rsidR="00957AB6" w:rsidRPr="00344444" w:rsidRDefault="00000000" w:rsidP="00640510">
      <w:pPr>
        <w:pStyle w:val="Normal"/>
        <w:ind w:firstLine="709" w:left="0"/>
        <w:jc w:val="both"/>
        <w:rPr>
          <w:rFonts w:cs="Times New Roman"/>
          <w:szCs w:val="24"/>
          <w:lang w:val="pl-PL"/>
        </w:rPr>
        <w:spacing w:before="0" w:after="0" w:line="360" w:lineRule="auto"/>
        <w:keepNext w:val="1"/>
        <w:keepLines w:val="1"/>
      </w:pPr>
      <w:r w:rsidRPr="00344444">
        <w:rPr>
          <w:rFonts w:cs="Times New Roman"/>
          <w:szCs w:val="24"/>
          <w:lang w:val="pl-PL"/>
        </w:rPr>
        <w:t xml:space="preserve">Współczynniki </w:t>
      </w:r>
      <w:r w:rsidRPr="00344444">
        <w:rPr>
          <w:rFonts w:cs="Times New Roman"/>
          <w:szCs w:val="24"/>
        </w:rPr>
        <w:t>α</w:t>
      </w:r>
      <w:r w:rsidRPr="00344444">
        <w:rPr>
          <w:rFonts w:cs="Times New Roman"/>
          <w:szCs w:val="24"/>
          <w:lang w:val="pl-PL"/>
        </w:rPr>
        <w:t xml:space="preserve"> i </w:t>
      </w:r>
      <w:r w:rsidRPr="00344444">
        <w:rPr>
          <w:rFonts w:cs="Times New Roman"/>
          <w:szCs w:val="24"/>
        </w:rPr>
        <w:t>β</w:t>
      </w:r>
      <w:r w:rsidRPr="00344444">
        <w:rPr>
          <w:rFonts w:cs="Times New Roman"/>
          <w:szCs w:val="24"/>
          <w:lang w:val="pl-PL"/>
        </w:rPr>
        <w:t xml:space="preserve"> są </w:t>
      </w:r>
      <w:r w:rsidR="00640510" w:rsidRPr="00344444">
        <w:rPr>
          <w:rFonts w:cs="Times New Roman"/>
          <w:szCs w:val="24"/>
          <w:lang w:val="pl-PL"/>
        </w:rPr>
        <w:t xml:space="preserve">zespolonymi </w:t>
      </w:r>
      <w:r w:rsidRPr="00344444">
        <w:rPr>
          <w:rFonts w:cs="Times New Roman"/>
          <w:szCs w:val="24"/>
          <w:lang w:val="pl-PL"/>
        </w:rPr>
        <w:t>amplitudami prawdopodobieństwa.</w:t>
      </w:r>
      <w:r w:rsidR="00A43754" w:rsidRPr="00344444">
        <w:rPr>
          <w:rFonts w:cs="Times New Roman"/>
          <w:szCs w:val="24"/>
          <w:lang w:val="pl-PL"/>
        </w:rPr>
        <w:t xml:space="preserve"> Zgodnie z regułą Borna wartości |</w:t>
      </w:r>
      <w:r w:rsidR="00A43754" w:rsidRPr="00344444">
        <w:rPr>
          <w:rFonts w:cs="Times New Roman"/>
          <w:szCs w:val="24"/>
        </w:rPr>
        <w:t>α</w:t>
      </w:r>
      <w:r w:rsidR="00A43754" w:rsidRPr="00344444">
        <w:rPr>
          <w:rFonts w:cs="Times New Roman"/>
          <w:szCs w:val="24"/>
          <w:lang w:val="pl-PL"/>
        </w:rPr>
        <w:t>|² oraz |</w:t>
      </w:r>
      <w:r w:rsidR="00A43754" w:rsidRPr="00344444">
        <w:rPr>
          <w:rFonts w:cs="Times New Roman"/>
          <w:szCs w:val="24"/>
        </w:rPr>
        <w:t>β</w:t>
      </w:r>
      <w:r w:rsidR="00A43754" w:rsidRPr="00344444">
        <w:rPr>
          <w:rFonts w:cs="Times New Roman"/>
          <w:szCs w:val="24"/>
          <w:lang w:val="pl-PL"/>
        </w:rPr>
        <w:t>|² określają prawdopodobieństwa uzyskania</w:t>
      </w:r>
      <w:r w:rsidR="000720AA" w:rsidRPr="00344444">
        <w:rPr>
          <w:rFonts w:cs="Times New Roman"/>
          <w:szCs w:val="24"/>
          <w:lang w:val="pl-PL"/>
        </w:rPr>
        <w:t xml:space="preserve"> wyników odpowiednio 0 i 1 przy pomiarze w bazie obliczeniowej</w:t>
      </w:r>
      <w:r w:rsidR="00640510" w:rsidRPr="00344444">
        <w:rPr>
          <w:rFonts w:cs="Times New Roman"/>
          <w:szCs w:val="24"/>
          <w:lang w:val="pl-PL"/>
        </w:rPr>
        <w:t>, natomiast warunek normalizacji zapewnia, że suma tych prawdopodobieństw wynosi zawsze jeden</w:t>
      </w:r>
      <w:r w:rsidR="00640510" w:rsidRPr="00344444">
        <w:rPr>
          <w:rStyle w:val="FootnoteReference"/>
          <w:rFonts w:cs="Times New Roman"/>
          <w:szCs w:val="24"/>
          <w:lang w:val="pl-PL"/>
        </w:rPr>
        <w:footnoteReference w:id="3"/>
      </w:r>
      <w:r w:rsidR="00640510" w:rsidRPr="00344444">
        <w:rPr>
          <w:rFonts w:cs="Times New Roman"/>
          <w:szCs w:val="24"/>
          <w:lang w:val="pl-PL"/>
        </w:rPr>
        <w:t xml:space="preserve">. Dla pojedynczego kubitu szczególnie użyteczną interpretację geometryczną daje sfera Blocha, czyli sfera jednostkowa służąca do </w:t>
      </w:r>
      <w:r w:rsidR="00E72870" w:rsidRPr="00344444">
        <w:rPr>
          <w:rFonts w:cs="Times New Roman"/>
          <w:szCs w:val="24"/>
          <w:lang w:val="pl-PL"/>
        </w:rPr>
        <w:t>reprezentacji</w:t>
      </w:r>
      <w:r w:rsidR="00640510" w:rsidRPr="00344444">
        <w:rPr>
          <w:rFonts w:cs="Times New Roman"/>
          <w:szCs w:val="24"/>
          <w:lang w:val="pl-PL"/>
        </w:rPr>
        <w:t xml:space="preserve"> czystych stanów dwupoziomowego układu kwantowego</w:t>
      </w:r>
      <w:r w:rsidR="00640510" w:rsidRPr="00344444">
        <w:rPr>
          <w:rStyle w:val="FootnoteReference"/>
          <w:rFonts w:cs="Times New Roman"/>
          <w:szCs w:val="24"/>
          <w:lang w:val="pl-PL"/>
        </w:rPr>
        <w:footnoteReference w:id="4"/>
      </w:r>
      <w:r w:rsidR="00640510" w:rsidRPr="00344444">
        <w:rPr>
          <w:rFonts w:cs="Times New Roman"/>
          <w:szCs w:val="24"/>
          <w:lang w:val="pl-PL"/>
        </w:rPr>
        <w:t xml:space="preserve">. </w:t>
      </w:r>
      <w:r w:rsidR="00B63687" w:rsidRPr="00344444">
        <w:rPr>
          <w:rFonts w:cs="Times New Roman"/>
          <w:szCs w:val="24"/>
          <w:lang w:val="pl-PL"/>
        </w:rPr>
        <w:t>Po pominięciu globalne</w:t>
      </w:r>
      <w:r w:rsidR="00E72870" w:rsidRPr="00344444">
        <w:rPr>
          <w:rFonts w:cs="Times New Roman"/>
          <w:szCs w:val="24"/>
          <w:lang w:val="pl-PL"/>
        </w:rPr>
        <w:t>go czynnika</w:t>
      </w:r>
      <w:r w:rsidR="00B63687" w:rsidRPr="00344444">
        <w:rPr>
          <w:rFonts w:cs="Times New Roman"/>
          <w:szCs w:val="24"/>
          <w:lang w:val="pl-PL"/>
        </w:rPr>
        <w:t xml:space="preserve"> faz</w:t>
      </w:r>
      <w:r w:rsidR="00E72870" w:rsidRPr="00344444">
        <w:rPr>
          <w:rFonts w:cs="Times New Roman"/>
          <w:szCs w:val="24"/>
          <w:lang w:val="pl-PL"/>
        </w:rPr>
        <w:t>owego</w:t>
      </w:r>
      <w:r w:rsidR="00B63687" w:rsidRPr="00344444">
        <w:rPr>
          <w:rFonts w:cs="Times New Roman"/>
          <w:szCs w:val="24"/>
          <w:lang w:val="pl-PL"/>
        </w:rPr>
        <w:t xml:space="preserve">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w:rPr>
                <w:rFonts w:ascii="Cambria Math" w:hAnsi="Cambria Math" w:cs="Times New Roman"/>
              </w:rPr>
              <m:t>γ</m:t>
            </m:r>
          </m:sup>
        </m:sSup>
      </m:oMath>
      <w:r w:rsidR="00957AB6" w:rsidRPr="00344444">
        <w:rPr>
          <w:rFonts w:cs="Times New Roman"/>
          <w:szCs w:val="24"/>
          <w:lang w:val="pl-PL"/>
        </w:rPr>
        <w:t>), któr</w:t>
      </w:r>
      <w:r w:rsidR="00E72870" w:rsidRPr="00344444">
        <w:rPr>
          <w:rFonts w:cs="Times New Roman"/>
          <w:szCs w:val="24"/>
          <w:lang w:val="pl-PL"/>
        </w:rPr>
        <w:t>y</w:t>
      </w:r>
      <w:r w:rsidR="00957AB6" w:rsidRPr="00344444">
        <w:rPr>
          <w:rFonts w:cs="Times New Roman"/>
          <w:szCs w:val="24"/>
          <w:lang w:val="pl-PL"/>
        </w:rPr>
        <w:t xml:space="preserve"> nie wpływa na prawdopodobieństwa wyników pomiaru, każdy czysty stan</w:t>
      </w:r>
      <w:r w:rsidR="00E72870" w:rsidRPr="00344444">
        <w:rPr>
          <w:rFonts w:cs="Times New Roman"/>
          <w:szCs w:val="24"/>
          <w:lang w:val="pl-PL"/>
        </w:rPr>
        <w:t xml:space="preserve"> pojedynczego</w:t>
      </w:r>
      <w:r w:rsidR="00957AB6" w:rsidRPr="00344444">
        <w:rPr>
          <w:rFonts w:cs="Times New Roman"/>
          <w:szCs w:val="24"/>
          <w:lang w:val="pl-PL"/>
        </w:rPr>
        <w:t xml:space="preserve"> kubitu można zapisać w postaci</w:t>
      </w:r>
      <w:r w:rsidR="00957AB6" w:rsidRPr="00344444">
        <w:rPr>
          <w:rStyle w:val="FootnoteReference"/>
          <w:rFonts w:cs="Times New Roman"/>
          <w:szCs w:val="24"/>
          <w:lang w:val="pl-PL"/>
        </w:rPr>
        <w:footnoteReference w:id="5"/>
      </w:r>
      <w:r w:rsidR="00957AB6" w:rsidRPr="00344444">
        <w:rPr>
          <w:rFonts w:cs="Times New Roman"/>
          <w:szCs w:val="24"/>
          <w:lang w:val="pl-PL"/>
        </w:rPr>
        <w:t>:</w:t>
      </w:r>
    </w:p>
    <w:p w14:paraId="5B4B71A4" w14:textId="5F466835" w:rsidR="00957AB6" w:rsidRPr="00344444" w:rsidRDefault="00957AB6" w:rsidP="00957AB6">
      <w:pPr>
        <w:pStyle w:val="Normal"/>
        <w:jc w:val="center"/>
        <w:rPr>
          <w:rFonts w:cs="Times New Roman"/>
          <w:szCs w:val="24"/>
          <w:lang w:val="pl-PL"/>
        </w:rPr>
        <w:ind w:left="0" w:firstLine="0"/>
        <w:spacing w:before="0" w:after="0" w:line="276" w:lineRule="auto"/>
        <w:keepLines w:val="1"/>
      </w:pPr>
      <w:r w:rsidRPr="00344444">
        <w:rPr>
          <w:rFonts w:cs="Times New Roman"/>
          <w:szCs w:val="24"/>
          <w:lang w:val="pl-PL"/>
        </w:rPr>
        <w:t>(3.2)    |</w:t>
      </w:r>
      <w:r w:rsidRPr="00344444">
        <w:rPr>
          <w:rFonts w:cs="Times New Roman"/>
          <w:szCs w:val="24"/>
        </w:rPr>
        <w:t>ψ</w:t>
      </w:r>
      <w:r w:rsidRPr="00344444">
        <w:rPr>
          <w:rFonts w:ascii="Cambria Math" w:hAnsi="Cambria Math" w:cs="Cambria Math"/>
          <w:szCs w:val="24"/>
        </w:rPr>
        <w:t>⟩</w:t>
      </w:r>
      <w:r w:rsidRPr="00344444">
        <w:rPr>
          <w:rFonts w:cs="Times New Roman"/>
          <w:szCs w:val="24"/>
          <w:lang w:val="pl-PL"/>
        </w:rPr>
        <w:t xml:space="preserve"> = </w:t>
      </w:r>
      <m:oMath>
        <m:func>
          <m:funcPr>
            <m:ctrlPr>
              <w:rPr>
                <w:rFonts w:ascii="Cambria Math" w:hAnsi="Cambria Math" w:cs="Times New Roman"/>
                <w:i/>
                <w:szCs w:val="24"/>
                <w:lang w:val="pl-PL"/>
              </w:rPr>
            </m:ctrlPr>
          </m:funcPr>
          <m:fName>
            <m:r>
              <m:rPr>
                <m:sty m:val="p"/>
              </m:rPr>
              <w:rPr>
                <w:rFonts w:ascii="Cambria Math" w:hAnsi="Cambria Math" w:cs="Times New Roman"/>
                <w:lang w:val="pl-PL"/>
              </w:rPr>
              <m:t>cos</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|0</w:t>
      </w:r>
      <w:r w:rsidRPr="00344444">
        <w:rPr>
          <w:rFonts w:ascii="Cambria Math" w:hAnsi="Cambria Math" w:cs="Cambria Math"/>
          <w:szCs w:val="24"/>
        </w:rPr>
        <w:t>⟩</w:t>
      </w:r>
      <w:r w:rsidRPr="00344444">
        <w:rPr>
          <w:rFonts w:cs="Times New Roman"/>
          <w:szCs w:val="24"/>
          <w:lang w:val="pl-PL"/>
        </w:rPr>
        <w:t xml:space="preserve"> + </w:t>
      </w:r>
      <m:oMath>
        <m:sSup>
          <m:sSupPr>
            <m:ctrlPr>
              <w:rPr>
                <w:rFonts w:ascii="Cambria Math" w:hAnsi="Cambria Math" w:cs="Times New Roman"/>
                <w:i/>
                <w:szCs w:val="24"/>
                <w:lang w:val="pl-PL"/>
              </w:rPr>
            </m:ctrlPr>
          </m:sSupPr>
          <m:e>
            <m:r>
              <w:rPr>
                <w:rFonts w:ascii="Cambria Math" w:hAnsi="Cambria Math" w:cs="Times New Roman"/>
                <w:lang w:val="pl-PL"/>
              </w:rPr>
              <m:t>e</m:t>
            </m:r>
          </m:e>
          <m:sup>
            <m:r>
              <w:rPr>
                <w:rFonts w:ascii="Cambria Math" w:hAnsi="Cambria Math" w:cs="Times New Roman"/>
                <w:lang w:val="pl-PL"/>
              </w:rPr>
              <m:t>i</m:t>
            </m:r>
            <m:r>
              <m:rPr>
                <m:sty m:val="p"/>
              </m:rPr>
              <w:rPr>
                <w:rFonts w:ascii="Cambria Math" w:hAnsi="Cambria Math" w:cs="Times New Roman"/>
                <w:szCs w:val="24"/>
              </w:rPr>
              <m:t>φ</m:t>
            </m:r>
          </m:sup>
        </m:sSup>
        <m:func>
          <m:funcPr>
            <m:ctrlPr>
              <w:rPr>
                <w:rFonts w:ascii="Cambria Math" w:hAnsi="Cambria Math" w:cs="Times New Roman"/>
                <w:i/>
                <w:szCs w:val="24"/>
                <w:lang w:val="pl-PL"/>
              </w:rPr>
            </m:ctrlPr>
          </m:funcPr>
          <m:fName>
            <m:r>
              <m:rPr>
                <m:sty m:val="p"/>
              </m:rPr>
              <w:rPr>
                <w:rFonts w:ascii="Cambria Math" w:hAnsi="Cambria Math" w:cs="Times New Roman"/>
                <w:lang w:val="pl-PL"/>
              </w:rPr>
              <m:t>sin</m:t>
            </m:r>
          </m:fName>
          <m:e>
            <m:f>
              <m:fPr>
                <m:ctrlPr>
                  <w:rPr>
                    <w:rFonts w:ascii="Cambria Math" w:hAnsi="Cambria Math" w:cs="Times New Roman"/>
                    <w:i/>
                    <w:szCs w:val="24"/>
                    <w:lang w:val="pl-PL"/>
                  </w:rPr>
                </m:ctrlPr>
              </m:fPr>
              <m:num>
                <m:r>
                  <w:rPr>
                    <w:rFonts w:ascii="Cambria Math" w:hAnsi="Cambria Math" w:cs="Times New Roman"/>
                    <w:szCs w:val="24"/>
                  </w:rPr>
                  <m:t>θ</m:t>
                </m:r>
              </m:num>
              <m:den>
                <m:r>
                  <w:rPr>
                    <w:rFonts w:ascii="Cambria Math" w:hAnsi="Cambria Math" w:cs="Times New Roman"/>
                    <w:szCs w:val="24"/>
                    <w:lang w:val="pl-PL"/>
                  </w:rPr>
                  <m:t>2</m:t>
                </m:r>
              </m:den>
            </m:f>
          </m:e>
        </m:func>
      </m:oMath>
      <w:r w:rsidRPr="00344444">
        <w:rPr>
          <w:rFonts w:cs="Times New Roman"/>
          <w:szCs w:val="24"/>
          <w:lang w:val="pl-PL"/>
        </w:rPr>
        <w:t>|1</w:t>
      </w:r>
      <w:r w:rsidRPr="00344444">
        <w:rPr>
          <w:rFonts w:ascii="Cambria Math" w:hAnsi="Cambria Math" w:cs="Cambria Math"/>
          <w:szCs w:val="24"/>
        </w:rPr>
        <w:t>⟩</w:t>
      </w:r>
      <w:r w:rsidRPr="00344444">
        <w:rPr>
          <w:rFonts w:cs="Times New Roman"/>
          <w:szCs w:val="24"/>
          <w:lang w:val="pl-PL"/>
        </w:rPr>
        <w:t xml:space="preserve">, gdzie 0 ≤ </w:t>
      </w:r>
      <w:r w:rsidRPr="00344444">
        <w:rPr>
          <w:rFonts w:cs="Times New Roman"/>
          <w:szCs w:val="24"/>
        </w:rPr>
        <w:t>θ</w:t>
      </w:r>
      <w:r w:rsidRPr="00344444">
        <w:rPr>
          <w:rFonts w:cs="Times New Roman"/>
          <w:szCs w:val="24"/>
          <w:lang w:val="pl-PL"/>
        </w:rPr>
        <w:t xml:space="preserve"> ≤ </w:t>
      </w:r>
      <w:r w:rsidRPr="00344444">
        <w:rPr>
          <w:rFonts w:cs="Times New Roman"/>
          <w:szCs w:val="24"/>
        </w:rPr>
        <w:t>π</w:t>
      </w:r>
      <w:r w:rsidRPr="00344444">
        <w:rPr>
          <w:rFonts w:cs="Times New Roman"/>
          <w:szCs w:val="24"/>
          <w:lang w:val="pl-PL"/>
        </w:rPr>
        <w:t xml:space="preserve"> oraz 0 ≤ </w:t>
      </w:r>
      <m:oMath>
        <m:r>
          <m:rPr>
            <m:sty m:val="p"/>
          </m:rPr>
          <w:rPr>
            <w:rFonts w:ascii="Cambria Math" w:hAnsi="Cambria Math" w:cs="Times New Roman"/>
            <w:szCs w:val="24"/>
          </w:rPr>
          <m:t>φ</m:t>
        </m:r>
      </m:oMath>
      <w:r w:rsidRPr="00344444">
        <w:rPr>
          <w:rFonts w:cs="Times New Roman"/>
          <w:szCs w:val="24"/>
          <w:lang w:val="pl-PL"/>
        </w:rPr>
        <w:t xml:space="preserve"> &lt; 2</w:t>
      </w:r>
      <w:r w:rsidRPr="00344444">
        <w:rPr>
          <w:rFonts w:cs="Times New Roman"/>
          <w:szCs w:val="24"/>
        </w:rPr>
        <w:t>π</w:t>
      </w:r>
      <w:r w:rsidRPr="00344444">
        <w:rPr>
          <w:rFonts w:cs="Times New Roman"/>
          <w:szCs w:val="24"/>
          <w:lang w:val="pl-PL"/>
        </w:rPr>
        <w:t>.</w:t>
      </w:r>
    </w:p>
    <w:p w14:paraId="2CFC18E0" w14:textId="49B83A1F" w:rsidR="00957AB6" w:rsidRPr="00344444" w:rsidRDefault="00C25D31" w:rsidP="00323AC2">
      <w:pPr>
        <w:pStyle w:val="Normal"/>
        <w:ind w:firstLine="709" w:left="0"/>
        <w:jc w:val="both"/>
        <w:rPr>
          <w:rFonts w:cs="Times New Roman"/>
          <w:szCs w:val="24"/>
          <w:lang w:val="pl-PL"/>
        </w:rPr>
        <w:spacing w:before="0" w:after="0" w:line="360" w:lineRule="auto"/>
      </w:pPr>
      <w:r w:rsidRPr="00344444">
        <w:rPr>
          <w:rFonts w:cs="Times New Roman"/>
          <w:szCs w:val="24"/>
          <w:lang w:val="pl-PL"/>
        </w:rPr>
        <w:t>Pa</w:t>
      </w:r>
      <w:r w:rsidR="00957AB6" w:rsidRPr="00344444">
        <w:rPr>
          <w:rFonts w:cs="Times New Roman"/>
          <w:szCs w:val="24"/>
          <w:lang w:val="pl-PL"/>
        </w:rPr>
        <w:t xml:space="preserve">rametry </w:t>
      </w:r>
      <w:r w:rsidR="00957AB6" w:rsidRPr="00344444">
        <w:rPr>
          <w:rFonts w:cs="Times New Roman"/>
          <w:szCs w:val="24"/>
        </w:rPr>
        <w:t>θ</w:t>
      </w:r>
      <w:r w:rsidR="00957AB6" w:rsidRPr="00344444">
        <w:rPr>
          <w:rFonts w:cs="Times New Roman"/>
          <w:szCs w:val="24"/>
          <w:lang w:val="pl-PL"/>
        </w:rPr>
        <w:t xml:space="preserve"> i </w:t>
      </w:r>
      <w:r w:rsidR="00957AB6" w:rsidRPr="00344444">
        <w:rPr>
          <w:rFonts w:cs="Times New Roman"/>
          <w:szCs w:val="24"/>
        </w:rPr>
        <w:t>φ</w:t>
      </w:r>
      <w:r w:rsidR="00957AB6" w:rsidRPr="00344444">
        <w:rPr>
          <w:rFonts w:cs="Times New Roman"/>
          <w:szCs w:val="24"/>
          <w:lang w:val="pl-PL"/>
        </w:rPr>
        <w:t xml:space="preserve"> mają interpretację współrzędnych sferycznych: </w:t>
      </w:r>
      <w:r w:rsidR="00957AB6" w:rsidRPr="00344444">
        <w:rPr>
          <w:rFonts w:cs="Times New Roman"/>
          <w:szCs w:val="24"/>
        </w:rPr>
        <w:t>θ</w:t>
      </w:r>
      <w:r w:rsidR="00957AB6" w:rsidRPr="00344444">
        <w:rPr>
          <w:rFonts w:cs="Times New Roman"/>
          <w:szCs w:val="24"/>
          <w:lang w:val="pl-PL"/>
        </w:rPr>
        <w:t xml:space="preserve"> określa kąt względem osi pionowej, natomiast </w:t>
      </w:r>
      <w:r w:rsidR="00957AB6" w:rsidRPr="00344444">
        <w:rPr>
          <w:rFonts w:cs="Times New Roman"/>
          <w:szCs w:val="24"/>
        </w:rPr>
        <w:t>φ</w:t>
      </w:r>
      <w:r w:rsidR="00E72870" w:rsidRPr="00344444">
        <w:rPr>
          <w:rFonts w:cs="Times New Roman"/>
          <w:szCs w:val="24"/>
          <w:lang w:val="pl-PL"/>
        </w:rPr>
        <w:t xml:space="preserve"> jest kątem azymutalnym, odpowiadającym fazie względnej między stanami </w:t>
      </w:r>
      <w:r w:rsidR="00E72870" w:rsidRPr="00344444">
        <w:rPr>
          <w:rFonts w:ascii="Cambria Math" w:hAnsi="Cambria Math" w:cs="Cambria Math"/>
          <w:szCs w:val="24"/>
          <w:lang w:val="pl-PL"/>
        </w:rPr>
        <w:t>∣</w:t>
      </w:r>
      <w:r w:rsidR="00E72870" w:rsidRPr="00344444">
        <w:rPr>
          <w:rFonts w:cs="Times New Roman"/>
          <w:szCs w:val="24"/>
          <w:lang w:val="pl-PL"/>
        </w:rPr>
        <w:t>0</w:t>
      </w:r>
      <w:r w:rsidR="00E72870" w:rsidRPr="00344444">
        <w:rPr>
          <w:rFonts w:ascii="Cambria Math" w:hAnsi="Cambria Math" w:cs="Cambria Math"/>
          <w:szCs w:val="24"/>
        </w:rPr>
        <w:t>⟩</w:t>
      </w:r>
      <w:r w:rsidR="00E72870" w:rsidRPr="00344444">
        <w:rPr>
          <w:rFonts w:cs="Times New Roman"/>
          <w:szCs w:val="24"/>
          <w:lang w:val="pl-PL"/>
        </w:rPr>
        <w:t xml:space="preserve"> i </w:t>
      </w:r>
      <w:r w:rsidR="00E72870" w:rsidRPr="00344444">
        <w:rPr>
          <w:rFonts w:ascii="Cambria Math" w:hAnsi="Cambria Math" w:cs="Cambria Math"/>
          <w:szCs w:val="24"/>
          <w:lang w:val="pl-PL"/>
        </w:rPr>
        <w:t>∣</w:t>
      </w:r>
      <w:r w:rsidR="00E72870" w:rsidRPr="00344444">
        <w:rPr>
          <w:rFonts w:cs="Times New Roman"/>
          <w:szCs w:val="24"/>
          <w:lang w:val="pl-PL"/>
        </w:rPr>
        <w:t>1</w:t>
      </w:r>
      <w:r w:rsidR="00E72870" w:rsidRPr="00344444">
        <w:rPr>
          <w:rFonts w:ascii="Cambria Math" w:hAnsi="Cambria Math" w:cs="Cambria Math"/>
          <w:szCs w:val="24"/>
        </w:rPr>
        <w:t>⟩</w:t>
      </w:r>
      <w:r w:rsidR="00957AB6" w:rsidRPr="00344444">
        <w:rPr>
          <w:rStyle w:val="FootnoteReference"/>
          <w:rFonts w:cs="Times New Roman"/>
          <w:szCs w:val="24"/>
          <w:lang w:val="pl-PL"/>
        </w:rPr>
        <w:footnoteReference w:id="6"/>
      </w:r>
      <w:r w:rsidR="00957AB6" w:rsidRPr="00344444">
        <w:rPr>
          <w:rFonts w:cs="Times New Roman"/>
          <w:szCs w:val="24"/>
          <w:lang w:val="pl-PL"/>
        </w:rPr>
        <w:t>. Stan |0</w:t>
      </w:r>
      <w:r w:rsidR="00957AB6" w:rsidRPr="00344444">
        <w:rPr>
          <w:rFonts w:ascii="Cambria Math" w:hAnsi="Cambria Math" w:cs="Cambria Math"/>
          <w:szCs w:val="24"/>
        </w:rPr>
        <w:t>⟩</w:t>
      </w:r>
      <w:r w:rsidR="00957AB6" w:rsidRPr="00344444">
        <w:rPr>
          <w:rFonts w:cs="Times New Roman"/>
          <w:szCs w:val="24"/>
          <w:lang w:val="pl-PL"/>
        </w:rPr>
        <w:t xml:space="preserve"> odpowiada biegunowi północnemu, stan |1</w:t>
      </w:r>
      <w:r w:rsidR="00957AB6" w:rsidRPr="00344444">
        <w:rPr>
          <w:rFonts w:ascii="Cambria Math" w:hAnsi="Cambria Math" w:cs="Cambria Math"/>
          <w:szCs w:val="24"/>
        </w:rPr>
        <w:t>⟩</w:t>
      </w:r>
      <w:r w:rsidR="00957AB6" w:rsidRPr="00344444">
        <w:rPr>
          <w:rFonts w:cs="Times New Roman"/>
          <w:szCs w:val="24"/>
          <w:lang w:val="pl-PL"/>
        </w:rPr>
        <w:t xml:space="preserve"> biegunowi południowemu, a pozostałe punkty powierzchni sfery reprezentują różne superpozycje stanów bazowych względem przyjętej bazy obliczeniowej</w:t>
      </w:r>
      <w:r w:rsidR="00957AB6" w:rsidRPr="00344444">
        <w:rPr>
          <w:rStyle w:val="FootnoteReference"/>
          <w:rFonts w:cs="Times New Roman"/>
          <w:szCs w:val="24"/>
          <w:lang w:val="pl-PL"/>
        </w:rPr>
        <w:footnoteReference w:id="7"/>
      </w:r>
      <w:r w:rsidR="00957AB6" w:rsidRPr="00344444">
        <w:rPr>
          <w:rFonts w:cs="Times New Roman"/>
          <w:szCs w:val="24"/>
          <w:lang w:val="pl-PL"/>
        </w:rPr>
        <w:t>.</w:t>
      </w:r>
    </w:p>
    <w:p w14:paraId="38AFFBD0" w14:textId="77777777" w:rsidR="00A31F13" w:rsidRPr="00344444" w:rsidRDefault="00957AB6" w:rsidP="00C25D31">
      <w:pPr>
        <w:pStyle w:val="Normal"/>
        <w:ind w:firstLine="709" w:left="0"/>
        <w:jc w:val="both"/>
        <w:rPr>
          <w:rFonts w:cs="Times New Roman"/>
          <w:szCs w:val="24"/>
          <w:lang w:val="pl-PL"/>
        </w:rPr>
        <w:spacing w:before="0" w:after="0" w:line="360" w:lineRule="auto"/>
      </w:pPr>
      <w:r w:rsidRPr="00344444">
        <w:rPr>
          <w:rFonts w:cs="Times New Roman"/>
          <w:szCs w:val="24"/>
          <w:lang w:val="pl-PL"/>
        </w:rPr>
        <w:t>Takie ujęcie pozwala uniknąć potocznego stwierdzenia, że kubit „jest jednocześnie zerem i jedynką”. Precyzyjniej należy stwierdzić, że stan kubitu jest wektorem w przestrzeni Hilberta, którego amplitudy i faza względna</w:t>
      </w:r>
      <w:r w:rsidR="00C25D31" w:rsidRPr="00344444">
        <w:rPr>
          <w:rFonts w:cs="Times New Roman"/>
          <w:szCs w:val="24"/>
          <w:lang w:val="pl-PL"/>
        </w:rPr>
        <w:t xml:space="preserve"> określają stan układu, a tym samym </w:t>
      </w:r>
      <w:r w:rsidRPr="00344444">
        <w:rPr>
          <w:rFonts w:cs="Times New Roman"/>
          <w:szCs w:val="24"/>
          <w:lang w:val="pl-PL"/>
        </w:rPr>
        <w:t>rozkład</w:t>
      </w:r>
      <w:r w:rsidR="00C25D31" w:rsidRPr="00344444">
        <w:rPr>
          <w:rFonts w:cs="Times New Roman"/>
          <w:szCs w:val="24"/>
          <w:lang w:val="pl-PL"/>
        </w:rPr>
        <w:t>y</w:t>
      </w:r>
      <w:r w:rsidRPr="00344444">
        <w:rPr>
          <w:rFonts w:cs="Times New Roman"/>
          <w:szCs w:val="24"/>
          <w:lang w:val="pl-PL"/>
        </w:rPr>
        <w:t xml:space="preserve"> prawdopodobieństw</w:t>
      </w:r>
      <w:r w:rsidR="00C25D31" w:rsidRPr="00344444">
        <w:rPr>
          <w:rFonts w:cs="Times New Roman"/>
          <w:szCs w:val="24"/>
          <w:lang w:val="pl-PL"/>
        </w:rPr>
        <w:t>a</w:t>
      </w:r>
      <w:r w:rsidRPr="00344444">
        <w:rPr>
          <w:rFonts w:cs="Times New Roman"/>
          <w:szCs w:val="24"/>
          <w:lang w:val="pl-PL"/>
        </w:rPr>
        <w:t xml:space="preserve"> wyników pomiar</w:t>
      </w:r>
      <w:r w:rsidR="00C25D31" w:rsidRPr="00344444">
        <w:rPr>
          <w:rFonts w:cs="Times New Roman"/>
          <w:szCs w:val="24"/>
          <w:lang w:val="pl-PL"/>
        </w:rPr>
        <w:t>ów wykonywanych w różnych bazach</w:t>
      </w:r>
      <w:r w:rsidRPr="00344444">
        <w:rPr>
          <w:rFonts w:cs="Times New Roman"/>
          <w:szCs w:val="24"/>
          <w:lang w:val="pl-PL"/>
        </w:rPr>
        <w:t xml:space="preserve">. W kontekście kwantowego uczenia maszynowego </w:t>
      </w:r>
      <w:r w:rsidR="000720AA" w:rsidRPr="00344444">
        <w:rPr>
          <w:rFonts w:cs="Times New Roman"/>
          <w:szCs w:val="24"/>
          <w:lang w:val="pl-PL"/>
        </w:rPr>
        <w:t>istotna jest nie sama geometryczna interpretacja pojęcia superpozycji, lecz możliwość przekształcenia stanu kwantowego kubitu za pomocą operacji unitarnych (bramek kwantowych) oraz wykorzystanie operacji pomiaru w celu uzyskania klasycznej wielkości wykorzystywanej przez dalszą część modelu hybrydowego</w:t>
      </w:r>
      <w:r w:rsidR="000720AA" w:rsidRPr="00344444">
        <w:rPr>
          <w:rStyle w:val="FootnoteReference"/>
          <w:rFonts w:cs="Times New Roman"/>
          <w:szCs w:val="24"/>
          <w:lang w:val="pl-PL"/>
        </w:rPr>
        <w:footnoteReference w:id="8"/>
      </w:r>
      <w:r w:rsidR="000720AA" w:rsidRPr="00344444">
        <w:rPr>
          <w:rFonts w:cs="Times New Roman"/>
          <w:szCs w:val="24"/>
          <w:lang w:val="pl-PL"/>
        </w:rPr>
        <w:t>.</w:t>
      </w:r>
    </w:p>
    <w:p w14:paraId="5C9EE210" w14:textId="77A5362B" w:rsidR="00A31F13" w:rsidRPr="00344444" w:rsidRDefault="00A31F13" w:rsidP="00A31F13">
      <w:pPr>
        <w:pStyle w:val="Normal"/>
        <w:jc w:val="center"/>
        <w:rPr>
          <w:rFonts w:cs="Times New Roman"/>
          <w:szCs w:val="24"/>
          <w:lang w:val="pl-PL"/>
        </w:rPr>
        <w:ind w:left="0" w:firstLine="0"/>
        <w:spacing w:before="120" w:after="80" w:line="240" w:lineRule="auto"/>
        <w:keepNext w:val="1"/>
        <w:keepLines w:val="1"/>
      </w:pPr>
      <w:r>
        <w:rPr>
          <w:rFonts w:ascii="Times New Roman" w:hAnsi="Times New Roman" w:cs="Times New Roman"/>
          <w:sz w:val="22"/>
          <w:szCs w:val="22"/>
          <w:lang w:val="pl-PL"/>
          <w:b/>
          <w:bCs/>
        </w:rPr>
        <w:t>Rysunek 3.1. Reprezentacja stanu pojedynczego kubitu na sferze Blocha</w:t>
      </w:r>
    </w:p>
    <w:p w14:paraId="55F0F55B" w14:textId="71199F31" w:rsidR="00A31F13" w:rsidRPr="00344444" w:rsidRDefault="00A31F13" w:rsidP="00A31F13">
      <w:pPr>
        <w:pStyle w:val="Normal"/>
        <w:jc w:val="center"/>
        <w:rPr>
          <w:rFonts w:cs="Times New Roman"/>
          <w:szCs w:val="24"/>
          <w:lang w:val="pl-PL"/>
        </w:rPr>
        <w:ind w:left="0" w:firstLine="0"/>
        <w:spacing w:before="0" w:after="0" w:line="240" w:lineRule="auto"/>
      </w:pPr>
      <w:r w:rsidRPr="00344444">
        <w:rPr>
          <w:rFonts w:cs="Times New Roman"/>
          <w:noProof/>
          <w:szCs w:val="24"/>
          <w:lang w:val="pl-PL"/>
        </w:rPr>
        <w:drawing>
          <wp:inline distT="0" distB="0" distL="0" distR="0" wp14:anchorId="7EFD1E72" wp14:editId="01C34476">
            <wp:extent cx="5400000" cy="4050000"/>
            <wp:effectExtent l="0" t="0" r="0" b="1905"/>
            <wp:docPr id="2102398944" name="Sfera Blocha" descr="Sfera Blocha przedstawiająca stan pojedynczego kubitu jako punkt opisany kątami θ i φ oraz osiami x, y i z." title="Sfera Blo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8944" name="Sfera Blocha" descr="Sfera Blocha przedstawiająca stan pojedynczego kubitu jako punkt opisany kątami θ i φ oraz osiami x, y i z." title="Sfera Blocha"/>
                    <pic:cNvPicPr/>
                  </pic:nvPicPr>
                  <pic:blipFill>
                    <a:blip r:embed="rId8"/>
                    <a:stretch>
                      <a:fillRect/>
                    </a:stretch>
                  </pic:blipFill>
                  <pic:spPr>
                    <a:xfrm>
                      <a:off x="0" y="0"/>
                      <a:ext cx="5400000" cy="4050000"/>
                    </a:xfrm>
                    <a:prstGeom prst="rect">
                      <a:avLst/>
                    </a:prstGeom>
                  </pic:spPr>
                </pic:pic>
              </a:graphicData>
            </a:graphic>
          </wp:inline>
        </w:drawing>
      </w:r>
    </w:p>
    <w:p w14:paraId="4D1FA9B2" w14:textId="6A72B75D" w:rsidR="004233BD" w:rsidRPr="00344444" w:rsidRDefault="00A31F13" w:rsidP="006C2D4A">
      <w:pPr>
        <w:pStyle w:val="Normal"/>
        <w:jc w:val="left"/>
        <w:rPr>
          <w:rFonts w:cs="Times New Roman"/>
          <w:szCs w:val="24"/>
          <w:lang w:val="pl-PL"/>
        </w:rPr>
        <w:ind w:left="0" w:firstLine="0"/>
        <w:spacing w:before="40" w:after="120" w:line="240" w:lineRule="auto"/>
        <w:keepLines w:val="1"/>
      </w:pPr>
      <w:r>
        <w:rPr>
          <w:rFonts w:ascii="Times New Roman" w:hAnsi="Times New Roman" w:cs="Times New Roman"/>
          <w:sz w:val="18"/>
          <w:szCs w:val="18"/>
          <w:lang w:val="pl-PL"/>
          <w:i/>
          <w:iCs/>
        </w:rPr>
        <w:t>Źródło: opracowanie własne na podstawie: M.A. Nielsen, I.L. Chuang, Quantum Computation and Quantum Information, 10th Anniversary Edition, Cambridge University Press, Cambridge 2010, s. 15–16; T.G. Wong, Introduction to Classical and Quantum Computing, Rooted Grove, Omaha 2022, s. 91–97; wizualizacja przygotowana z wykorzystaniem narzędzia GPT Image / ChatGPT, OpenAI.</w:t>
      </w:r>
    </w:p>
    <w:p w14:paraId="48526A37" w14:textId="5A007806" w:rsidR="00055646" w:rsidRPr="00344444" w:rsidRDefault="00055646" w:rsidP="00055646">
      <w:pPr>
        <w:pStyle w:val="Normal"/>
        <w:ind w:firstLine="709" w:left="0"/>
        <w:jc w:val="both"/>
        <w:rPr>
          <w:rFonts w:cs="Times New Roman"/>
          <w:szCs w:val="24"/>
          <w:lang w:val="pl-PL"/>
        </w:rPr>
        <w:spacing w:before="0" w:after="0" w:line="360" w:lineRule="auto"/>
        <w:keepNext w:val="1"/>
        <w:keepLines w:val="1"/>
      </w:pPr>
      <w:r w:rsidRPr="00344444">
        <w:rPr>
          <w:rFonts w:cs="Times New Roman"/>
          <w:szCs w:val="24"/>
          <w:lang w:val="pl-PL"/>
        </w:rPr>
        <w:t>Stan</w:t>
      </w:r>
      <w:r w:rsidR="00121F04" w:rsidRPr="00344444">
        <w:rPr>
          <w:rFonts w:cs="Times New Roman"/>
          <w:szCs w:val="24"/>
          <w:lang w:val="pl-PL"/>
        </w:rPr>
        <w:t xml:space="preserve"> układu złożonego z n kubitów</w:t>
      </w:r>
      <w:r w:rsidRPr="00344444">
        <w:rPr>
          <w:rFonts w:cs="Times New Roman"/>
          <w:szCs w:val="24"/>
          <w:lang w:val="pl-PL"/>
        </w:rPr>
        <w:t xml:space="preserve"> może zostać opisany w przestrzeni Hilberta o wymiarze </w:t>
      </w:r>
      <m:oMath>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Jeżeli</w:t>
      </w:r>
      <w:r w:rsidRPr="00344444">
        <w:rPr>
          <w:rFonts w:cs="Times New Roman"/>
          <w:szCs w:val="24"/>
          <w:lang w:val="pl-PL"/>
        </w:rPr>
        <w:t xml:space="preserve"> amplitudy prawdopodobieństwa </w:t>
      </w:r>
      <w:r w:rsidR="004233BD" w:rsidRPr="00344444">
        <w:rPr>
          <w:rFonts w:cs="Times New Roman"/>
          <w:szCs w:val="24"/>
          <w:lang w:val="pl-PL"/>
        </w:rPr>
        <w:t>(</w:t>
      </w:r>
      <m:oMath>
        <m:sSub>
          <m:sSubPr>
            <m:ctrlPr>
              <w:rPr>
                <w:rFonts w:ascii="Cambria Math" w:hAnsi="Cambria Math" w:cs="Times New Roman"/>
                <w:i/>
                <w:szCs w:val="24"/>
                <w:lang w:val="pl-PL"/>
              </w:rPr>
            </m:ctrlPr>
          </m:sSubPr>
          <m:e>
            <m: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oMath>
      <w:r w:rsidR="004233BD" w:rsidRPr="00344444">
        <w:rPr>
          <w:rFonts w:cs="Times New Roman"/>
          <w:szCs w:val="24"/>
          <w:lang w:val="pl-PL"/>
        </w:rPr>
        <w:t>)</w:t>
      </w:r>
      <w:r w:rsidRPr="00344444">
        <w:rPr>
          <w:rFonts w:cs="Times New Roman"/>
          <w:szCs w:val="24"/>
          <w:lang w:val="pl-PL"/>
        </w:rPr>
        <w:t xml:space="preserve"> </w:t>
      </w:r>
      <w:r w:rsidR="004233BD" w:rsidRPr="00344444">
        <w:rPr>
          <w:rFonts w:cs="Times New Roman"/>
          <w:szCs w:val="24"/>
          <w:lang w:val="pl-PL"/>
        </w:rPr>
        <w:t>zostaną przypisane stanom bazowym</w:t>
      </w:r>
      <w:r w:rsidRPr="00344444">
        <w:rPr>
          <w:rFonts w:cs="Times New Roman"/>
          <w:szCs w:val="24"/>
          <w:lang w:val="pl-PL"/>
        </w:rPr>
        <w:t xml:space="preserve"> </w:t>
      </w:r>
      <w:r w:rsidR="004233BD" w:rsidRPr="00344444">
        <w:rPr>
          <w:rFonts w:cs="Times New Roman"/>
          <w:szCs w:val="24"/>
          <w:lang w:val="pl-PL"/>
        </w:rPr>
        <w:t>(</w:t>
      </w:r>
      <m:oMath>
        <m:r>
          <w:rPr>
            <w:rFonts w:ascii="Cambria Math" w:hAnsi="Cambria Math" w:cs="Times New Roman"/>
            <w:szCs w:val="24"/>
            <w:lang w:val="pl-PL"/>
          </w:rPr>
          <m:t xml:space="preserve"> </m:t>
        </m:r>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r>
          <w:rPr>
            <w:rFonts w:ascii="Cambria Math" w:hAnsi="Cambria Math" w:cs="Times New Roman"/>
            <w:szCs w:val="24"/>
            <w:lang w:val="pl-PL"/>
          </w:rPr>
          <m:t xml:space="preserve"> </m:t>
        </m:r>
      </m:oMath>
      <w:r w:rsidRPr="00344444">
        <w:rPr>
          <w:rFonts w:cs="Times New Roman"/>
          <w:szCs w:val="24"/>
          <w:lang w:val="pl-PL"/>
        </w:rPr>
        <w:t>)</w:t>
      </w:r>
      <w:r w:rsidR="004233BD" w:rsidRPr="00344444">
        <w:rPr>
          <w:rFonts w:cs="Times New Roman"/>
          <w:szCs w:val="24"/>
          <w:lang w:val="pl-PL"/>
        </w:rPr>
        <w:t>, to stan rejestru kwantowego można zapisać</w:t>
      </w:r>
      <w:r w:rsidRPr="00344444">
        <w:rPr>
          <w:rFonts w:cs="Times New Roman"/>
          <w:szCs w:val="24"/>
          <w:lang w:val="pl-PL"/>
        </w:rPr>
        <w:t xml:space="preserve"> </w:t>
      </w:r>
      <w:r w:rsidR="004233BD" w:rsidRPr="00344444">
        <w:rPr>
          <w:rFonts w:cs="Times New Roman"/>
          <w:szCs w:val="24"/>
          <w:lang w:val="pl-PL"/>
        </w:rPr>
        <w:t>w postaci</w:t>
      </w:r>
      <w:r w:rsidR="004233BD" w:rsidRPr="00344444">
        <w:rPr>
          <w:rStyle w:val="FootnoteReference"/>
          <w:rFonts w:cs="Times New Roman"/>
          <w:szCs w:val="24"/>
          <w:lang w:val="pl-PL"/>
        </w:rPr>
        <w:footnoteReference w:id="9"/>
      </w:r>
      <w:r w:rsidRPr="00344444">
        <w:rPr>
          <w:rFonts w:cs="Times New Roman"/>
          <w:szCs w:val="24"/>
          <w:lang w:val="pl-PL"/>
        </w:rPr>
        <w:t>:</w:t>
      </w:r>
    </w:p>
    <w:p w14:paraId="45B98B64" w14:textId="2BDCC1D3" w:rsidR="002F680F" w:rsidRPr="00344444" w:rsidRDefault="002F680F" w:rsidP="002F680F">
      <w:pPr>
        <w:pStyle w:val="Normal"/>
        <w:jc w:val="center"/>
        <w:rPr>
          <w:rFonts w:cs="Times New Roman"/>
          <w:szCs w:val="24"/>
          <w:lang w:val="pl-PL"/>
        </w:rPr>
        <w:ind w:left="0" w:firstLine="0"/>
        <w:spacing w:before="0" w:after="0" w:line="276" w:lineRule="auto"/>
        <w:keepLines w:val="1"/>
      </w:pPr>
      <w:r w:rsidRPr="00344444">
        <w:rPr>
          <w:rFonts w:cs="Times New Roman"/>
          <w:szCs w:val="24"/>
          <w:lang w:val="pl-PL"/>
        </w:rPr>
        <w:t xml:space="preserve">(3.3)    </w:t>
      </w:r>
      <m:oMath>
        <m:r>
          <m:rPr>
            <m:sty m:val="p"/>
          </m:rPr>
          <w:rPr>
            <w:rFonts w:ascii="Cambria Math" w:hAnsi="Cambria Math" w:cs="Times New Roman"/>
            <w:szCs w:val="24"/>
            <w:lang w:val="pl-PL"/>
          </w:rPr>
          <m:t>|</m:t>
        </m:r>
        <m:r>
          <m:rPr>
            <m:sty m:val="p"/>
          </m:rPr>
          <w:rPr>
            <w:rFonts w:ascii="Cambria Math" w:hAnsi="Cambria Math" w:cs="Times New Roman"/>
            <w:szCs w:val="24"/>
          </w:rPr>
          <m:t>ψ</m:t>
        </m:r>
        <m:r>
          <m:rPr>
            <m:sty m:val="p"/>
          </m:rPr>
          <w:rPr>
            <w:rFonts w:ascii="Cambria Math" w:hAnsi="Cambria Math" w:cs="Cambria Math"/>
            <w:szCs w:val="24"/>
          </w:rPr>
          <m:t>⟩</m:t>
        </m:r>
        <m:r>
          <w:rPr>
            <w:rFonts w:ascii="Cambria Math" w:hAnsi="Cambria Math" w:cs="Times New Roman"/>
            <w:szCs w:val="24"/>
            <w:lang w:val="pl-PL"/>
          </w:rPr>
          <m:t>=</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ctrlPr>
                  <w:rPr>
                    <w:rFonts w:ascii="Cambria Math" w:hAnsi="Cambria Math" w:cs="Times New Roman"/>
                    <w:szCs w:val="24"/>
                    <w:lang w:val="pl-PL"/>
                  </w:rPr>
                </m:ctrlPr>
              </m:e>
              <m:sub>
                <m:r>
                  <w:rPr>
                    <w:rFonts w:ascii="Cambria Math" w:hAnsi="Cambria Math" w:cs="Times New Roman"/>
                    <w:szCs w:val="24"/>
                    <w:lang w:val="pl-PL"/>
                  </w:rPr>
                  <m:t>k</m:t>
                </m:r>
              </m:sub>
            </m:sSub>
            <m:d>
              <m:dPr>
                <m:begChr m:val="|"/>
                <m:endChr m:val="⟩"/>
                <m:ctrlPr>
                  <w:rPr>
                    <w:rFonts w:ascii="Cambria Math" w:hAnsi="Cambria Math" w:cs="Times New Roman"/>
                    <w:szCs w:val="24"/>
                    <w:lang w:val="pl-PL"/>
                  </w:rPr>
                </m:ctrlPr>
              </m:dPr>
              <m:e>
                <m:r>
                  <w:rPr>
                    <w:rFonts w:ascii="Cambria Math" w:hAnsi="Cambria Math" w:cs="Times New Roman"/>
                    <w:szCs w:val="24"/>
                    <w:lang w:val="pl-PL"/>
                  </w:rPr>
                  <m:t>k</m:t>
                </m:r>
              </m:e>
            </m:d>
          </m:e>
        </m:nary>
        <m:r>
          <w:rPr>
            <w:rFonts w:ascii="Cambria Math" w:hAnsi="Cambria Math" w:cs="Times New Roman"/>
            <w:szCs w:val="24"/>
            <w:lang w:val="pl-PL"/>
          </w:rPr>
          <m:t>,</m:t>
        </m:r>
        <m:r>
          <m:rPr>
            <m:sty m:val="p"/>
          </m:rPr>
          <w:rPr>
            <w:rFonts w:ascii="Cambria Math" w:hAnsi="Cambria Math" w:cs="Times New Roman"/>
            <w:szCs w:val="24"/>
            <w:lang w:val="pl-PL"/>
          </w:rPr>
          <m:t> </m:t>
        </m:r>
        <m:nary>
          <m:naryPr>
            <m:chr m:val="∑"/>
            <m:ctrlPr>
              <w:rPr>
                <w:rFonts w:ascii="Cambria Math" w:hAnsi="Cambria Math" w:cs="Times New Roman"/>
                <w:szCs w:val="24"/>
                <w:lang w:val="pl-PL"/>
              </w:rPr>
            </m:ctrlPr>
          </m:naryPr>
          <m:sub>
            <m:r>
              <w:rPr>
                <w:rFonts w:ascii="Cambria Math" w:hAnsi="Cambria Math" w:cs="Times New Roman"/>
                <w:szCs w:val="24"/>
                <w:lang w:val="pl-PL"/>
              </w:rPr>
              <m:t>k=0</m:t>
            </m:r>
            <m:ctrlPr>
              <w:rPr>
                <w:rFonts w:ascii="Cambria Math" w:hAnsi="Cambria Math" w:cs="Times New Roman"/>
                <w:i/>
                <w:szCs w:val="24"/>
                <w:lang w:val="pl-PL"/>
              </w:rPr>
            </m:ctrlPr>
          </m:sub>
          <m:sup>
            <m:sSup>
              <m:sSupPr>
                <m:ctrlPr>
                  <w:rPr>
                    <w:rFonts w:ascii="Cambria Math" w:hAnsi="Cambria Math" w:cs="Times New Roman"/>
                    <w:i/>
                    <w:szCs w:val="24"/>
                    <w:lang w:val="pl-PL"/>
                  </w:rPr>
                </m:ctrlPr>
              </m:sSupPr>
              <m:e>
                <m:r>
                  <w:rPr>
                    <w:rFonts w:ascii="Cambria Math" w:hAnsi="Cambria Math" w:cs="Times New Roman"/>
                    <w:szCs w:val="24"/>
                    <w:lang w:val="pl-PL"/>
                  </w:rPr>
                  <m:t>2</m:t>
                </m:r>
              </m:e>
              <m:sup>
                <m:r>
                  <w:rPr>
                    <w:rFonts w:ascii="Cambria Math" w:hAnsi="Cambria Math" w:cs="Times New Roman"/>
                    <w:szCs w:val="24"/>
                    <w:lang w:val="pl-PL"/>
                  </w:rPr>
                  <m:t>n</m:t>
                </m:r>
              </m:sup>
            </m:sSup>
            <m:r>
              <w:rPr>
                <w:rFonts w:ascii="Cambria Math" w:hAnsi="Cambria Math" w:cs="Times New Roman"/>
                <w:szCs w:val="24"/>
                <w:lang w:val="pl-PL"/>
              </w:rPr>
              <m:t>-1</m:t>
            </m:r>
            <m:ctrlPr>
              <w:rPr>
                <w:rFonts w:ascii="Cambria Math" w:hAnsi="Cambria Math" w:cs="Times New Roman"/>
                <w:i/>
                <w:szCs w:val="24"/>
                <w:lang w:val="pl-PL"/>
              </w:rPr>
            </m:ctrlPr>
          </m:sup>
          <m:e>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sSub>
                      <m:sSubPr>
                        <m:ctrlPr>
                          <w:rPr>
                            <w:rFonts w:ascii="Cambria Math" w:hAnsi="Cambria Math" w:cs="Times New Roman"/>
                            <w:i/>
                            <w:szCs w:val="24"/>
                            <w:lang w:val="pl-PL"/>
                          </w:rPr>
                        </m:ctrlPr>
                      </m:sSubPr>
                      <m:e>
                        <m:r>
                          <m:rPr>
                            <m:sty m:val="p"/>
                          </m:rPr>
                          <w:rPr>
                            <w:rFonts w:ascii="Cambria Math" w:hAnsi="Cambria Math" w:cs="Times New Roman"/>
                            <w:szCs w:val="24"/>
                            <w:lang w:val="pl-PL"/>
                          </w:rPr>
                          <m:t>α</m:t>
                        </m:r>
                      </m:e>
                      <m:sub>
                        <m:r>
                          <w:rPr>
                            <w:rFonts w:ascii="Cambria Math" w:hAnsi="Cambria Math" w:cs="Times New Roman"/>
                            <w:szCs w:val="24"/>
                            <w:lang w:val="pl-PL"/>
                          </w:rPr>
                          <m:t>k</m:t>
                        </m:r>
                      </m:sub>
                    </m:sSub>
                  </m:e>
                </m:d>
                <m:ctrlPr>
                  <w:rPr>
                    <w:rFonts w:ascii="Cambria Math" w:hAnsi="Cambria Math" w:cs="Times New Roman"/>
                    <w:szCs w:val="24"/>
                    <w:lang w:val="pl-PL"/>
                  </w:rPr>
                </m:ctrlPr>
              </m:e>
              <m:sup>
                <m:r>
                  <w:rPr>
                    <w:rFonts w:ascii="Cambria Math" w:hAnsi="Cambria Math" w:cs="Times New Roman"/>
                    <w:szCs w:val="24"/>
                    <w:lang w:val="pl-PL"/>
                  </w:rPr>
                  <m:t>2</m:t>
                </m:r>
              </m:sup>
            </m:sSup>
          </m:e>
        </m:nary>
        <m:r>
          <w:rPr>
            <w:rFonts w:ascii="Cambria Math" w:hAnsi="Cambria Math" w:cs="Times New Roman"/>
            <w:szCs w:val="24"/>
            <w:lang w:val="pl-PL"/>
          </w:rPr>
          <m:t>=1</m:t>
        </m:r>
      </m:oMath>
      <w:r w:rsidRPr="00344444">
        <w:rPr>
          <w:rFonts w:cs="Times New Roman"/>
          <w:szCs w:val="24"/>
          <w:lang w:val="pl-PL"/>
        </w:rPr>
        <w:t>.</w:t>
      </w:r>
    </w:p>
    <w:p w14:paraId="41F49015" w14:textId="52310248" w:rsidR="00055646" w:rsidRPr="00344444" w:rsidRDefault="00977476" w:rsidP="009567B2">
      <w:pPr>
        <w:pStyle w:val="Normal"/>
        <w:ind w:firstLine="709" w:left="0"/>
        <w:jc w:val="both"/>
        <w:rPr>
          <w:rFonts w:cs="Times New Roman"/>
          <w:szCs w:val="24"/>
          <w:lang w:val="pl-PL"/>
        </w:rPr>
        <w:spacing w:before="0" w:after="0" w:line="360" w:lineRule="auto"/>
      </w:pPr>
      <w:r w:rsidRPr="00344444">
        <w:rPr>
          <w:rFonts w:cs="Times New Roman"/>
          <w:szCs w:val="24"/>
          <w:lang w:val="pl-PL"/>
        </w:rPr>
        <w:t xml:space="preserve">W tym miejscu należy podkreślić, że </w:t>
      </w:r>
      <w:r w:rsidR="00055646" w:rsidRPr="00344444">
        <w:rPr>
          <w:rFonts w:cs="Times New Roman"/>
          <w:szCs w:val="24"/>
          <w:lang w:val="pl-PL"/>
        </w:rPr>
        <w:t xml:space="preserve">wykładniczy wymiar przestrzeni stanu </w:t>
      </w:r>
      <w:r w:rsidRPr="00344444">
        <w:rPr>
          <w:rFonts w:cs="Times New Roman"/>
          <w:szCs w:val="24"/>
          <w:lang w:val="pl-PL"/>
        </w:rPr>
        <w:t xml:space="preserve">nie </w:t>
      </w:r>
      <w:r w:rsidR="00055646" w:rsidRPr="00344444">
        <w:rPr>
          <w:rFonts w:cs="Times New Roman"/>
          <w:szCs w:val="24"/>
          <w:lang w:val="pl-PL"/>
        </w:rPr>
        <w:t>jest równoważny z potocznym stwierdzeniem</w:t>
      </w:r>
      <w:r w:rsidR="00435F0B" w:rsidRPr="00344444">
        <w:rPr>
          <w:rFonts w:cs="Times New Roman"/>
          <w:szCs w:val="24"/>
          <w:lang w:val="pl-PL"/>
        </w:rPr>
        <w:t>, że</w:t>
      </w:r>
      <w:r w:rsidR="00055646" w:rsidRPr="00344444">
        <w:rPr>
          <w:rFonts w:cs="Times New Roman"/>
          <w:szCs w:val="24"/>
          <w:lang w:val="pl-PL"/>
        </w:rPr>
        <w:t xml:space="preserve"> „komputer kwantowy sprawdza wszystkie możliwości naraz”. Pojedynczy pomiar zwraca jeden wynik klasyczny zgodnie z rozkładem prawdopodobieństwa</w:t>
      </w:r>
      <w:r w:rsidRPr="00344444">
        <w:rPr>
          <w:rFonts w:cs="Times New Roman"/>
          <w:szCs w:val="24"/>
          <w:lang w:val="pl-PL"/>
        </w:rPr>
        <w:t xml:space="preserve"> </w:t>
      </w:r>
      <w:r w:rsidR="00435F0B" w:rsidRPr="00344444">
        <w:rPr>
          <w:rFonts w:cs="Times New Roman"/>
          <w:szCs w:val="24"/>
          <w:lang w:val="pl-PL"/>
        </w:rPr>
        <w:t xml:space="preserve">wyznaczonym przez </w:t>
      </w:r>
      <w:r w:rsidRPr="00344444">
        <w:rPr>
          <w:rFonts w:cs="Times New Roman"/>
          <w:szCs w:val="24"/>
          <w:lang w:val="pl-PL"/>
        </w:rPr>
        <w:t>amplitud</w:t>
      </w:r>
      <w:r w:rsidR="00435F0B" w:rsidRPr="00344444">
        <w:rPr>
          <w:rFonts w:cs="Times New Roman"/>
          <w:szCs w:val="24"/>
          <w:lang w:val="pl-PL"/>
        </w:rPr>
        <w:t>y</w:t>
      </w:r>
      <w:r w:rsidR="00435F0B" w:rsidRPr="00344444">
        <w:rPr>
          <w:rStyle w:val="FootnoteReference"/>
          <w:rFonts w:cs="Times New Roman"/>
          <w:szCs w:val="24"/>
          <w:lang w:val="pl-PL"/>
        </w:rPr>
        <w:footnoteReference w:id="10"/>
      </w:r>
      <w:r w:rsidRPr="00344444">
        <w:rPr>
          <w:rFonts w:cs="Times New Roman"/>
          <w:szCs w:val="24"/>
          <w:lang w:val="pl-PL"/>
        </w:rPr>
        <w:t>.</w:t>
      </w:r>
      <w:r w:rsidR="00055646" w:rsidRPr="00344444">
        <w:rPr>
          <w:rFonts w:cs="Times New Roman"/>
          <w:szCs w:val="24"/>
          <w:lang w:val="pl-PL"/>
        </w:rPr>
        <w:t xml:space="preserve"> </w:t>
      </w:r>
      <w:r w:rsidRPr="00344444">
        <w:rPr>
          <w:rFonts w:cs="Times New Roman"/>
          <w:szCs w:val="24"/>
          <w:lang w:val="pl-PL"/>
        </w:rPr>
        <w:t>I</w:t>
      </w:r>
      <w:r w:rsidR="00055646" w:rsidRPr="00344444">
        <w:rPr>
          <w:rFonts w:cs="Times New Roman"/>
          <w:szCs w:val="24"/>
          <w:lang w:val="pl-PL"/>
        </w:rPr>
        <w:t xml:space="preserve">nformacja o </w:t>
      </w:r>
      <w:r w:rsidR="00435F0B" w:rsidRPr="00344444">
        <w:rPr>
          <w:rFonts w:cs="Times New Roman"/>
          <w:szCs w:val="24"/>
          <w:lang w:val="pl-PL"/>
        </w:rPr>
        <w:t>stanie kwantowym</w:t>
      </w:r>
      <w:r w:rsidR="00055646" w:rsidRPr="00344444">
        <w:rPr>
          <w:rFonts w:cs="Times New Roman"/>
          <w:szCs w:val="24"/>
          <w:lang w:val="pl-PL"/>
        </w:rPr>
        <w:t xml:space="preserve"> jest dostępna jedynie pośrednio</w:t>
      </w:r>
      <w:r w:rsidR="009567B2" w:rsidRPr="00344444">
        <w:rPr>
          <w:rFonts w:cs="Times New Roman"/>
          <w:szCs w:val="24"/>
          <w:lang w:val="pl-PL"/>
        </w:rPr>
        <w:t>: przez statystyki wielu uruchomień obwodu kwantowego można estymować rozkłady wyników pomiaru lub wartości oczekiwane wybranych obserwabli</w:t>
      </w:r>
      <w:r w:rsidR="009567B2" w:rsidRPr="00344444">
        <w:rPr>
          <w:rStyle w:val="FootnoteReference"/>
          <w:rFonts w:cs="Times New Roman"/>
          <w:szCs w:val="24"/>
          <w:lang w:val="pl-PL"/>
        </w:rPr>
        <w:footnoteReference w:id="11"/>
      </w:r>
      <w:r w:rsidR="009567B2" w:rsidRPr="00344444">
        <w:rPr>
          <w:rFonts w:cs="Times New Roman"/>
          <w:szCs w:val="24"/>
          <w:lang w:val="pl-PL"/>
        </w:rPr>
        <w:t>. W</w:t>
      </w:r>
      <w:r w:rsidRPr="00344444">
        <w:rPr>
          <w:rFonts w:cs="Times New Roman"/>
          <w:szCs w:val="24"/>
          <w:lang w:val="pl-PL"/>
        </w:rPr>
        <w:t xml:space="preserve"> modelu kwantowego uczenia maszynowego</w:t>
      </w:r>
      <w:r w:rsidR="009567B2" w:rsidRPr="00344444">
        <w:rPr>
          <w:rFonts w:cs="Times New Roman"/>
          <w:szCs w:val="24"/>
          <w:lang w:val="pl-PL"/>
        </w:rPr>
        <w:t xml:space="preserve"> obwód zależny od danych wejściowych </w:t>
      </w:r>
      <m:oMath>
        <m:r>
          <w:rPr>
            <w:rFonts w:ascii="Cambria Math" w:hAnsi="Cambria Math" w:cs="Times New Roman"/>
            <w:szCs w:val="24"/>
            <w:lang w:val="pl-PL"/>
          </w:rPr>
          <m:t>x</m:t>
        </m:r>
      </m:oMath>
      <w:r w:rsidR="009567B2" w:rsidRPr="00344444">
        <w:rPr>
          <w:rFonts w:cs="Times New Roman"/>
          <w:szCs w:val="24"/>
          <w:lang w:val="pl-PL"/>
        </w:rPr>
        <w:t xml:space="preserve"> oraz </w:t>
      </w:r>
      <w:r w:rsidR="009567B2" w:rsidRPr="00344444">
        <w:rPr>
          <w:rFonts w:cs="Times New Roman"/>
          <w:szCs w:val="24"/>
          <w:lang w:val="pl-PL"/>
        </w:rPr>
        <w:lastRenderedPageBreak/>
        <w:t xml:space="preserve">od parametrów uczonych </w:t>
      </w:r>
      <w:r w:rsidR="009567B2" w:rsidRPr="00344444">
        <w:rPr>
          <w:rFonts w:cs="Times New Roman"/>
          <w:szCs w:val="24"/>
        </w:rPr>
        <w:t>θ</w:t>
      </w:r>
      <w:r w:rsidR="009567B2" w:rsidRPr="00344444">
        <w:rPr>
          <w:rFonts w:cs="Times New Roman"/>
          <w:szCs w:val="24"/>
          <w:lang w:val="pl-PL"/>
        </w:rPr>
        <w:t xml:space="preserve"> przekształca stan początkowy w stan końcowy</w:t>
      </w:r>
      <w:r w:rsidR="00902C04" w:rsidRPr="00344444">
        <w:rPr>
          <w:rFonts w:cs="Times New Roman"/>
          <w:szCs w:val="24"/>
          <w:lang w:val="pl-PL"/>
        </w:rPr>
        <w:t xml:space="preserve"> </w:t>
      </w:r>
      <m:oMath>
        <m:r>
          <w:rPr>
            <w:rFonts w:ascii="Cambria Math" w:hAnsi="Cambria Math" w:cs="Times New Roman"/>
            <w:szCs w:val="24"/>
            <w:lang w:val="pl-PL"/>
          </w:rPr>
          <m:t xml:space="preserve">| ψ(x,θ) </m:t>
        </m:r>
        <m:r>
          <m:rPr>
            <m:sty m:val="p"/>
          </m:rPr>
          <w:rPr>
            <w:rFonts w:ascii="Cambria Math" w:hAnsi="Cambria Math" w:cs="Times New Roman"/>
            <w:szCs w:val="24"/>
            <w:lang w:val="pl-PL"/>
          </w:rPr>
          <m:t>⟩</m:t>
        </m:r>
      </m:oMath>
      <w:r w:rsidR="00435F0B" w:rsidRPr="00344444">
        <w:rPr>
          <w:rFonts w:cs="Times New Roman"/>
          <w:szCs w:val="24"/>
          <w:lang w:val="pl-PL"/>
        </w:rPr>
        <w:t xml:space="preserve">, dla którego można estymować wartość oczekiwaną </w:t>
      </w:r>
      <w:r w:rsidR="00902C04" w:rsidRPr="00344444">
        <w:rPr>
          <w:rFonts w:cs="Times New Roman"/>
          <w:szCs w:val="24"/>
          <w:lang w:val="pl-PL"/>
        </w:rPr>
        <w:t xml:space="preserve">obserwabli </w:t>
      </w:r>
      <w:r w:rsidR="00902C04" w:rsidRPr="00344444">
        <w:rPr>
          <w:rFonts w:ascii="Cambria Math" w:hAnsi="Cambria Math" w:cs="Cambria Math"/>
          <w:szCs w:val="24"/>
        </w:rPr>
        <w:t>⟨</w:t>
      </w:r>
      <w:r w:rsidR="009567B2" w:rsidRPr="00344444">
        <w:rPr>
          <w:rFonts w:ascii="Cambria Math" w:hAnsi="Cambria Math" w:cs="Times New Roman"/>
          <w:i/>
          <w:szCs w:val="24"/>
          <w:lang w:val="pl-PL"/>
        </w:rPr>
        <w:t xml:space="preserve"> </w:t>
      </w:r>
      <m:oMath>
        <m:r>
          <w:rPr>
            <w:rFonts w:ascii="Cambria Math" w:hAnsi="Cambria Math" w:cs="Times New Roman"/>
            <w:szCs w:val="24"/>
            <w:lang w:val="pl-PL"/>
          </w:rPr>
          <m:t>O</m:t>
        </m:r>
      </m:oMath>
      <w:r w:rsidR="009567B2" w:rsidRPr="00344444">
        <w:rPr>
          <w:rFonts w:ascii="Cambria Math" w:hAnsi="Cambria Math" w:cs="Cambria Math"/>
          <w:szCs w:val="24"/>
          <w:lang w:val="pl-PL"/>
        </w:rPr>
        <w:t xml:space="preserve"> </w:t>
      </w:r>
      <w:r w:rsidR="00902C04" w:rsidRPr="00344444">
        <w:rPr>
          <w:rFonts w:ascii="Cambria Math" w:hAnsi="Cambria Math" w:cs="Cambria Math"/>
          <w:szCs w:val="24"/>
        </w:rPr>
        <w:t>⟩</w:t>
      </w:r>
      <w:r w:rsidR="00435F0B" w:rsidRPr="00344444">
        <w:rPr>
          <w:rStyle w:val="FootnoteReference"/>
          <w:rFonts w:ascii="Cambria Math" w:hAnsi="Cambria Math" w:cs="Cambria Math"/>
          <w:szCs w:val="24"/>
        </w:rPr>
        <w:footnoteReference w:id="12"/>
      </w:r>
      <w:r w:rsidR="00902C04" w:rsidRPr="00344444">
        <w:rPr>
          <w:rFonts w:cs="Times New Roman"/>
          <w:szCs w:val="24"/>
          <w:lang w:val="pl-PL"/>
        </w:rPr>
        <w:t>.</w:t>
      </w:r>
    </w:p>
    <w:p w14:paraId="3F75BFF5" w14:textId="1907B51C" w:rsidR="00902C04" w:rsidRPr="00344444" w:rsidRDefault="00902C04" w:rsidP="00902C04">
      <w:pPr>
        <w:pStyle w:val="Normal"/>
        <w:spacing w:after="0" w:line="276" w:lineRule="auto" w:before="0"/>
        <w:jc w:val="center"/>
        <w:rPr>
          <w:rFonts w:cs="Times New Roman"/>
          <w:szCs w:val="24"/>
          <w:lang w:val="pl-PL"/>
        </w:rPr>
        <w:ind w:left="0" w:firstLine="0"/>
        <w:keepLines w:val="1"/>
      </w:pPr>
      <w:r w:rsidRPr="00344444">
        <w:rPr>
          <w:rFonts w:cs="Times New Roman"/>
          <w:szCs w:val="24"/>
          <w:lang w:val="pl-PL"/>
        </w:rPr>
        <w:t xml:space="preserve">(3.4)    </w:t>
      </w:r>
      <m:oMath>
        <m:r>
          <w:rPr>
            <w:rFonts w:ascii="Cambria Math" w:hAnsi="Cambria Math" w:cs="Times New Roman"/>
            <w:szCs w:val="24"/>
            <w:lang w:val="pl-PL"/>
          </w:rPr>
          <m:t>f(x;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 xml:space="preserve">O </m:t>
        </m:r>
        <m:r>
          <m:rPr>
            <m:sty m:val="p"/>
          </m:rPr>
          <w:rPr>
            <w:rFonts w:ascii="Cambria Math" w:hAnsi="Cambria Math" w:cs="Times New Roman"/>
            <w:szCs w:val="24"/>
            <w:lang w:val="pl-PL"/>
          </w:rPr>
          <m:t>|ψ</m:t>
        </m:r>
        <m:r>
          <w:rPr>
            <w:rFonts w:ascii="Cambria Math" w:hAnsi="Cambria Math" w:cs="Times New Roman"/>
            <w:szCs w:val="24"/>
            <w:lang w:val="pl-PL"/>
          </w:rPr>
          <m:t>(x;</m:t>
        </m:r>
        <m:r>
          <m:rPr>
            <m:sty m:val="p"/>
          </m:rPr>
          <w:rPr>
            <w:rFonts w:ascii="Cambria Math" w:hAnsi="Cambria Math" w:cs="Times New Roman"/>
            <w:szCs w:val="24"/>
            <w:lang w:val="pl-PL"/>
          </w:rPr>
          <m:t>θ</m:t>
        </m:r>
        <m:r>
          <w:rPr>
            <w:rFonts w:ascii="Cambria Math" w:hAnsi="Cambria Math" w:cs="Times New Roman"/>
            <w:szCs w:val="24"/>
            <w:lang w:val="pl-PL"/>
          </w:rPr>
          <m:t>)</m:t>
        </m:r>
        <m:r>
          <m:rPr>
            <m:sty m:val="p"/>
          </m:rPr>
          <w:rPr>
            <w:rFonts w:ascii="Cambria Math" w:hAnsi="Cambria Math" w:cs="Times New Roman"/>
            <w:szCs w:val="24"/>
            <w:lang w:val="pl-PL"/>
          </w:rPr>
          <m:t>⟩</m:t>
        </m:r>
        <m:r>
          <w:rPr>
            <w:rFonts w:ascii="Cambria Math" w:hAnsi="Cambria Math" w:cs="Times New Roman"/>
            <w:szCs w:val="24"/>
            <w:lang w:val="pl-PL"/>
          </w:rPr>
          <m:t>.</m:t>
        </m:r>
      </m:oMath>
    </w:p>
    <w:p w14:paraId="1AB0EF62" w14:textId="11823377" w:rsidR="00902C04" w:rsidRPr="00344444" w:rsidRDefault="009C556B" w:rsidP="009567B2">
      <w:pPr>
        <w:pStyle w:val="Normal"/>
        <w:ind w:firstLine="709" w:left="0"/>
        <w:jc w:val="both"/>
        <w:rPr>
          <w:rFonts w:cs="Times New Roman"/>
          <w:szCs w:val="24"/>
          <w:lang w:val="pl-PL"/>
        </w:rPr>
        <w:spacing w:before="0" w:after="0" w:line="360" w:lineRule="auto"/>
      </w:pPr>
      <w:r>
        <w:rPr>
          <w:rFonts w:ascii="Times New Roman" w:hAnsi="Times New Roman" w:cs="Times New Roman"/>
          <w:lang w:val="pl-PL"/>
        </w:rPr>
        <w:t>Obliczenie lub estymacja wartości oczekiwanych lokalnych obserwabli Pauli-Z daje dla j-tego kubitu wielkość zⱼ(x, θ) = ⟨ψ(x, θ)|Zⱼ|ψ(x, θ)⟩ = Pⱼ(0|x, θ) − Pⱼ(1|x, θ), należącą do przedziału [−1, 1]. Wartości dla kolejnych kubitów tworzą klasyczny wektor z(x, θ). Trenowalna klasyczna warstwa liniowa, dalej nazywana głowicą, przekształca go w jeden logit s(x) = b + ∑ⱼ wⱼzⱼ(x, θ). Surowym wyjściem modelu jest logit, a funkcję straty można obliczać bezpośrednio na logitach. Funkcja sigmoidalna odwzorowuje logit na wynik w przedziale (0, 1), interpretowany probabilistycznie, lecz nie gwarantuje jego kalibracji; kalibracja jest odrębnym klasycznym przekształceniem opisanym w podrozdziale 2.3</w:t>
      </w:r>
      <w:r>
        <w:rPr>
          <w:rStyle w:val="FootnoteReference"/>
        </w:rPr>
        <w:footnoteReference w:id="13"/>
      </w:r>
      <w:r>
        <w:rPr>
          <w:rFonts w:ascii="Times New Roman" w:hAnsi="Times New Roman" w:cs="Times New Roman"/>
          <w:lang w:val="pl-PL"/>
        </w:rPr>
        <w:t>. Parametry obwodu θ oraz parametry głowicy w i b mogą być uczone wspólnie w ramach jednej różniczkowalnej funkcji modelu. Wynik pomiaru nie jest zatem bezpośrednio etykietą klasy, lecz interfejsem między kwantową i klasyczną częścią modelu.</w:t>
      </w:r>
    </w:p>
    <w:p w14:paraId="17D85436" w14:textId="214BA586" w:rsidR="004233BD" w:rsidRPr="00344444" w:rsidRDefault="00A724CA" w:rsidP="006C2D4A">
      <w:pPr>
        <w:pStyle w:val="Normal"/>
        <w:jc w:val="both"/>
        <w:rPr>
          <w:rFonts w:cs="Times New Roman"/>
          <w:szCs w:val="24"/>
          <w:lang w:val="pl-PL"/>
        </w:rPr>
        <w:ind w:left="0" w:firstLine="709"/>
        <w:spacing w:before="0" w:after="0" w:line="360" w:lineRule="auto"/>
        <w:keepNext w:val="1"/>
        <w:keepLines w:val="1"/>
      </w:pPr>
      <w:r>
        <w:t>Obwodowy model obliczeń opisuje przetwarzanie informacji za pomocą bramek unitarnych. Bramki mogą działać na jednym kubicie albo na kilku kubitach; dla QML szczególne znaczenie mają regulowane rotacje oraz operacje wielokubitowe tworzące zależności między składowymi stanu</w:t>
      </w:r>
      <w:r>
        <w:rPr>
          <w:rStyle w:val="FootnoteReference"/>
        </w:rPr>
        <w:footnoteReference w:id="14"/>
      </w:r>
      <w:r>
        <w:t>. Kąt bramki rotacyjnej może kodować cechę wejściową albo być parametrem uczonym. Przykładem jest rotacja wokół osi y:</w:t>
      </w:r>
    </w:p>
    <w:p w14:paraId="701414D5" w14:textId="452AD1EC" w:rsidR="002730FB" w:rsidRPr="00344444" w:rsidRDefault="0063117F" w:rsidP="0063117F">
      <w:pPr>
        <w:pStyle w:val="Normal"/>
        <w:jc w:val="center"/>
        <w:rPr>
          <w:rFonts w:cs="Times New Roman"/>
          <w:szCs w:val="24"/>
          <w:lang w:val="pl-PL"/>
        </w:rPr>
        <w:ind w:left="0" w:firstLine="0"/>
        <w:spacing w:before="0" w:after="0" w:line="276" w:lineRule="auto"/>
        <w:keepLines w:val="1"/>
      </w:pPr>
      <w:r w:rsidRPr="00344444">
        <w:rPr>
          <w:rFonts w:cs="Times New Roman"/>
          <w:szCs w:val="24"/>
          <w:lang w:val="pl-PL"/>
        </w:rPr>
        <w:t xml:space="preserve">(3.5)    </w:t>
      </w:r>
      <m:oMath>
        <m:sSub>
          <m:sSubPr>
            <m:ctrlPr>
              <w:rPr>
                <w:rFonts w:ascii="Cambria Math" w:hAnsi="Cambria Math" w:cs="Times New Roman"/>
                <w:szCs w:val="24"/>
                <w:lang w:val="pl-PL"/>
              </w:rPr>
            </m:ctrlPr>
          </m:sSubPr>
          <m:e>
            <m:r>
              <w:rPr>
                <w:rFonts w:ascii="Cambria Math" w:hAnsi="Cambria Math" w:cs="Times New Roman"/>
                <w:szCs w:val="24"/>
                <w:lang w:val="pl-PL"/>
              </w:rPr>
              <m:t>R</m:t>
            </m:r>
          </m:e>
          <m:sub>
            <m:r>
              <w:rPr>
                <w:rFonts w:ascii="Cambria Math" w:hAnsi="Cambria Math" w:cs="Times New Roman"/>
                <w:szCs w:val="24"/>
                <w:lang w:val="pl-PL"/>
              </w:rPr>
              <m:t>y</m:t>
            </m:r>
          </m:sub>
        </m:sSub>
        <m:d>
          <m:dPr>
            <m:ctrlPr>
              <w:rPr>
                <w:rFonts w:ascii="Cambria Math" w:hAnsi="Cambria Math" w:cs="Times New Roman"/>
                <w:szCs w:val="24"/>
                <w:lang w:val="pl-PL"/>
              </w:rPr>
            </m:ctrlPr>
          </m:dPr>
          <m:e>
            <m:r>
              <w:rPr>
                <w:rFonts w:ascii="Cambria Math" w:hAnsi="Cambria Math" w:cs="Times New Roman"/>
                <w:szCs w:val="24"/>
                <w:lang w:val="pl-PL"/>
              </w:rPr>
              <m:t>φ</m:t>
            </m:r>
          </m:e>
        </m:d>
        <m:r>
          <w:rPr>
            <w:rFonts w:ascii="Cambria Math" w:hAnsi="Cambria Math" w:cs="Times New Roman"/>
            <w:szCs w:val="24"/>
            <w:lang w:val="pl-PL"/>
          </w:rPr>
          <m:t>=</m:t>
        </m:r>
        <m:d>
          <m:dPr>
            <m:ctrlPr>
              <w:rPr>
                <w:rFonts w:ascii="Cambria Math" w:hAnsi="Cambria Math" w:cs="Times New Roman"/>
                <w:szCs w:val="24"/>
                <w:lang w:val="pl-PL"/>
              </w:rPr>
            </m:ctrlPr>
          </m:dPr>
          <m:e>
            <m:m>
              <m:mPr>
                <m:plcHide m:val="1"/>
                <m:mcs>
                  <m:mc>
                    <m:mcPr>
                      <m:count m:val="2"/>
                      <m:mcJc m:val="center"/>
                    </m:mcPr>
                  </m:mc>
                </m:mcs>
                <m:ctrlPr>
                  <w:rPr>
                    <w:rFonts w:ascii="Cambria Math" w:hAnsi="Cambria Math" w:cs="Times New Roman"/>
                    <w:szCs w:val="24"/>
                    <w:lang w:val="pl-PL"/>
                  </w:rPr>
                </m:ctrlPr>
              </m:mPr>
              <m:mr>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r>
                <m:e>
                  <m:r>
                    <m:rPr>
                      <m:sty m:val="p"/>
                    </m:rPr>
                    <w:rPr>
                      <w:rFonts w:ascii="Cambria Math" w:hAnsi="Cambria Math" w:cs="Times New Roman"/>
                      <w:szCs w:val="24"/>
                      <w:lang w:val="pl-PL"/>
                    </w:rPr>
                    <m:t>sin</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e>
                  <m:r>
                    <m:rPr>
                      <m:sty m:val="p"/>
                    </m:rPr>
                    <w:rPr>
                      <w:rFonts w:ascii="Cambria Math" w:hAnsi="Cambria Math" w:cs="Times New Roman"/>
                      <w:szCs w:val="24"/>
                      <w:lang w:val="pl-PL"/>
                    </w:rPr>
                    <m:t>cos</m:t>
                  </m:r>
                  <m:d>
                    <m:dPr>
                      <m:ctrlPr>
                        <w:rPr>
                          <w:rFonts w:ascii="Cambria Math" w:hAnsi="Cambria Math" w:cs="Times New Roman"/>
                          <w:szCs w:val="24"/>
                          <w:lang w:val="pl-PL"/>
                        </w:rPr>
                      </m:ctrlPr>
                    </m:dPr>
                    <m:e>
                      <m:f>
                        <m:fPr>
                          <m:ctrlPr>
                            <w:rPr>
                              <w:rFonts w:ascii="Cambria Math" w:hAnsi="Cambria Math" w:cs="Times New Roman"/>
                              <w:i/>
                              <w:szCs w:val="24"/>
                              <w:lang w:val="pl-PL"/>
                            </w:rPr>
                          </m:ctrlPr>
                        </m:fPr>
                        <m:num>
                          <m:r>
                            <w:rPr>
                              <w:rFonts w:ascii="Cambria Math" w:hAnsi="Cambria Math" w:cs="Times New Roman"/>
                              <w:szCs w:val="24"/>
                              <w:lang w:val="pl-PL"/>
                            </w:rPr>
                            <m:t>φ</m:t>
                          </m:r>
                        </m:num>
                        <m:den>
                          <m:r>
                            <w:rPr>
                              <w:rFonts w:ascii="Cambria Math" w:hAnsi="Cambria Math" w:cs="Times New Roman"/>
                              <w:szCs w:val="24"/>
                              <w:lang w:val="pl-PL"/>
                            </w:rPr>
                            <m:t>2</m:t>
                          </m:r>
                        </m:den>
                      </m:f>
                    </m:e>
                  </m:d>
                </m:e>
              </m:mr>
            </m:m>
          </m:e>
        </m:d>
      </m:oMath>
    </w:p>
    <w:p w14:paraId="159FEA76" w14:textId="77777777" w:rsidR="003601DB" w:rsidRDefault="0063117F" w:rsidP="004755E8">
      <w:pPr>
        <w:pStyle w:val="Normal"/>
        <w:jc w:val="both"/>
        <w:rPr>
          <w:rFonts w:cs="Times New Roman"/>
          <w:szCs w:val="24"/>
          <w:lang w:val="pl-PL"/>
        </w:rPr>
        <w:ind w:left="0" w:firstLine="709"/>
        <w:spacing w:before="0" w:after="0" w:line="360" w:lineRule="auto"/>
      </w:pPr>
      <w:r>
        <w:rPr>
          <w:rFonts w:ascii="Times New Roman" w:hAnsi="Times New Roman" w:cs="Times New Roman"/>
          <w:lang w:val="pl-PL"/>
        </w:rPr>
        <w:t xml:space="preserve">Bramka </w:t>
      </w:r>
      <m:oMath>
        <m:sSub>
          <m:e>
            <m:r>
              <w:rPr>
                <w:rFonts w:ascii="Cambria Math" w:hAnsi="Cambria Math" w:cs="Cambria Math"/>
                <w:sz w:val="24"/>
                <w:szCs w:val="24"/>
              </w:rPr>
              <m:t>R</m:t>
            </m:r>
          </m:e>
          <m:sub>
            <m:r>
              <m:rPr>
                <m:sty m:val="p"/>
              </m:rPr>
              <w:rPr>
                <w:rFonts w:ascii="Cambria Math" w:hAnsi="Cambria Math" w:cs="Cambria Math"/>
                <w:sz w:val="24"/>
                <w:szCs w:val="24"/>
              </w:rPr>
              <m:t>y</m:t>
            </m:r>
          </m:sub>
        </m:sSub>
        <m:r>
          <w:rPr>
            <w:rFonts w:ascii="Cambria Math" w:hAnsi="Cambria Math" w:cs="Cambria Math"/>
            <w:sz w:val="24"/>
            <w:szCs w:val="24"/>
          </w:rPr>
          <m:t>(φ)</m:t>
        </m:r>
      </m:oMath>
      <w:r>
        <w:rPr>
          <w:rFonts w:ascii="Times New Roman" w:hAnsi="Times New Roman" w:cs="Times New Roman"/>
          <w:lang w:val="pl-PL"/>
        </w:rPr>
        <w:t xml:space="preserve"> obraca stan kubitu o kąt φ wokół osi y sfery Blocha. </w:t>
      </w:r>
      <w:r>
        <w:rPr>
          <w:rFonts w:ascii="Times New Roman" w:hAnsi="Times New Roman" w:cs="Times New Roman"/>
          <w:lang w:val="pl-PL"/>
        </w:rPr>
        <w:t>Gdy wartość φ wynika z klasycznej cechy, operacja służy kodowaniu danych</w:t>
      </w:r>
      <w:r>
        <w:rPr>
          <w:rStyle w:val="FootnoteReference"/>
        </w:rPr>
        <w:footnoteReference w:id="15"/>
      </w:r>
      <w:r>
        <w:rPr>
          <w:rFonts w:ascii="Times New Roman" w:hAnsi="Times New Roman" w:cs="Times New Roman"/>
          <w:lang w:val="pl-PL"/>
        </w:rPr>
        <w:t>; gdy φ jest parametrem uczonym, należy do warstwy wariacyjnej</w:t>
      </w:r>
      <w:r>
        <w:rPr>
          <w:rStyle w:val="FootnoteReference"/>
        </w:rPr>
        <w:footnoteReference w:id="16"/>
      </w:r>
      <w:r>
        <w:rPr>
          <w:rFonts w:ascii="Times New Roman" w:hAnsi="Times New Roman" w:cs="Times New Roman"/>
          <w:lang w:val="pl-PL"/>
        </w:rPr>
        <w:t>. Pozostałe operacje zestawiono w tabeli 3.1.</w:t>
      </w:r>
    </w:p>
    <w:p w14:paraId="0FDF4A3E" w14:textId="1577D1DF" w:rsidR="004755E8" w:rsidRPr="004755E8" w:rsidRDefault="004755E8" w:rsidP="004755E8">
      <w:pPr>
        <w:jc w:val="both"/>
        <w:rPr>
          <w:rFonts w:cs="Times New Roman"/>
          <w:szCs w:val="24"/>
          <w:lang w:val="pl-PL"/>
        </w:rPr>
        <w:sectPr w:rsidR="004755E8" w:rsidRPr="004755E8" w:rsidSect="00034616">
          <w:footerReference w:type="default" r:id="rId9"/>
          <w:pgSz w:w="11906" w:h="16838"/>
          <w:pgMar w:top="1417" w:right="1417" w:bottom="1417" w:left="1417" w:header="709" w:footer="709" w:gutter="0"/>
          <w:cols w:space="720"/>
          <w:docGrid w:linePitch="360"/>
        </w:sectPr>
        <w:ind w:left="0" w:firstLine="0"/>
        <w:spacing w:before="0" w:after="0" w:line="240" w:lineRule="auto"/>
      </w:pPr>
    </w:p>
    <w:p w14:paraId="13F39DD6" w14:textId="77777777" w:rsidR="00871DB2" w:rsidRPr="0077239A" w:rsidRDefault="00871DB2" w:rsidP="00871DB2">
      <w:pPr>
        <w:pStyle w:val="Normal"/>
        <w:spacing w:before="120" w:after="80" w:line="240" w:lineRule="auto"/>
        <w:jc w:val="center"/>
        <w:rPr>
          <w:rFonts w:cs="Times New Roman"/>
          <w:szCs w:val="24"/>
          <w:lang w:val="pl-PL"/>
        </w:rPr>
        <w:ind w:left="0" w:firstLine="0"/>
        <w:keepNext w:val="1"/>
        <w:keepLines w:val="1"/>
      </w:pPr>
      <w:r w:rsidRPr="0077239A">
        <w:rPr>
          <w:rFonts w:ascii="Times New Roman" w:hAnsi="Times New Roman" w:cs="Times New Roman"/>
          <w:sz w:val="22"/>
          <w:szCs w:val="22"/>
          <w:lang w:val="pl-PL"/>
          <w:b/>
          <w:bCs/>
        </w:rPr>
        <w:lastRenderedPageBreak/>
        <w:t>Tabela 3.</w:t>
      </w:r>
      <w:r w:rsidRPr="0077239A">
        <w:rPr>
          <w:rFonts w:ascii="Times New Roman" w:hAnsi="Times New Roman" w:cs="Times New Roman"/>
          <w:sz w:val="22"/>
          <w:szCs w:val="22"/>
          <w:lang w:val="pl-PL"/>
          <w:b/>
          <w:bCs/>
        </w:rPr>
        <w:t>1</w:t>
      </w:r>
      <w:r w:rsidRPr="0077239A">
        <w:rPr>
          <w:rFonts w:ascii="Times New Roman" w:hAnsi="Times New Roman" w:cs="Times New Roman"/>
          <w:sz w:val="22"/>
          <w:szCs w:val="22"/>
          <w:lang w:val="pl-PL"/>
          <w:b/>
          <w:bCs/>
        </w:rPr>
        <w:t xml:space="preserve">. Wybrane </w:t>
      </w:r>
      <w:r>
        <w:rPr>
          <w:rFonts w:ascii="Times New Roman" w:hAnsi="Times New Roman" w:cs="Times New Roman"/>
          <w:sz w:val="22"/>
          <w:szCs w:val="22"/>
          <w:lang w:val="pl-PL"/>
          <w:b/>
          <w:bCs/>
        </w:rPr>
        <w:t>operacje</w:t>
      </w:r>
      <w:r w:rsidRPr="0077239A">
        <w:rPr>
          <w:rFonts w:ascii="Times New Roman" w:hAnsi="Times New Roman" w:cs="Times New Roman"/>
          <w:sz w:val="22"/>
          <w:szCs w:val="22"/>
          <w:lang w:val="pl-PL"/>
          <w:b/>
          <w:bCs/>
        </w:rPr>
        <w:t xml:space="preserve"> kwantowe </w:t>
      </w:r>
      <w:r>
        <w:rPr>
          <w:rFonts w:ascii="Times New Roman" w:hAnsi="Times New Roman" w:cs="Times New Roman"/>
          <w:sz w:val="22"/>
          <w:szCs w:val="22"/>
          <w:lang w:val="pl-PL"/>
          <w:b/>
          <w:bCs/>
        </w:rPr>
        <w:t>stosowane w</w:t>
      </w:r>
      <w:r w:rsidRPr="0077239A">
        <w:rPr>
          <w:rFonts w:ascii="Times New Roman" w:hAnsi="Times New Roman" w:cs="Times New Roman"/>
          <w:sz w:val="22"/>
          <w:szCs w:val="22"/>
          <w:lang w:val="pl-PL"/>
          <w:b/>
          <w:bCs/>
        </w:rPr>
        <w:t xml:space="preserve"> model</w:t>
      </w:r>
      <w:r>
        <w:rPr>
          <w:rFonts w:ascii="Times New Roman" w:hAnsi="Times New Roman" w:cs="Times New Roman"/>
          <w:sz w:val="22"/>
          <w:szCs w:val="22"/>
          <w:lang w:val="pl-PL"/>
          <w:b/>
          <w:bCs/>
        </w:rPr>
        <w:t>ach</w:t>
      </w:r>
      <w:r w:rsidRPr="0077239A">
        <w:rPr>
          <w:rFonts w:ascii="Times New Roman" w:hAnsi="Times New Roman" w:cs="Times New Roman"/>
          <w:sz w:val="22"/>
          <w:szCs w:val="22"/>
          <w:lang w:val="pl-PL"/>
          <w:b/>
          <w:bCs/>
        </w:rPr>
        <w:t xml:space="preserve"> </w:t>
      </w:r>
      <w:r w:rsidRPr="0077239A">
        <w:rPr>
          <w:rFonts w:ascii="Times New Roman" w:hAnsi="Times New Roman" w:cs="Times New Roman"/>
          <w:sz w:val="22"/>
          <w:szCs w:val="22"/>
          <w:lang w:val="pl-PL"/>
          <w:b/>
          <w:bCs/>
        </w:rPr>
        <w:t>kwantowego uczenia maszynowego</w:t>
      </w:r>
    </w:p>
    <w:tbl>
      <w:tblPr>
        <w:tblStyle w:val="TableGrid"/>
        <w:tblW w:w="13929" w:type="dxa"/>
        <w:jc w:val="left"/>
        <w:tblBorders>
          <w:top w:val="single" w:sz="6" w:space="0" w:color="7A8793"/>
          <w:left w:val="single" w:sz="6" w:space="0" w:color="7A8793"/>
          <w:bottom w:val="single" w:sz="6" w:space="0" w:color="7A8793"/>
          <w:right w:val="single" w:sz="6" w:space="0" w:color="7A8793"/>
          <w:insideH w:val="single" w:sz="4" w:space="0" w:color="9AA4AE"/>
          <w:insideV w:val="single" w:sz="4" w:space="0" w:color="9AA4AE"/>
        </w:tblBorders>
        <w:tblLook w:val="0020" w:firstRow="1" w:lastRow="0" w:firstColumn="0" w:lastColumn="0" w:noHBand="0" w:noVBand="0"/>
        <w:tblCellMar>
          <w:top w:w="55" w:type="dxa"/>
          <w:start w:w="75" w:type="dxa"/>
          <w:bottom w:w="55" w:type="dxa"/>
          <w:end w:w="75" w:type="dxa"/>
        </w:tblCellMar>
        <w:tblInd w:w="75" w:type="dxa"/>
        <w:tblLayout w:type="fixed"/>
      </w:tblPr>
      <w:tblGrid>
        <w:gridCol w:w="4400"/>
        <w:gridCol w:w="3800"/>
        <w:gridCol w:w="5729"/>
      </w:tblGrid>
      <w:tr w:rsidR="00871DB2" w:rsidRPr="0077239A" w14:paraId="0C4DDBD7" w14:textId="77777777" w:rsidTr="00F971B5">
        <w:trPr>
          <w:cnfStyle w:val="100000000000" w:firstRow="1" w:lastRow="0" w:firstColumn="0" w:lastColumn="0" w:oddVBand="0" w:evenVBand="0" w:oddHBand="0" w:evenHBand="0" w:firstRowFirstColumn="0" w:firstRowLastColumn="0" w:lastRowFirstColumn="0" w:lastRowLastColumn="0"/>
          <w:tblHeader/>
          <w:jc w:val="center"/>
          <w:cantSplit/>
        </w:trPr>
        <w:tc>
          <w:tcPr>
            <w:tcW w:w="4400" w:type="dxa"/>
            <w:shd w:val="clear" w:color="auto" w:fill="DCE6F1"/>
            <w:vAlign w:val="center"/>
          </w:tcPr>
          <w:p w14:paraId="03FAD783" w14:textId="77777777" w:rsidR="00871DB2" w:rsidRPr="0077239A" w:rsidRDefault="00871DB2" w:rsidP="00F971B5">
            <w:pPr>
              <w:pStyle w:val="Normal"/>
              <w:spacing w:before="0" w:after="0" w:line="240" w:lineRule="auto"/>
              <w:ind w:firstLine="0" w:left="0"/>
              <w:jc w:val="center"/>
              <w:rPr>
                <w:rFonts w:cs="Times New Roman"/>
                <w:lang w:val="pl-PL"/>
              </w:rPr>
              <w:keepNext w:val="1"/>
              <w:keepLines w:val="1"/>
            </w:pPr>
            <w:r w:rsidRPr="0077239A">
              <w:rPr>
                <w:rFonts w:ascii="Times New Roman" w:hAnsi="Times New Roman" w:cs="Times New Roman"/>
                <w:sz w:val="18"/>
                <w:szCs w:val="18"/>
                <w:lang w:val="pl-PL"/>
                <w:b/>
                <w:bCs/>
              </w:rPr>
              <w:t>Bramka</w:t>
            </w:r>
            <w:r>
              <w:rPr>
                <w:rFonts w:ascii="Times New Roman" w:hAnsi="Times New Roman" w:cs="Times New Roman"/>
                <w:sz w:val="18"/>
                <w:szCs w:val="18"/>
                <w:lang w:val="pl-PL"/>
                <w:b/>
                <w:bCs/>
              </w:rPr>
              <w:t xml:space="preserve"> / operator</w:t>
            </w:r>
          </w:p>
        </w:tc>
        <w:tc>
          <w:tcPr>
            <w:tcW w:w="3800" w:type="dxa"/>
            <w:shd w:val="clear" w:color="auto" w:fill="DCE6F1"/>
            <w:vAlign w:val="center"/>
          </w:tcPr>
          <w:p w14:paraId="492A7BFB" w14:textId="77777777" w:rsidR="00871DB2" w:rsidRPr="0077239A" w:rsidRDefault="00871DB2" w:rsidP="00F971B5">
            <w:pPr>
              <w:pStyle w:val="Normal"/>
              <w:spacing w:before="0" w:after="0" w:line="240" w:lineRule="auto"/>
              <w:ind w:firstLine="0" w:left="0"/>
              <w:jc w:val="center"/>
              <w:rPr>
                <w:rFonts w:cs="Times New Roman"/>
                <w:lang w:val="pl-PL"/>
              </w:rPr>
              <w:keepNext w:val="1"/>
              <w:keepLines w:val="1"/>
            </w:pPr>
            <w:r w:rsidRPr="0077239A">
              <w:rPr>
                <w:rFonts w:ascii="Times New Roman" w:hAnsi="Times New Roman" w:cs="Times New Roman"/>
                <w:sz w:val="18"/>
                <w:szCs w:val="18"/>
                <w:lang w:val="pl-PL"/>
                <w:b/>
                <w:bCs/>
              </w:rPr>
              <w:t>Zapis matematyczny</w:t>
            </w:r>
          </w:p>
        </w:tc>
        <w:tc>
          <w:tcPr>
            <w:tcW w:w="5729" w:type="dxa"/>
            <w:shd w:val="clear" w:color="auto" w:fill="DCE6F1"/>
            <w:vAlign w:val="center"/>
          </w:tcPr>
          <w:p w14:paraId="7DE31948" w14:textId="77777777" w:rsidR="00871DB2" w:rsidRPr="0077239A" w:rsidRDefault="00871DB2" w:rsidP="00F971B5">
            <w:pPr>
              <w:pStyle w:val="Normal"/>
              <w:spacing w:before="0" w:after="0" w:line="240" w:lineRule="auto"/>
              <w:ind w:firstLine="0" w:left="0"/>
              <w:jc w:val="center"/>
              <w:rPr>
                <w:rFonts w:cs="Times New Roman"/>
                <w:lang w:val="pl-PL"/>
              </w:rPr>
              <w:keepNext w:val="1"/>
              <w:keepLines w:val="1"/>
            </w:pPr>
            <w:r w:rsidRPr="0077239A">
              <w:rPr>
                <w:rFonts w:ascii="Times New Roman" w:hAnsi="Times New Roman" w:cs="Times New Roman"/>
                <w:sz w:val="18"/>
                <w:szCs w:val="18"/>
                <w:lang w:val="pl-PL"/>
                <w:b/>
                <w:bCs/>
              </w:rPr>
              <w:t>Cechy charakterystyczne / zastosowanie</w:t>
            </w:r>
          </w:p>
        </w:tc>
      </w:tr>
      <w:tr w:rsidR="00871DB2" w:rsidRPr="002740CF" w14:paraId="533D0493" w14:textId="77777777" w:rsidTr="00F971B5">
        <w:trPr>
          <w:jc w:val="center"/>
          <w:cantSplit/>
        </w:trPr>
        <w:tc>
          <w:tcPr>
            <w:tcW w:w="4400" w:type="dxa"/>
            <w:shd w:val="clear" w:color="auto" w:fill="FFFFFF"/>
            <w:vAlign w:val="center"/>
          </w:tcPr>
          <w:p w14:paraId="21F7842D" w14:textId="77777777" w:rsidR="00871DB2" w:rsidRPr="0077239A"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b/>
                <w:bCs/>
              </w:rPr>
              <w:t>Rot(φ, θ, ω) – rotacja trójparametrowa</w:t>
            </w:r>
          </w:p>
        </w:tc>
        <w:tc>
          <w:tcPr>
            <w:tcW w:w="3800" w:type="dxa"/>
            <w:shd w:val="clear" w:color="auto" w:fill="FFFFFF"/>
            <w:vAlign w:val="center"/>
          </w:tcPr>
          <w:p w14:paraId="2F966740"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m:oMath>
              <m:r>
                <m:rPr>
                  <m:sty m:val="p"/>
                </m:rPr>
                <w:rPr>
                  <w:rFonts w:ascii="Cambria Math" w:hAnsi="Cambria Math" w:cs="Cambria Math"/>
                  <w:sz w:val="18"/>
                  <w:szCs w:val="18"/>
                </w:rPr>
                <m:t>Rot</m:t>
              </m:r>
              <m:r>
                <w:rPr>
                  <w:rFonts w:ascii="Cambria Math" w:hAnsi="Cambria Math" w:cs="Cambria Math"/>
                  <w:sz w:val="18"/>
                  <w:szCs w:val="18"/>
                </w:rPr>
                <m:t>(φ,θ,ω)=</m:t>
              </m:r>
              <m:sSub>
                <m:e>
                  <m:r>
                    <w:rPr>
                      <w:rFonts w:ascii="Cambria Math" w:hAnsi="Cambria Math" w:cs="Cambria Math"/>
                      <w:sz w:val="18"/>
                      <w:szCs w:val="18"/>
                    </w:rPr>
                    <m:t>R</m:t>
                  </m:r>
                </m:e>
                <m:sub>
                  <m:r>
                    <m:rPr>
                      <m:sty m:val="p"/>
                    </m:rPr>
                    <w:rPr>
                      <w:rFonts w:ascii="Cambria Math" w:hAnsi="Cambria Math" w:cs="Cambria Math"/>
                      <w:sz w:val="18"/>
                      <w:szCs w:val="18"/>
                    </w:rPr>
                    <m:t>z</m:t>
                  </m:r>
                </m:sub>
              </m:sSub>
              <m:r>
                <w:rPr>
                  <w:rFonts w:ascii="Cambria Math" w:hAnsi="Cambria Math" w:cs="Cambria Math"/>
                  <w:sz w:val="18"/>
                  <w:szCs w:val="18"/>
                </w:rPr>
                <m:t>(ω)</m:t>
              </m:r>
              <m:sSub>
                <m:e>
                  <m:r>
                    <w:rPr>
                      <w:rFonts w:ascii="Cambria Math" w:hAnsi="Cambria Math" w:cs="Cambria Math"/>
                      <w:sz w:val="18"/>
                      <w:szCs w:val="18"/>
                    </w:rPr>
                    <m:t>R</m:t>
                  </m:r>
                </m:e>
                <m:sub>
                  <m:r>
                    <m:rPr>
                      <m:sty m:val="p"/>
                    </m:rPr>
                    <w:rPr>
                      <w:rFonts w:ascii="Cambria Math" w:hAnsi="Cambria Math" w:cs="Cambria Math"/>
                      <w:sz w:val="18"/>
                      <w:szCs w:val="18"/>
                    </w:rPr>
                    <m:t>y</m:t>
                  </m:r>
                </m:sub>
              </m:sSub>
              <m:r>
                <w:rPr>
                  <w:rFonts w:ascii="Cambria Math" w:hAnsi="Cambria Math" w:cs="Cambria Math"/>
                  <w:sz w:val="18"/>
                  <w:szCs w:val="18"/>
                </w:rPr>
                <m:t>(θ)</m:t>
              </m:r>
              <m:sSub>
                <m:e>
                  <m:r>
                    <w:rPr>
                      <w:rFonts w:ascii="Cambria Math" w:hAnsi="Cambria Math" w:cs="Cambria Math"/>
                      <w:sz w:val="18"/>
                      <w:szCs w:val="18"/>
                    </w:rPr>
                    <m:t>R</m:t>
                  </m:r>
                </m:e>
                <m:sub>
                  <m:r>
                    <m:rPr>
                      <m:sty m:val="p"/>
                    </m:rPr>
                    <w:rPr>
                      <w:rFonts w:ascii="Cambria Math" w:hAnsi="Cambria Math" w:cs="Cambria Math"/>
                      <w:sz w:val="18"/>
                      <w:szCs w:val="18"/>
                    </w:rPr>
                    <m:t>z</m:t>
                  </m:r>
                </m:sub>
              </m:sSub>
              <m:r>
                <w:rPr>
                  <w:rFonts w:ascii="Cambria Math" w:hAnsi="Cambria Math" w:cs="Cambria Math"/>
                  <w:sz w:val="18"/>
                  <w:szCs w:val="18"/>
                </w:rPr>
                <m:t>(φ)</m:t>
              </m:r>
            </m:oMath>
            <w:r>
              <w:rPr>
                <w:rFonts w:ascii="Times New Roman" w:hAnsi="Times New Roman" w:cs="Times New Roman"/>
                <w:sz w:val="18"/>
                <w:szCs w:val="18"/>
                <w:lang w:val="pl-PL"/>
              </w:rPr>
              <w:t xml:space="preserve"> — w konwencji PennyLane</w:t>
            </w:r>
          </w:p>
        </w:tc>
        <w:tc>
          <w:tcPr>
            <w:tcW w:w="5729" w:type="dxa"/>
            <w:shd w:val="clear" w:color="auto" w:fill="FFFFFF"/>
            <w:vAlign w:val="center"/>
          </w:tcPr>
          <w:p w14:paraId="3803BEDE"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Ogólna rotacja jednokubitowa; uczone przekształcenie w warstwie wariacyjnej.</w:t>
            </w:r>
          </w:p>
        </w:tc>
      </w:tr>
      <w:tr w:rsidR="00871DB2" w:rsidRPr="002740CF" w14:paraId="784F1287" w14:textId="77777777" w:rsidTr="00F971B5">
        <w:trPr>
          <w:jc w:val="center"/>
          <w:cantSplit/>
        </w:trPr>
        <w:tc>
          <w:tcPr>
            <w:tcW w:w="4400" w:type="dxa"/>
            <w:shd w:val="clear" w:color="auto" w:fill="F5F7FA"/>
            <w:vAlign w:val="center"/>
          </w:tcPr>
          <w:p w14:paraId="66E550F9" w14:textId="77777777" w:rsidR="00871DB2" w:rsidRPr="0077239A" w:rsidRDefault="00000000" w:rsidP="00F971B5">
            <w:pPr>
              <w:pStyle w:val="Normal"/>
              <w:spacing w:before="0" w:after="0" w:line="240" w:lineRule="auto"/>
              <w:ind w:firstLine="0" w:left="0"/>
              <w:jc w:val="left"/>
              <w:rPr>
                <w:rFonts w:cs="Times New Roman"/>
                <w:lang w:val="pl-PL"/>
              </w:rPr>
              <w:keepNext w:val="1"/>
              <w:keepLines w:val="1"/>
            </w:pPr>
            <m:oMath>
              <m:sSub>
                <m:sSubPr>
                  <m:ctrlPr>
                    <w:rPr>
                      <w:rFonts w:ascii="Cambria Math" w:hAnsi="Cambria Math" w:cs="Times New Roman"/>
                      <w:lang w:val="pl-PL"/>
                      <w:sz w:val="18"/>
                      <w:szCs w:val="18"/>
                      <w:b/>
                      <w:bCs/>
                    </w:rPr>
                  </m:ctrlPr>
                </m:sSubPr>
                <m:e>
                  <m:r>
                    <w:rPr>
                      <w:rFonts w:ascii="Cambria Math" w:hAnsi="Cambria Math" w:cs="Times New Roman"/>
                      <w:lang w:val="pl-PL"/>
                      <w:sz w:val="18"/>
                      <w:szCs w:val="18"/>
                      <w:b/>
                      <w:bCs/>
                    </w:rPr>
                    <m:t>R</m:t>
                  </m:r>
                </m:e>
                <m:sub>
                  <m:r>
                    <w:rPr>
                      <w:rFonts w:ascii="Cambria Math" w:hAnsi="Cambria Math" w:cs="Times New Roman"/>
                      <w:lang w:val="pl-PL"/>
                      <w:sz w:val="18"/>
                      <w:szCs w:val="18"/>
                      <w:b/>
                      <w:bCs/>
                    </w:rPr>
                    <m:t>x</m:t>
                  </m:r>
                </m:sub>
              </m:sSub>
              <m:d>
                <m:dPr>
                  <m:ctrlPr>
                    <w:rPr>
                      <w:rFonts w:ascii="Cambria Math" w:hAnsi="Cambria Math" w:cs="Times New Roman"/>
                      <w:lang w:val="pl-PL"/>
                      <w:sz w:val="18"/>
                      <w:szCs w:val="18"/>
                      <w:b/>
                      <w:bCs/>
                    </w:rPr>
                  </m:ctrlPr>
                </m:dPr>
                <m:e>
                  <m:r>
                    <w:rPr>
                      <w:rFonts w:ascii="Cambria Math" w:hAnsi="Cambria Math" w:cs="Times New Roman"/>
                      <w:lang w:val="pl-PL"/>
                      <w:sz w:val="18"/>
                      <w:szCs w:val="18"/>
                      <w:b/>
                      <w:bCs/>
                    </w:rPr>
                    <m:t>φ</m:t>
                  </m:r>
                </m:e>
              </m:d>
            </m:oMath>
            <w:r w:rsidR="00871DB2" w:rsidRPr="0077239A">
              <w:rPr>
                <w:rFonts w:ascii="Times New Roman" w:hAnsi="Times New Roman" w:cs="Times New Roman"/>
                <w:sz w:val="18"/>
                <w:szCs w:val="18"/>
                <w:lang w:val="pl-PL"/>
                <w:b/>
                <w:bCs/>
              </w:rPr>
              <w:t xml:space="preserve"> – rotacja wokół osi </w:t>
            </w:r>
            <m:oMath>
              <m:r>
                <w:rPr>
                  <w:rFonts w:ascii="Cambria Math" w:hAnsi="Cambria Math" w:cs="Times New Roman"/>
                  <w:lang w:val="pl-PL"/>
                  <w:sz w:val="18"/>
                  <w:szCs w:val="18"/>
                  <w:b/>
                  <w:bCs/>
                </w:rPr>
                <m:t>x</m:t>
              </m:r>
            </m:oMath>
          </w:p>
        </w:tc>
        <w:tc>
          <w:tcPr>
            <w:tcW w:w="3800" w:type="dxa"/>
            <w:shd w:val="clear" w:color="auto" w:fill="F5F7FA"/>
            <w:vAlign w:val="center"/>
          </w:tcPr>
          <w:p w14:paraId="06603B93"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m:oMathPara>
              <m:oMath>
                <m:d>
                  <m:dPr>
                    <m:ctrlPr>
                      <w:rPr>
                        <w:rFonts w:ascii="Cambria Math" w:hAnsi="Cambria Math" w:cs="Times New Roman"/>
                        <w:sz w:val="18"/>
                        <w:szCs w:val="18"/>
                        <w:lang w:val="pl-PL"/>
                      </w:rPr>
                    </m:ctrlPr>
                  </m:dPr>
                  <m:e>
                    <m:m>
                      <m:mPr>
                        <m:plcHide m:val="1"/>
                        <m:mcs>
                          <m:mc>
                            <m:mcPr>
                              <m:count m:val="2"/>
                              <m:mcJc m:val="center"/>
                            </m:mcPr>
                          </m:mc>
                        </m:mcs>
                        <m:ctrlPr>
                          <w:rPr>
                            <w:rFonts w:ascii="Cambria Math" w:hAnsi="Cambria Math" w:cs="Times New Roman"/>
                            <w:sz w:val="18"/>
                            <w:szCs w:val="18"/>
                            <w:lang w:val="pl-PL"/>
                          </w:rPr>
                        </m:ctrlPr>
                      </m:mPr>
                      <m:mr>
                        <m:e>
                          <m:r>
                            <m:rPr>
                              <m:sty m:val="p"/>
                            </m:rPr>
                            <w:rPr>
                              <w:rFonts w:ascii="Cambria Math" w:hAnsi="Cambria Math" w:cs="Times New Roman"/>
                              <w:sz w:val="18"/>
                              <w:szCs w:val="18"/>
                              <w:lang w:val="pl-PL"/>
                            </w:rPr>
                            <m:t>cos</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e>
                          <m:r>
                            <m:rPr>
                              <m:sty m:val="p"/>
                            </m:rPr>
                            <w:rPr>
                              <w:rFonts w:ascii="Cambria Math" w:hAnsi="Cambria Math" w:cs="Times New Roman"/>
                              <w:sz w:val="18"/>
                              <w:szCs w:val="18"/>
                              <w:lang w:val="pl-PL"/>
                            </w:rPr>
                            <m:t>-</m:t>
                          </m:r>
                          <m:r>
                            <w:rPr>
                              <w:rFonts w:ascii="Cambria Math" w:hAnsi="Cambria Math" w:cs="Times New Roman"/>
                              <w:sz w:val="18"/>
                              <w:szCs w:val="18"/>
                              <w:lang w:val="pl-PL"/>
                            </w:rPr>
                            <m:t xml:space="preserve">i </m:t>
                          </m:r>
                          <m:r>
                            <m:rPr>
                              <m:sty m:val="p"/>
                            </m:rPr>
                            <w:rPr>
                              <w:rFonts w:ascii="Cambria Math" w:hAnsi="Cambria Math" w:cs="Times New Roman"/>
                              <w:sz w:val="18"/>
                              <w:szCs w:val="18"/>
                              <w:lang w:val="pl-PL"/>
                            </w:rPr>
                            <m:t>sin</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mr>
                      <m:mr>
                        <m:e>
                          <m:r>
                            <m:rPr>
                              <m:sty m:val="p"/>
                            </m:rPr>
                            <w:rPr>
                              <w:rFonts w:ascii="Cambria Math" w:hAnsi="Cambria Math" w:cs="Times New Roman"/>
                              <w:sz w:val="18"/>
                              <w:szCs w:val="18"/>
                              <w:lang w:val="pl-PL"/>
                            </w:rPr>
                            <m:t>-</m:t>
                          </m:r>
                          <m:r>
                            <w:rPr>
                              <w:rFonts w:ascii="Cambria Math" w:hAnsi="Cambria Math" w:cs="Times New Roman"/>
                              <w:sz w:val="18"/>
                              <w:szCs w:val="18"/>
                              <w:lang w:val="pl-PL"/>
                            </w:rPr>
                            <m:t xml:space="preserve">i </m:t>
                          </m:r>
                          <m:r>
                            <m:rPr>
                              <m:sty m:val="p"/>
                            </m:rPr>
                            <w:rPr>
                              <w:rFonts w:ascii="Cambria Math" w:hAnsi="Cambria Math" w:cs="Times New Roman"/>
                              <w:sz w:val="18"/>
                              <w:szCs w:val="18"/>
                              <w:lang w:val="pl-PL"/>
                            </w:rPr>
                            <m:t>sin</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e>
                          <m:r>
                            <m:rPr>
                              <m:sty m:val="p"/>
                            </m:rPr>
                            <w:rPr>
                              <w:rFonts w:ascii="Cambria Math" w:hAnsi="Cambria Math" w:cs="Times New Roman"/>
                              <w:sz w:val="18"/>
                              <w:szCs w:val="18"/>
                              <w:lang w:val="pl-PL"/>
                            </w:rPr>
                            <m:t>cos</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mr>
                    </m:m>
                  </m:e>
                </m:d>
              </m:oMath>
            </m:oMathPara>
          </w:p>
        </w:tc>
        <w:tc>
          <w:tcPr>
            <w:tcW w:w="5729" w:type="dxa"/>
            <w:shd w:val="clear" w:color="auto" w:fill="F5F7FA"/>
            <w:vAlign w:val="center"/>
          </w:tcPr>
          <w:p w14:paraId="34DA2515" w14:textId="77777777" w:rsidR="00871DB2" w:rsidRPr="00F13D44"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Rotacja wokół osi x; składnik kontrolowanej bramki CRX.</w:t>
            </w:r>
          </w:p>
        </w:tc>
      </w:tr>
      <w:tr w:rsidR="00871DB2" w:rsidRPr="002740CF" w14:paraId="3856D0C9" w14:textId="77777777" w:rsidTr="00F971B5">
        <w:trPr>
          <w:jc w:val="center"/>
          <w:cantSplit/>
        </w:trPr>
        <w:tc>
          <w:tcPr>
            <w:tcW w:w="4400" w:type="dxa"/>
            <w:shd w:val="clear" w:color="auto" w:fill="FFFFFF"/>
            <w:vAlign w:val="center"/>
          </w:tcPr>
          <w:p w14:paraId="0C86C805" w14:textId="77777777" w:rsidR="00871DB2" w:rsidRPr="0077239A" w:rsidRDefault="00000000" w:rsidP="00F971B5">
            <w:pPr>
              <w:pStyle w:val="Normal"/>
              <w:spacing w:before="0" w:after="0" w:line="240" w:lineRule="auto"/>
              <w:ind w:firstLine="0" w:left="0"/>
              <w:jc w:val="left"/>
              <w:rPr>
                <w:rFonts w:cs="Times New Roman"/>
                <w:lang w:val="pl-PL"/>
              </w:rPr>
              <w:keepNext w:val="1"/>
              <w:keepLines w:val="1"/>
            </w:pPr>
            <m:oMath>
              <m:sSub>
                <m:sSubPr>
                  <m:ctrlPr>
                    <w:rPr>
                      <w:rFonts w:ascii="Cambria Math" w:hAnsi="Cambria Math" w:cs="Times New Roman"/>
                      <w:lang w:val="pl-PL"/>
                      <w:sz w:val="18"/>
                      <w:szCs w:val="18"/>
                      <w:b/>
                      <w:bCs/>
                    </w:rPr>
                  </m:ctrlPr>
                </m:sSubPr>
                <m:e>
                  <m:r>
                    <w:rPr>
                      <w:rFonts w:ascii="Cambria Math" w:hAnsi="Cambria Math" w:cs="Times New Roman"/>
                      <w:lang w:val="pl-PL"/>
                      <w:sz w:val="18"/>
                      <w:szCs w:val="18"/>
                      <w:b/>
                      <w:bCs/>
                    </w:rPr>
                    <m:t>R</m:t>
                  </m:r>
                </m:e>
                <m:sub>
                  <m:r>
                    <w:rPr>
                      <w:rFonts w:ascii="Cambria Math" w:hAnsi="Cambria Math" w:cs="Times New Roman"/>
                      <w:lang w:val="pl-PL"/>
                      <w:sz w:val="18"/>
                      <w:szCs w:val="18"/>
                      <w:b/>
                      <w:bCs/>
                    </w:rPr>
                    <m:t>y</m:t>
                  </m:r>
                </m:sub>
              </m:sSub>
              <m:d>
                <m:dPr>
                  <m:ctrlPr>
                    <w:rPr>
                      <w:rFonts w:ascii="Cambria Math" w:hAnsi="Cambria Math" w:cs="Times New Roman"/>
                      <w:lang w:val="pl-PL"/>
                      <w:sz w:val="18"/>
                      <w:szCs w:val="18"/>
                      <w:b/>
                      <w:bCs/>
                    </w:rPr>
                  </m:ctrlPr>
                </m:dPr>
                <m:e>
                  <m:r>
                    <w:rPr>
                      <w:rFonts w:ascii="Cambria Math" w:hAnsi="Cambria Math" w:cs="Times New Roman"/>
                      <w:lang w:val="pl-PL"/>
                      <w:sz w:val="18"/>
                      <w:szCs w:val="18"/>
                      <w:b/>
                      <w:bCs/>
                    </w:rPr>
                    <m:t>φ</m:t>
                  </m:r>
                </m:e>
              </m:d>
            </m:oMath>
            <w:r w:rsidR="00871DB2" w:rsidRPr="0077239A">
              <w:rPr>
                <w:rFonts w:ascii="Times New Roman" w:hAnsi="Times New Roman" w:cs="Times New Roman"/>
                <w:sz w:val="18"/>
                <w:szCs w:val="18"/>
                <w:lang w:val="pl-PL"/>
                <w:b/>
                <w:bCs/>
              </w:rPr>
              <w:t xml:space="preserve"> – rotacja wokół osi </w:t>
            </w:r>
            <m:oMath>
              <m:r>
                <w:rPr>
                  <w:rFonts w:ascii="Cambria Math" w:hAnsi="Cambria Math" w:cs="Times New Roman"/>
                  <w:lang w:val="pl-PL"/>
                  <w:sz w:val="18"/>
                  <w:szCs w:val="18"/>
                  <w:b/>
                  <w:bCs/>
                </w:rPr>
                <m:t>y</m:t>
              </m:r>
            </m:oMath>
          </w:p>
        </w:tc>
        <w:tc>
          <w:tcPr>
            <w:tcW w:w="3800" w:type="dxa"/>
            <w:shd w:val="clear" w:color="auto" w:fill="FFFFFF"/>
            <w:vAlign w:val="center"/>
          </w:tcPr>
          <w:p w14:paraId="29B42EC6"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m:oMathPara>
              <m:oMath>
                <m:d>
                  <m:dPr>
                    <m:ctrlPr>
                      <w:rPr>
                        <w:rFonts w:ascii="Cambria Math" w:hAnsi="Cambria Math" w:cs="Times New Roman"/>
                        <w:sz w:val="18"/>
                        <w:szCs w:val="18"/>
                        <w:lang w:val="pl-PL"/>
                      </w:rPr>
                    </m:ctrlPr>
                  </m:dPr>
                  <m:e>
                    <m:m>
                      <m:mPr>
                        <m:plcHide m:val="1"/>
                        <m:mcs>
                          <m:mc>
                            <m:mcPr>
                              <m:count m:val="2"/>
                              <m:mcJc m:val="center"/>
                            </m:mcPr>
                          </m:mc>
                        </m:mcs>
                        <m:ctrlPr>
                          <w:rPr>
                            <w:rFonts w:ascii="Cambria Math" w:hAnsi="Cambria Math" w:cs="Times New Roman"/>
                            <w:sz w:val="18"/>
                            <w:szCs w:val="18"/>
                            <w:lang w:val="pl-PL"/>
                          </w:rPr>
                        </m:ctrlPr>
                      </m:mPr>
                      <m:mr>
                        <m:e>
                          <m:r>
                            <m:rPr>
                              <m:sty m:val="p"/>
                            </m:rPr>
                            <w:rPr>
                              <w:rFonts w:ascii="Cambria Math" w:hAnsi="Cambria Math" w:cs="Times New Roman"/>
                              <w:sz w:val="18"/>
                              <w:szCs w:val="18"/>
                              <w:lang w:val="pl-PL"/>
                            </w:rPr>
                            <m:t>cos</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e>
                          <m:r>
                            <m:rPr>
                              <m:sty m:val="p"/>
                            </m:rPr>
                            <w:rPr>
                              <w:rFonts w:ascii="Cambria Math" w:hAnsi="Cambria Math" w:cs="Times New Roman"/>
                              <w:sz w:val="18"/>
                              <w:szCs w:val="18"/>
                              <w:lang w:val="pl-PL"/>
                            </w:rPr>
                            <m:t>-sin</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mr>
                      <m:mr>
                        <m:e>
                          <m:r>
                            <m:rPr>
                              <m:sty m:val="p"/>
                            </m:rPr>
                            <w:rPr>
                              <w:rFonts w:ascii="Cambria Math" w:hAnsi="Cambria Math" w:cs="Times New Roman"/>
                              <w:sz w:val="18"/>
                              <w:szCs w:val="18"/>
                              <w:lang w:val="pl-PL"/>
                            </w:rPr>
                            <m:t>sin</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e>
                          <m:r>
                            <m:rPr>
                              <m:sty m:val="p"/>
                            </m:rPr>
                            <w:rPr>
                              <w:rFonts w:ascii="Cambria Math" w:hAnsi="Cambria Math" w:cs="Times New Roman"/>
                              <w:sz w:val="18"/>
                              <w:szCs w:val="18"/>
                              <w:lang w:val="pl-PL"/>
                            </w:rPr>
                            <m:t>cos</m:t>
                          </m:r>
                          <m:d>
                            <m:dPr>
                              <m:ctrlPr>
                                <w:rPr>
                                  <w:rFonts w:ascii="Cambria Math" w:hAnsi="Cambria Math" w:cs="Times New Roman"/>
                                  <w:sz w:val="18"/>
                                  <w:szCs w:val="18"/>
                                  <w:lang w:val="pl-PL"/>
                                </w:rPr>
                              </m:ctrlPr>
                            </m:dPr>
                            <m:e>
                              <m:f>
                                <m:fPr>
                                  <m:ctrlPr>
                                    <w:rPr>
                                      <w:rFonts w:ascii="Cambria Math" w:hAnsi="Cambria Math" w:cs="Times New Roman"/>
                                      <w:i/>
                                      <w:sz w:val="18"/>
                                      <w:szCs w:val="18"/>
                                      <w:lang w:val="pl-PL"/>
                                    </w:rPr>
                                  </m:ctrlPr>
                                </m:fPr>
                                <m:num>
                                  <m:r>
                                    <w:rPr>
                                      <w:rFonts w:ascii="Cambria Math" w:hAnsi="Cambria Math" w:cs="Times New Roman"/>
                                      <w:sz w:val="18"/>
                                      <w:szCs w:val="18"/>
                                      <w:lang w:val="pl-PL"/>
                                    </w:rPr>
                                    <m:t>φ</m:t>
                                  </m:r>
                                </m:num>
                                <m:den>
                                  <m:r>
                                    <w:rPr>
                                      <w:rFonts w:ascii="Cambria Math" w:hAnsi="Cambria Math" w:cs="Times New Roman"/>
                                      <w:sz w:val="18"/>
                                      <w:szCs w:val="18"/>
                                      <w:lang w:val="pl-PL"/>
                                    </w:rPr>
                                    <m:t>2</m:t>
                                  </m:r>
                                </m:den>
                              </m:f>
                            </m:e>
                          </m:d>
                        </m:e>
                      </m:mr>
                    </m:m>
                  </m:e>
                </m:d>
              </m:oMath>
            </m:oMathPara>
          </w:p>
        </w:tc>
        <w:tc>
          <w:tcPr>
            <w:tcW w:w="5729" w:type="dxa"/>
            <w:shd w:val="clear" w:color="auto" w:fill="FFFFFF"/>
            <w:vAlign w:val="center"/>
          </w:tcPr>
          <w:p w14:paraId="00733C4C"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Rotacja wokół osi y; kodowanie kątowe i warstwy wariacyjne.</w:t>
            </w:r>
          </w:p>
        </w:tc>
      </w:tr>
      <w:tr w:rsidR="00871DB2" w:rsidRPr="002740CF" w14:paraId="542ABB60" w14:textId="77777777" w:rsidTr="00F971B5">
        <w:trPr>
          <w:jc w:val="center"/>
          <w:cantSplit/>
        </w:trPr>
        <w:tc>
          <w:tcPr>
            <w:tcW w:w="4400" w:type="dxa"/>
            <w:shd w:val="clear" w:color="auto" w:fill="F5F7FA"/>
            <w:vAlign w:val="center"/>
          </w:tcPr>
          <w:p w14:paraId="75948B54" w14:textId="77777777" w:rsidR="00871DB2" w:rsidRPr="0077239A" w:rsidRDefault="00000000" w:rsidP="00F971B5">
            <w:pPr>
              <w:pStyle w:val="Normal"/>
              <w:spacing w:before="0" w:after="0" w:line="240" w:lineRule="auto"/>
              <w:ind w:firstLine="0" w:left="0"/>
              <w:jc w:val="left"/>
              <w:rPr>
                <w:rFonts w:cs="Times New Roman"/>
                <w:lang w:val="pl-PL"/>
              </w:rPr>
              <w:keepNext w:val="1"/>
              <w:keepLines w:val="1"/>
            </w:pPr>
            <m:oMath>
              <m:sSub>
                <m:sSubPr>
                  <m:ctrlPr>
                    <w:rPr>
                      <w:rFonts w:ascii="Cambria Math" w:hAnsi="Cambria Math" w:cs="Times New Roman"/>
                      <w:lang w:val="pl-PL"/>
                      <w:sz w:val="18"/>
                      <w:szCs w:val="18"/>
                      <w:b/>
                      <w:bCs/>
                    </w:rPr>
                  </m:ctrlPr>
                </m:sSubPr>
                <m:e>
                  <m:r>
                    <w:rPr>
                      <w:rFonts w:ascii="Cambria Math" w:hAnsi="Cambria Math" w:cs="Times New Roman"/>
                      <w:lang w:val="pl-PL"/>
                      <w:sz w:val="18"/>
                      <w:szCs w:val="18"/>
                      <w:b/>
                      <w:bCs/>
                    </w:rPr>
                    <m:t>R</m:t>
                  </m:r>
                </m:e>
                <m:sub>
                  <m:r>
                    <w:rPr>
                      <w:rFonts w:ascii="Cambria Math" w:hAnsi="Cambria Math" w:cs="Times New Roman"/>
                      <w:lang w:val="pl-PL"/>
                      <w:sz w:val="18"/>
                      <w:szCs w:val="18"/>
                      <w:b/>
                      <w:bCs/>
                    </w:rPr>
                    <m:t>z</m:t>
                  </m:r>
                </m:sub>
              </m:sSub>
              <m:d>
                <m:dPr>
                  <m:ctrlPr>
                    <w:rPr>
                      <w:rFonts w:ascii="Cambria Math" w:hAnsi="Cambria Math" w:cs="Times New Roman"/>
                      <w:lang w:val="pl-PL"/>
                      <w:sz w:val="18"/>
                      <w:szCs w:val="18"/>
                      <w:b/>
                      <w:bCs/>
                    </w:rPr>
                  </m:ctrlPr>
                </m:dPr>
                <m:e>
                  <m:r>
                    <w:rPr>
                      <w:rFonts w:ascii="Cambria Math" w:hAnsi="Cambria Math" w:cs="Times New Roman"/>
                      <w:lang w:val="pl-PL"/>
                      <w:sz w:val="18"/>
                      <w:szCs w:val="18"/>
                      <w:b/>
                      <w:bCs/>
                    </w:rPr>
                    <m:t>φ</m:t>
                  </m:r>
                </m:e>
              </m:d>
            </m:oMath>
            <w:r w:rsidR="00871DB2" w:rsidRPr="0077239A">
              <w:rPr>
                <w:rFonts w:ascii="Times New Roman" w:hAnsi="Times New Roman" w:cs="Times New Roman"/>
                <w:sz w:val="18"/>
                <w:szCs w:val="18"/>
                <w:lang w:val="pl-PL"/>
                <w:b/>
                <w:bCs/>
              </w:rPr>
              <w:t xml:space="preserve"> – rotacja wokół osi </w:t>
            </w:r>
            <m:oMath>
              <m:r>
                <w:rPr>
                  <w:rFonts w:ascii="Cambria Math" w:hAnsi="Cambria Math" w:cs="Times New Roman"/>
                  <w:lang w:val="pl-PL"/>
                  <w:sz w:val="18"/>
                  <w:szCs w:val="18"/>
                  <w:b/>
                  <w:bCs/>
                </w:rPr>
                <m:t>z</m:t>
              </m:r>
            </m:oMath>
          </w:p>
        </w:tc>
        <w:tc>
          <w:tcPr>
            <w:tcW w:w="3800" w:type="dxa"/>
            <w:shd w:val="clear" w:color="auto" w:fill="F5F7FA"/>
            <w:vAlign w:val="center"/>
          </w:tcPr>
          <w:p w14:paraId="5EB20D53"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m:oMathPara>
              <m:oMath>
                <m:d>
                  <m:dPr>
                    <m:ctrlPr>
                      <w:rPr>
                        <w:rFonts w:ascii="Cambria Math" w:hAnsi="Cambria Math" w:cs="Times New Roman"/>
                        <w:sz w:val="18"/>
                        <w:szCs w:val="18"/>
                        <w:lang w:val="pl-PL"/>
                      </w:rPr>
                    </m:ctrlPr>
                  </m:dPr>
                  <m:e>
                    <m:m>
                      <m:mPr>
                        <m:plcHide m:val="1"/>
                        <m:mcs>
                          <m:mc>
                            <m:mcPr>
                              <m:count m:val="2"/>
                              <m:mcJc m:val="center"/>
                            </m:mcPr>
                          </m:mc>
                        </m:mcs>
                        <m:ctrlPr>
                          <w:rPr>
                            <w:rFonts w:ascii="Cambria Math" w:hAnsi="Cambria Math" w:cs="Times New Roman"/>
                            <w:sz w:val="18"/>
                            <w:szCs w:val="18"/>
                            <w:lang w:val="pl-PL"/>
                          </w:rPr>
                        </m:ctrlPr>
                      </m:mPr>
                      <m:mr>
                        <m:e>
                          <m:sSup>
                            <m:sSupPr>
                              <m:ctrlPr>
                                <w:rPr>
                                  <w:rFonts w:ascii="Cambria Math" w:hAnsi="Cambria Math" w:cs="Times New Roman"/>
                                  <w:sz w:val="18"/>
                                  <w:szCs w:val="18"/>
                                  <w:lang w:val="pl-PL"/>
                                </w:rPr>
                              </m:ctrlPr>
                            </m:sSupPr>
                            <m:e>
                              <m:r>
                                <w:rPr>
                                  <w:rFonts w:ascii="Cambria Math" w:hAnsi="Cambria Math" w:cs="Times New Roman"/>
                                  <w:sz w:val="18"/>
                                  <w:szCs w:val="18"/>
                                  <w:lang w:val="pl-PL"/>
                                </w:rPr>
                                <m:t>e</m:t>
                              </m:r>
                            </m:e>
                            <m:sup>
                              <m:r>
                                <m:rPr>
                                  <m:sty m:val="p"/>
                                </m:rPr>
                                <w:rPr>
                                  <w:rFonts w:ascii="Cambria Math" w:hAnsi="Cambria Math" w:cs="Times New Roman"/>
                                  <w:sz w:val="18"/>
                                  <w:szCs w:val="18"/>
                                  <w:lang w:val="pl-PL"/>
                                </w:rPr>
                                <m:t>-</m:t>
                              </m:r>
                              <m:r>
                                <w:rPr>
                                  <w:rFonts w:ascii="Cambria Math" w:hAnsi="Cambria Math" w:cs="Times New Roman"/>
                                  <w:sz w:val="18"/>
                                  <w:szCs w:val="18"/>
                                  <w:lang w:val="pl-PL"/>
                                </w:rPr>
                                <m:t>i φ</m:t>
                              </m:r>
                              <m:r>
                                <m:rPr>
                                  <m:sty m:val="p"/>
                                </m:rPr>
                                <w:rPr>
                                  <w:rFonts w:ascii="Cambria Math" w:hAnsi="Cambria Math" w:cs="Times New Roman"/>
                                  <w:sz w:val="18"/>
                                  <w:szCs w:val="18"/>
                                  <w:lang w:val="pl-PL"/>
                                </w:rPr>
                                <m:t>/</m:t>
                              </m:r>
                              <m:r>
                                <w:rPr>
                                  <w:rFonts w:ascii="Cambria Math" w:hAnsi="Cambria Math" w:cs="Times New Roman"/>
                                  <w:sz w:val="18"/>
                                  <w:szCs w:val="18"/>
                                  <w:lang w:val="pl-PL"/>
                                </w:rPr>
                                <m:t>2</m:t>
                              </m:r>
                            </m:sup>
                          </m:sSup>
                        </m:e>
                        <m:e>
                          <m:r>
                            <w:rPr>
                              <w:rFonts w:ascii="Cambria Math" w:hAnsi="Cambria Math" w:cs="Times New Roman"/>
                              <w:sz w:val="18"/>
                              <w:szCs w:val="18"/>
                              <w:lang w:val="pl-PL"/>
                            </w:rPr>
                            <m:t>0</m:t>
                          </m:r>
                        </m:e>
                      </m:mr>
                      <m:mr>
                        <m:e>
                          <m:r>
                            <w:rPr>
                              <w:rFonts w:ascii="Cambria Math" w:hAnsi="Cambria Math" w:cs="Times New Roman"/>
                              <w:sz w:val="18"/>
                              <w:szCs w:val="18"/>
                              <w:lang w:val="pl-PL"/>
                            </w:rPr>
                            <m:t>0</m:t>
                          </m:r>
                        </m:e>
                        <m:e>
                          <m:sSup>
                            <m:sSupPr>
                              <m:ctrlPr>
                                <w:rPr>
                                  <w:rFonts w:ascii="Cambria Math" w:hAnsi="Cambria Math" w:cs="Times New Roman"/>
                                  <w:sz w:val="18"/>
                                  <w:szCs w:val="18"/>
                                  <w:lang w:val="pl-PL"/>
                                </w:rPr>
                              </m:ctrlPr>
                            </m:sSupPr>
                            <m:e>
                              <m:r>
                                <w:rPr>
                                  <w:rFonts w:ascii="Cambria Math" w:hAnsi="Cambria Math" w:cs="Times New Roman"/>
                                  <w:sz w:val="18"/>
                                  <w:szCs w:val="18"/>
                                  <w:lang w:val="pl-PL"/>
                                </w:rPr>
                                <m:t>e</m:t>
                              </m:r>
                            </m:e>
                            <m:sup>
                              <m:r>
                                <w:rPr>
                                  <w:rFonts w:ascii="Cambria Math" w:hAnsi="Cambria Math" w:cs="Times New Roman"/>
                                  <w:sz w:val="18"/>
                                  <w:szCs w:val="18"/>
                                  <w:lang w:val="pl-PL"/>
                                </w:rPr>
                                <m:t>i φ</m:t>
                              </m:r>
                              <m:r>
                                <m:rPr>
                                  <m:sty m:val="p"/>
                                </m:rPr>
                                <w:rPr>
                                  <w:rFonts w:ascii="Cambria Math" w:hAnsi="Cambria Math" w:cs="Times New Roman"/>
                                  <w:sz w:val="18"/>
                                  <w:szCs w:val="18"/>
                                  <w:lang w:val="pl-PL"/>
                                </w:rPr>
                                <m:t>/</m:t>
                              </m:r>
                              <m:r>
                                <w:rPr>
                                  <w:rFonts w:ascii="Cambria Math" w:hAnsi="Cambria Math" w:cs="Times New Roman"/>
                                  <w:sz w:val="18"/>
                                  <w:szCs w:val="18"/>
                                  <w:lang w:val="pl-PL"/>
                                </w:rPr>
                                <m:t>2</m:t>
                              </m:r>
                            </m:sup>
                          </m:sSup>
                        </m:e>
                      </m:mr>
                    </m:m>
                  </m:e>
                </m:d>
              </m:oMath>
            </m:oMathPara>
          </w:p>
        </w:tc>
        <w:tc>
          <w:tcPr>
            <w:tcW w:w="5729" w:type="dxa"/>
            <w:shd w:val="clear" w:color="auto" w:fill="F5F7FA"/>
            <w:vAlign w:val="center"/>
          </w:tcPr>
          <w:p w14:paraId="6FB61413"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Rotacja fazowa; składnik parametryzowanych warstw wariacyjnych.</w:t>
            </w:r>
          </w:p>
        </w:tc>
      </w:tr>
      <w:tr w:rsidR="00871DB2" w:rsidRPr="002740CF" w14:paraId="35C0D0C9" w14:textId="77777777" w:rsidTr="00F971B5">
        <w:trPr>
          <w:jc w:val="center"/>
          <w:cantSplit/>
        </w:trPr>
        <w:tc>
          <w:tcPr>
            <w:tcW w:w="4400" w:type="dxa"/>
            <w:shd w:val="clear" w:color="auto" w:fill="FFFFFF"/>
            <w:vAlign w:val="center"/>
          </w:tcPr>
          <w:p w14:paraId="066328CC" w14:textId="77777777" w:rsidR="00871DB2" w:rsidRPr="0077239A" w:rsidRDefault="00871DB2" w:rsidP="00F971B5">
            <w:pPr>
              <w:pStyle w:val="Normal"/>
              <w:spacing w:before="0" w:after="0" w:line="240" w:lineRule="auto"/>
              <w:ind w:firstLine="0" w:left="0"/>
              <w:jc w:val="left"/>
              <w:rPr>
                <w:rFonts w:cs="Times New Roman"/>
                <w:lang w:val="pl-PL"/>
              </w:rPr>
              <w:keepNext w:val="1"/>
              <w:keepLines w:val="1"/>
            </w:pPr>
            <m:oMath>
              <m:r>
                <w:rPr>
                  <w:rFonts w:ascii="Cambria Math" w:hAnsi="Cambria Math" w:cs="Times New Roman"/>
                  <w:lang w:val="pl-PL"/>
                  <w:sz w:val="18"/>
                  <w:szCs w:val="18"/>
                  <w:b/>
                  <w:bCs/>
                </w:rPr>
                <m:t>Z</m:t>
              </m:r>
            </m:oMath>
            <w:r w:rsidRPr="0077239A">
              <w:rPr>
                <w:rFonts w:ascii="Times New Roman" w:hAnsi="Times New Roman" w:cs="Times New Roman"/>
                <w:sz w:val="18"/>
                <w:szCs w:val="18"/>
                <w:lang w:val="pl-PL"/>
                <w:b/>
                <w:bCs/>
              </w:rPr>
              <w:t xml:space="preserve"> – obserwabla Pauli-Z</w:t>
            </w:r>
          </w:p>
        </w:tc>
        <w:tc>
          <w:tcPr>
            <w:tcW w:w="3800" w:type="dxa"/>
            <w:shd w:val="clear" w:color="auto" w:fill="FFFFFF"/>
            <w:vAlign w:val="center"/>
          </w:tcPr>
          <w:p w14:paraId="2520C233"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m:oMathPara>
              <m:oMath>
                <m:d>
                  <m:dPr>
                    <m:ctrlPr>
                      <w:rPr>
                        <w:rFonts w:ascii="Cambria Math" w:hAnsi="Cambria Math" w:cs="Times New Roman"/>
                        <w:sz w:val="18"/>
                        <w:szCs w:val="18"/>
                        <w:lang w:val="pl-PL"/>
                      </w:rPr>
                    </m:ctrlPr>
                  </m:dPr>
                  <m:e>
                    <m:m>
                      <m:mPr>
                        <m:plcHide m:val="1"/>
                        <m:mcs>
                          <m:mc>
                            <m:mcPr>
                              <m:count m:val="2"/>
                              <m:mcJc m:val="center"/>
                            </m:mcPr>
                          </m:mc>
                        </m:mcs>
                        <m:ctrlPr>
                          <w:rPr>
                            <w:rFonts w:ascii="Cambria Math" w:hAnsi="Cambria Math" w:cs="Times New Roman"/>
                            <w:sz w:val="18"/>
                            <w:szCs w:val="18"/>
                            <w:lang w:val="pl-PL"/>
                          </w:rPr>
                        </m:ctrlPr>
                      </m:mPr>
                      <m:mr>
                        <m:e>
                          <m:r>
                            <w:rPr>
                              <w:rFonts w:ascii="Cambria Math" w:hAnsi="Cambria Math" w:cs="Times New Roman"/>
                              <w:sz w:val="18"/>
                              <w:szCs w:val="18"/>
                              <w:lang w:val="pl-PL"/>
                            </w:rPr>
                            <m:t>1</m:t>
                          </m:r>
                        </m:e>
                        <m:e>
                          <m:r>
                            <w:rPr>
                              <w:rFonts w:ascii="Cambria Math" w:hAnsi="Cambria Math" w:cs="Times New Roman"/>
                              <w:sz w:val="18"/>
                              <w:szCs w:val="18"/>
                              <w:lang w:val="pl-PL"/>
                            </w:rPr>
                            <m:t>0</m:t>
                          </m:r>
                        </m:e>
                      </m:mr>
                      <m:mr>
                        <m:e>
                          <m:r>
                            <w:rPr>
                              <w:rFonts w:ascii="Cambria Math" w:hAnsi="Cambria Math" w:cs="Times New Roman"/>
                              <w:sz w:val="18"/>
                              <w:szCs w:val="18"/>
                              <w:lang w:val="pl-PL"/>
                            </w:rPr>
                            <m:t>0</m:t>
                          </m:r>
                        </m:e>
                        <m:e>
                          <m:r>
                            <m:rPr>
                              <m:sty m:val="p"/>
                            </m:rPr>
                            <w:rPr>
                              <w:rFonts w:ascii="Cambria Math" w:hAnsi="Cambria Math" w:cs="Times New Roman"/>
                              <w:sz w:val="18"/>
                              <w:szCs w:val="18"/>
                              <w:lang w:val="pl-PL"/>
                            </w:rPr>
                            <m:t>-</m:t>
                          </m:r>
                          <m:r>
                            <w:rPr>
                              <w:rFonts w:ascii="Cambria Math" w:hAnsi="Cambria Math" w:cs="Times New Roman"/>
                              <w:sz w:val="18"/>
                              <w:szCs w:val="18"/>
                              <w:lang w:val="pl-PL"/>
                            </w:rPr>
                            <m:t>1</m:t>
                          </m:r>
                        </m:e>
                      </m:mr>
                    </m:m>
                  </m:e>
                </m:d>
              </m:oMath>
            </m:oMathPara>
          </w:p>
        </w:tc>
        <w:tc>
          <w:tcPr>
            <w:tcW w:w="5729" w:type="dxa"/>
            <w:shd w:val="clear" w:color="auto" w:fill="FFFFFF"/>
            <w:vAlign w:val="center"/>
          </w:tcPr>
          <w:p w14:paraId="74C6D8D2"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Obserwabla pomiarowa;</w:t>
            </w:r>
          </w:p>
          <w:p w14:paraId="0B78D645"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 xml:space="preserve">odczyt </w:t>
            </w:r>
            <w:r w:rsidRPr="00BD65CF">
              <w:rPr>
                <w:rFonts w:ascii="Times New Roman" w:hAnsi="Times New Roman" w:cs="Times New Roman"/>
                <w:sz w:val="18"/>
                <w:szCs w:val="18"/>
                <w:lang w:val="pl-PL"/>
              </w:rPr>
              <w:t>wartoś</w:t>
            </w:r>
            <w:r>
              <w:rPr>
                <w:rFonts w:ascii="Times New Roman" w:hAnsi="Times New Roman" w:cs="Times New Roman"/>
                <w:sz w:val="18"/>
                <w:szCs w:val="18"/>
                <w:lang w:val="pl-PL"/>
              </w:rPr>
              <w:t>ci</w:t>
            </w:r>
            <w:r w:rsidRPr="00BD65CF">
              <w:rPr>
                <w:rFonts w:ascii="Times New Roman" w:hAnsi="Times New Roman" w:cs="Times New Roman"/>
                <w:sz w:val="18"/>
                <w:szCs w:val="18"/>
                <w:lang w:val="pl-PL"/>
              </w:rPr>
              <w:t xml:space="preserve"> oczekiwan</w:t>
            </w:r>
            <w:r>
              <w:rPr>
                <w:rFonts w:ascii="Times New Roman" w:hAnsi="Times New Roman" w:cs="Times New Roman"/>
                <w:sz w:val="18"/>
                <w:szCs w:val="18"/>
                <w:lang w:val="pl-PL"/>
              </w:rPr>
              <w:t>ej</w:t>
            </w:r>
            <w:r w:rsidRPr="00BD65CF">
              <w:rPr>
                <w:rFonts w:ascii="Times New Roman" w:hAnsi="Times New Roman" w:cs="Times New Roman"/>
                <w:sz w:val="18"/>
                <w:szCs w:val="18"/>
                <w:lang w:val="pl-PL"/>
              </w:rPr>
              <w:t>.</w:t>
            </w:r>
          </w:p>
        </w:tc>
      </w:tr>
      <w:tr w:rsidR="00871DB2" w:rsidRPr="002740CF" w14:paraId="69867165" w14:textId="77777777" w:rsidTr="00F971B5">
        <w:trPr>
          <w:jc w:val="center"/>
          <w:cantSplit/>
        </w:trPr>
        <w:tc>
          <w:tcPr>
            <w:tcW w:w="4400" w:type="dxa"/>
            <w:shd w:val="clear" w:color="auto" w:fill="F5F7FA"/>
            <w:vAlign w:val="center"/>
          </w:tcPr>
          <w:p w14:paraId="41167FF1" w14:textId="77777777" w:rsidR="00871DB2" w:rsidRPr="0077239A"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b/>
                <w:bCs/>
              </w:rPr>
              <w:t>CRX(φ) – kontrolowana rotacja wokół osi x</w:t>
            </w:r>
          </w:p>
        </w:tc>
        <w:tc>
          <w:tcPr>
            <w:tcW w:w="3800" w:type="dxa"/>
            <w:shd w:val="clear" w:color="auto" w:fill="F5F7FA"/>
            <w:vAlign w:val="center"/>
          </w:tcPr>
          <w:p w14:paraId="173720FC" w14:textId="77777777" w:rsidR="00871DB2" w:rsidRPr="00BD65CF" w:rsidRDefault="00000000" w:rsidP="00F971B5">
            <w:pPr>
              <w:pStyle w:val="Normal"/>
              <w:spacing w:before="0" w:after="0" w:line="240" w:lineRule="auto"/>
              <w:ind w:firstLine="0" w:left="0"/>
              <w:jc w:val="left"/>
              <w:rPr>
                <w:rFonts w:cs="Times New Roman"/>
                <w:sz w:val="20"/>
                <w:szCs w:val="20"/>
                <w:lang w:val="pl-PL"/>
              </w:rPr>
              <w:keepNext w:val="1"/>
              <w:keepLines w:val="1"/>
            </w:pPr>
            <w:r>
              <w:rPr>
                <w:rFonts w:ascii="Times New Roman" w:hAnsi="Times New Roman" w:cs="Times New Roman"/>
                <w:sz w:val="18"/>
                <w:szCs w:val="18"/>
                <w:lang w:val="pl-PL"/>
              </w:rPr>
              <w:t>CRX(φ) = |0⟩⟨0|⊗I + |1⟩⟨1|⊗</w:t>
            </w:r>
            <m:oMath>
              <m:sSub>
                <m:e>
                  <m:r>
                    <w:rPr>
                      <w:rFonts w:ascii="Cambria Math" w:hAnsi="Cambria Math" w:cs="Cambria Math"/>
                      <w:sz w:val="18"/>
                      <w:szCs w:val="18"/>
                    </w:rPr>
                    <m:t>R</m:t>
                  </m:r>
                </m:e>
                <m:sub>
                  <m:r>
                    <m:rPr>
                      <m:sty m:val="p"/>
                    </m:rPr>
                    <w:rPr>
                      <w:rFonts w:ascii="Cambria Math" w:hAnsi="Cambria Math" w:cs="Cambria Math"/>
                      <w:sz w:val="18"/>
                      <w:szCs w:val="18"/>
                    </w:rPr>
                    <m:t>x</m:t>
                  </m:r>
                </m:sub>
              </m:sSub>
              <m:r>
                <w:rPr>
                  <w:rFonts w:ascii="Cambria Math" w:hAnsi="Cambria Math" w:cs="Cambria Math"/>
                  <w:sz w:val="18"/>
                  <w:szCs w:val="18"/>
                </w:rPr>
                <m:t>(φ)</m:t>
              </m:r>
            </m:oMath>
          </w:p>
        </w:tc>
        <w:tc>
          <w:tcPr>
            <w:tcW w:w="5729" w:type="dxa"/>
            <w:shd w:val="clear" w:color="auto" w:fill="F5F7FA"/>
            <w:vAlign w:val="center"/>
          </w:tcPr>
          <w:p w14:paraId="38F9349F"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Parametryzowana bramka dwukubitowa; łączy interakcję z uczonym kątem.</w:t>
            </w:r>
          </w:p>
        </w:tc>
      </w:tr>
      <w:tr w:rsidR="00871DB2" w:rsidRPr="002740CF" w14:paraId="2EA9BB86" w14:textId="77777777" w:rsidTr="00F971B5">
        <w:trPr>
          <w:jc w:val="center"/>
          <w:cantSplit/>
        </w:trPr>
        <w:tc>
          <w:tcPr>
            <w:tcW w:w="4400" w:type="dxa"/>
            <w:shd w:val="clear" w:color="auto" w:fill="FFFFFF"/>
            <w:vAlign w:val="center"/>
          </w:tcPr>
          <w:p w14:paraId="65B91ECF" w14:textId="77777777" w:rsidR="00871DB2" w:rsidRPr="0077239A" w:rsidRDefault="00871DB2" w:rsidP="00F971B5">
            <w:pPr>
              <w:pStyle w:val="Normal"/>
              <w:spacing w:before="0" w:after="0" w:line="240" w:lineRule="auto"/>
              <w:ind w:firstLine="0" w:left="0"/>
              <w:jc w:val="left"/>
              <w:rPr>
                <w:rFonts w:cs="Times New Roman"/>
                <w:lang w:val="pl-PL"/>
              </w:rPr>
              <w:keepNext w:val="1"/>
              <w:keepLines w:val="1"/>
            </w:pPr>
            <w:r w:rsidRPr="0077239A">
              <w:rPr>
                <w:rFonts w:ascii="Times New Roman" w:hAnsi="Times New Roman" w:cs="Times New Roman"/>
                <w:sz w:val="18"/>
                <w:szCs w:val="18"/>
                <w:lang w:val="pl-PL"/>
                <w:b/>
                <w:bCs/>
              </w:rPr>
              <w:t>CNOT/CX – kontrolowana negacja</w:t>
            </w:r>
          </w:p>
        </w:tc>
        <w:tc>
          <w:tcPr>
            <w:tcW w:w="3800" w:type="dxa"/>
            <w:shd w:val="clear" w:color="auto" w:fill="FFFFFF"/>
            <w:vAlign w:val="center"/>
          </w:tcPr>
          <w:p w14:paraId="09DFD35A" w14:textId="77777777" w:rsidR="00871DB2" w:rsidRPr="00BD65CF" w:rsidRDefault="00871DB2" w:rsidP="00F971B5">
            <w:pPr>
              <w:pStyle w:val="Normal"/>
              <w:spacing w:before="0" w:after="0" w:line="240" w:lineRule="auto"/>
              <w:ind w:firstLine="0" w:left="0"/>
              <w:jc w:val="left"/>
              <w:rPr>
                <w:rFonts w:cs="Times New Roman"/>
                <w:sz w:val="20"/>
                <w:szCs w:val="20"/>
                <w:lang w:val="pl-PL"/>
              </w:rPr>
              <w:keepNext w:val="1"/>
              <w:keepLines w:val="1"/>
            </w:pPr>
            <m:oMathPara>
              <m:oMath>
                <m:r>
                  <m:rPr>
                    <m:sty m:val="p"/>
                  </m:rPr>
                  <w:rPr>
                    <w:rFonts w:ascii="Cambria Math" w:hAnsi="Cambria Math" w:cs="Times New Roman"/>
                    <w:sz w:val="18"/>
                    <w:szCs w:val="18"/>
                    <w:lang w:val="pl-PL"/>
                  </w:rPr>
                  <m:t>CNOT</m:t>
                </m:r>
                <m:d>
                  <m:dPr>
                    <m:begChr m:val="|"/>
                    <m:endChr m:val="⟩"/>
                    <m:ctrlPr>
                      <w:rPr>
                        <w:rFonts w:ascii="Cambria Math" w:hAnsi="Cambria Math" w:cs="Times New Roman"/>
                        <w:sz w:val="18"/>
                        <w:szCs w:val="18"/>
                        <w:lang w:val="pl-PL"/>
                      </w:rPr>
                    </m:ctrlPr>
                  </m:dPr>
                  <m:e>
                    <m:r>
                      <w:rPr>
                        <w:rFonts w:ascii="Cambria Math" w:hAnsi="Cambria Math" w:cs="Times New Roman"/>
                        <w:sz w:val="18"/>
                        <w:szCs w:val="18"/>
                        <w:lang w:val="pl-PL"/>
                      </w:rPr>
                      <m:t>a</m:t>
                    </m:r>
                    <m:r>
                      <m:rPr>
                        <m:sty m:val="p"/>
                      </m:rPr>
                      <w:rPr>
                        <w:rFonts w:ascii="Cambria Math" w:hAnsi="Cambria Math" w:cs="Times New Roman"/>
                        <w:sz w:val="18"/>
                        <w:szCs w:val="18"/>
                        <w:lang w:val="pl-PL"/>
                      </w:rPr>
                      <m:t>,</m:t>
                    </m:r>
                    <m:r>
                      <w:rPr>
                        <w:rFonts w:ascii="Cambria Math" w:hAnsi="Cambria Math" w:cs="Times New Roman"/>
                        <w:sz w:val="18"/>
                        <w:szCs w:val="18"/>
                        <w:lang w:val="pl-PL"/>
                      </w:rPr>
                      <m:t>b</m:t>
                    </m:r>
                  </m:e>
                </m:d>
                <m:r>
                  <m:rPr>
                    <m:sty m:val="p"/>
                  </m:rPr>
                  <w:rPr>
                    <w:rFonts w:ascii="Cambria Math" w:hAnsi="Cambria Math" w:cs="Times New Roman"/>
                    <w:sz w:val="18"/>
                    <w:szCs w:val="18"/>
                    <w:lang w:val="pl-PL"/>
                  </w:rPr>
                  <m:t>=</m:t>
                </m:r>
                <m:d>
                  <m:dPr>
                    <m:begChr m:val="|"/>
                    <m:endChr m:val="⟩"/>
                    <m:ctrlPr>
                      <w:rPr>
                        <w:rFonts w:ascii="Cambria Math" w:hAnsi="Cambria Math" w:cs="Times New Roman"/>
                        <w:sz w:val="18"/>
                        <w:szCs w:val="18"/>
                        <w:lang w:val="pl-PL"/>
                      </w:rPr>
                    </m:ctrlPr>
                  </m:dPr>
                  <m:e>
                    <m:r>
                      <w:rPr>
                        <w:rFonts w:ascii="Cambria Math" w:hAnsi="Cambria Math" w:cs="Times New Roman"/>
                        <w:sz w:val="18"/>
                        <w:szCs w:val="18"/>
                        <w:lang w:val="pl-PL"/>
                      </w:rPr>
                      <m:t>a</m:t>
                    </m:r>
                    <m:r>
                      <m:rPr>
                        <m:sty m:val="p"/>
                      </m:rPr>
                      <w:rPr>
                        <w:rFonts w:ascii="Cambria Math" w:hAnsi="Cambria Math" w:cs="Times New Roman"/>
                        <w:sz w:val="18"/>
                        <w:szCs w:val="18"/>
                        <w:lang w:val="pl-PL"/>
                      </w:rPr>
                      <m:t>,</m:t>
                    </m:r>
                    <m:r>
                      <w:rPr>
                        <w:rFonts w:ascii="Cambria Math" w:hAnsi="Cambria Math" w:cs="Times New Roman"/>
                        <w:sz w:val="18"/>
                        <w:szCs w:val="18"/>
                        <w:lang w:val="pl-PL"/>
                      </w:rPr>
                      <m:t>a</m:t>
                    </m:r>
                    <m:r>
                      <m:rPr>
                        <m:sty m:val="p"/>
                      </m:rPr>
                      <w:rPr>
                        <w:rFonts w:ascii="Cambria Math" w:hAnsi="Cambria Math" w:cs="Times New Roman"/>
                        <w:sz w:val="18"/>
                        <w:szCs w:val="18"/>
                        <w:lang w:val="pl-PL"/>
                      </w:rPr>
                      <m:t>⊕</m:t>
                    </m:r>
                    <m:r>
                      <w:rPr>
                        <w:rFonts w:ascii="Cambria Math" w:hAnsi="Cambria Math" w:cs="Times New Roman"/>
                        <w:sz w:val="18"/>
                        <w:szCs w:val="18"/>
                        <w:lang w:val="pl-PL"/>
                      </w:rPr>
                      <m:t>b</m:t>
                    </m:r>
                  </m:e>
                </m:d>
              </m:oMath>
            </m:oMathPara>
          </w:p>
        </w:tc>
        <w:tc>
          <w:tcPr>
            <w:tcW w:w="5729" w:type="dxa"/>
            <w:shd w:val="clear" w:color="auto" w:fill="FFFFFF"/>
            <w:vAlign w:val="center"/>
          </w:tcPr>
          <w:p w14:paraId="6ABBE99A"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Operacja dwukubitowa; może wytwarzać splątanie i korelacje zależnie od stanu wejściowego.</w:t>
            </w:r>
          </w:p>
        </w:tc>
      </w:tr>
      <w:tr w:rsidR="00871DB2" w:rsidRPr="002740CF" w14:paraId="55CF9319" w14:textId="77777777" w:rsidTr="00F971B5">
        <w:trPr>
          <w:jc w:val="center"/>
          <w:cantSplit/>
        </w:trPr>
        <w:tc>
          <w:tcPr>
            <w:tcW w:w="4400" w:type="dxa"/>
            <w:shd w:val="clear" w:color="auto" w:fill="F5F7FA"/>
            <w:vAlign w:val="center"/>
          </w:tcPr>
          <w:p w14:paraId="408BE157" w14:textId="77777777" w:rsidR="00871DB2" w:rsidRPr="0077239A" w:rsidRDefault="00871DB2" w:rsidP="00F971B5">
            <w:pPr>
              <w:pStyle w:val="Normal"/>
              <w:spacing w:before="0" w:after="0" w:line="240" w:lineRule="auto"/>
              <w:ind w:firstLine="0" w:left="0"/>
              <w:jc w:val="left"/>
              <w:rPr>
                <w:rFonts w:cs="Times New Roman"/>
                <w:lang w:val="pl-PL"/>
              </w:rPr>
              <w:keepNext w:val="1"/>
              <w:keepLines w:val="1"/>
            </w:pPr>
            <w:r w:rsidRPr="0077239A">
              <w:rPr>
                <w:rFonts w:ascii="Times New Roman" w:hAnsi="Times New Roman" w:cs="Times New Roman"/>
                <w:sz w:val="18"/>
                <w:szCs w:val="18"/>
                <w:lang w:val="pl-PL"/>
                <w:b/>
                <w:bCs/>
              </w:rPr>
              <w:t>CZ – kontrolowana faza Z</w:t>
            </w:r>
          </w:p>
        </w:tc>
        <w:tc>
          <w:tcPr>
            <w:tcW w:w="3800" w:type="dxa"/>
            <w:shd w:val="clear" w:color="auto" w:fill="F5F7FA"/>
            <w:vAlign w:val="center"/>
          </w:tcPr>
          <w:p w14:paraId="5150A264" w14:textId="77777777" w:rsidR="00871DB2" w:rsidRPr="00BD65CF" w:rsidRDefault="00871DB2" w:rsidP="00F971B5">
            <w:pPr>
              <w:pStyle w:val="Normal"/>
              <w:spacing w:before="0" w:after="0" w:line="240" w:lineRule="auto"/>
              <w:ind w:firstLine="0" w:left="0"/>
              <w:jc w:val="left"/>
              <w:rPr>
                <w:rFonts w:cs="Times New Roman"/>
                <w:sz w:val="20"/>
                <w:szCs w:val="20"/>
                <w:lang w:val="pl-PL"/>
              </w:rPr>
              <w:keepNext w:val="1"/>
              <w:keepLines w:val="1"/>
            </w:pPr>
            <m:oMathPara>
              <m:oMath>
                <m:r>
                  <m:rPr>
                    <m:sty m:val="p"/>
                  </m:rPr>
                  <w:rPr>
                    <w:rFonts w:ascii="Cambria Math" w:hAnsi="Cambria Math" w:cs="Times New Roman"/>
                    <w:sz w:val="18"/>
                    <w:szCs w:val="18"/>
                    <w:lang w:val="pl-PL"/>
                  </w:rPr>
                  <m:t>CZ</m:t>
                </m:r>
                <m:d>
                  <m:dPr>
                    <m:begChr m:val="|"/>
                    <m:endChr m:val="⟩"/>
                    <m:ctrlPr>
                      <w:rPr>
                        <w:rFonts w:ascii="Cambria Math" w:hAnsi="Cambria Math" w:cs="Times New Roman"/>
                        <w:sz w:val="18"/>
                        <w:szCs w:val="18"/>
                        <w:lang w:val="pl-PL"/>
                      </w:rPr>
                    </m:ctrlPr>
                  </m:dPr>
                  <m:e>
                    <m:r>
                      <w:rPr>
                        <w:rFonts w:ascii="Cambria Math" w:hAnsi="Cambria Math" w:cs="Times New Roman"/>
                        <w:sz w:val="18"/>
                        <w:szCs w:val="18"/>
                        <w:lang w:val="pl-PL"/>
                      </w:rPr>
                      <m:t>a</m:t>
                    </m:r>
                    <m:r>
                      <m:rPr>
                        <m:sty m:val="p"/>
                      </m:rPr>
                      <w:rPr>
                        <w:rFonts w:ascii="Cambria Math" w:hAnsi="Cambria Math" w:cs="Times New Roman"/>
                        <w:sz w:val="18"/>
                        <w:szCs w:val="18"/>
                        <w:lang w:val="pl-PL"/>
                      </w:rPr>
                      <m:t>,</m:t>
                    </m:r>
                    <m:r>
                      <w:rPr>
                        <w:rFonts w:ascii="Cambria Math" w:hAnsi="Cambria Math" w:cs="Times New Roman"/>
                        <w:sz w:val="18"/>
                        <w:szCs w:val="18"/>
                        <w:lang w:val="pl-PL"/>
                      </w:rPr>
                      <m:t>b</m:t>
                    </m:r>
                  </m:e>
                </m:d>
                <m:r>
                  <m:rPr>
                    <m:sty m:val="p"/>
                  </m:rPr>
                  <w:rPr>
                    <w:rFonts w:ascii="Cambria Math" w:hAnsi="Cambria Math" w:cs="Times New Roman"/>
                    <w:sz w:val="18"/>
                    <w:szCs w:val="18"/>
                    <w:lang w:val="pl-PL"/>
                  </w:rPr>
                  <m:t>=</m:t>
                </m:r>
                <m:sSup>
                  <m:sSupPr>
                    <m:ctrlPr>
                      <w:rPr>
                        <w:rFonts w:ascii="Cambria Math" w:hAnsi="Cambria Math" w:cs="Times New Roman"/>
                        <w:sz w:val="18"/>
                        <w:szCs w:val="18"/>
                        <w:lang w:val="pl-PL"/>
                      </w:rPr>
                    </m:ctrlPr>
                  </m:sSupPr>
                  <m:e>
                    <m:r>
                      <w:rPr>
                        <w:rFonts w:ascii="Cambria Math" w:hAnsi="Cambria Math" w:cs="Times New Roman"/>
                        <w:sz w:val="18"/>
                        <w:szCs w:val="18"/>
                        <w:lang w:val="pl-PL"/>
                      </w:rPr>
                      <m:t>(</m:t>
                    </m:r>
                    <m:r>
                      <m:rPr>
                        <m:sty m:val="p"/>
                      </m:rPr>
                      <w:rPr>
                        <w:rFonts w:ascii="Cambria Math" w:hAnsi="Cambria Math" w:cs="Times New Roman"/>
                        <w:sz w:val="18"/>
                        <w:szCs w:val="18"/>
                        <w:lang w:val="pl-PL"/>
                      </w:rPr>
                      <m:t>-</m:t>
                    </m:r>
                    <m:r>
                      <w:rPr>
                        <w:rFonts w:ascii="Cambria Math" w:hAnsi="Cambria Math" w:cs="Times New Roman"/>
                        <w:sz w:val="18"/>
                        <w:szCs w:val="18"/>
                        <w:lang w:val="pl-PL"/>
                      </w:rPr>
                      <m:t>1)</m:t>
                    </m:r>
                  </m:e>
                  <m:sup>
                    <m:r>
                      <w:rPr>
                        <w:rFonts w:ascii="Cambria Math" w:hAnsi="Cambria Math" w:cs="Times New Roman"/>
                        <w:sz w:val="18"/>
                        <w:szCs w:val="18"/>
                        <w:lang w:val="pl-PL"/>
                      </w:rPr>
                      <m:t>ab</m:t>
                    </m:r>
                  </m:sup>
                </m:sSup>
                <m:d>
                  <m:dPr>
                    <m:begChr m:val="|"/>
                    <m:endChr m:val="⟩"/>
                    <m:ctrlPr>
                      <w:rPr>
                        <w:rFonts w:ascii="Cambria Math" w:hAnsi="Cambria Math" w:cs="Times New Roman"/>
                        <w:sz w:val="18"/>
                        <w:szCs w:val="18"/>
                        <w:lang w:val="pl-PL"/>
                      </w:rPr>
                    </m:ctrlPr>
                  </m:dPr>
                  <m:e>
                    <m:r>
                      <w:rPr>
                        <w:rFonts w:ascii="Cambria Math" w:hAnsi="Cambria Math" w:cs="Times New Roman"/>
                        <w:sz w:val="18"/>
                        <w:szCs w:val="18"/>
                        <w:lang w:val="pl-PL"/>
                      </w:rPr>
                      <m:t>a</m:t>
                    </m:r>
                    <m:r>
                      <m:rPr>
                        <m:sty m:val="p"/>
                      </m:rPr>
                      <w:rPr>
                        <w:rFonts w:ascii="Cambria Math" w:hAnsi="Cambria Math" w:cs="Times New Roman"/>
                        <w:sz w:val="18"/>
                        <w:szCs w:val="18"/>
                        <w:lang w:val="pl-PL"/>
                      </w:rPr>
                      <m:t>,</m:t>
                    </m:r>
                    <m:r>
                      <w:rPr>
                        <w:rFonts w:ascii="Cambria Math" w:hAnsi="Cambria Math" w:cs="Times New Roman"/>
                        <w:sz w:val="18"/>
                        <w:szCs w:val="18"/>
                        <w:lang w:val="pl-PL"/>
                      </w:rPr>
                      <m:t>b</m:t>
                    </m:r>
                  </m:e>
                </m:d>
              </m:oMath>
            </m:oMathPara>
          </w:p>
        </w:tc>
        <w:tc>
          <w:tcPr>
            <w:tcW w:w="5729" w:type="dxa"/>
            <w:shd w:val="clear" w:color="auto" w:fill="F5F7FA"/>
            <w:vAlign w:val="center"/>
          </w:tcPr>
          <w:p w14:paraId="1D72C3BA" w14:textId="77777777" w:rsidR="00871DB2" w:rsidRPr="00BD65CF" w:rsidRDefault="00871DB2" w:rsidP="00F971B5">
            <w:pPr>
              <w:pStyle w:val="Normal"/>
              <w:spacing w:before="0" w:after="0" w:line="240" w:lineRule="auto"/>
              <w:ind w:firstLine="0" w:left="0"/>
              <w:jc w:val="left"/>
              <w:rPr>
                <w:rFonts w:cs="Times New Roman"/>
                <w:lang w:val="pl-PL"/>
              </w:rPr>
              <w:keepNext w:val="1"/>
              <w:keepLines w:val="1"/>
            </w:pPr>
            <w:r>
              <w:rPr>
                <w:rFonts w:ascii="Times New Roman" w:hAnsi="Times New Roman" w:cs="Times New Roman"/>
                <w:sz w:val="18"/>
                <w:szCs w:val="18"/>
                <w:lang w:val="pl-PL"/>
              </w:rPr>
              <w:t>Kontrolowana faza; może wytwarzać splątanie i zależności fazowe zależnie od stanu wejściowego.</w:t>
            </w:r>
          </w:p>
        </w:tc>
      </w:tr>
    </w:tbl>
    <w:p w14:paraId="174B095D" w14:textId="77777777" w:rsidR="00871DB2" w:rsidRPr="00DA2192" w:rsidRDefault="00871DB2" w:rsidP="00871DB2">
      <w:pPr>
        <w:pStyle w:val="Normal"/>
        <w:spacing w:before="40" w:after="120" w:line="240" w:lineRule="auto"/>
        <w:rPr>
          <w:rFonts w:cs="Times New Roman"/>
          <w:sz w:val="20"/>
          <w:szCs w:val="20"/>
        </w:rPr>
        <w:jc w:val="left"/>
        <w:ind w:left="0" w:firstLine="0"/>
        <w:keepLines w:val="1"/>
      </w:pPr>
      <w:r>
        <w:rPr>
          <w:rFonts w:ascii="Times New Roman" w:hAnsi="Times New Roman" w:cs="Times New Roman"/>
          <w:sz w:val="18"/>
          <w:szCs w:val="18"/>
          <w:lang w:val="pl-PL"/>
          <w:i/>
          <w:iCs/>
        </w:rPr>
        <w:t>Źródło: opracowanie własne na podstawie: E.F. Combarro, S. González-Castillo, A Practical Guide to Quantum Machine Learning and Quantum Optimization. Hands-on Approach to Modern Quantum Algorithms, Packt Publishing, Birmingham–Mumbai 2023, s. 16–22, 28–35; PennyLane, Rot — Arbitrary Single-Qubit Rotation, dokumentacja PennyLane, https://docs.pennylane.ai/en/stable/code/api/pennylane.Rot.html (dostęp: 25.08.2026).</w:t>
      </w:r>
    </w:p>
    <w:p w14:paraId="042FD7D6" w14:textId="0A9E7581" w:rsidR="00FA60D6" w:rsidRPr="00871DB2" w:rsidRDefault="00FA60D6">
      <w:pPr>
        <w:spacing w:after="0" w:line="240" w:lineRule="auto" w:before="0"/>
        <w:rPr>
          <w:rFonts w:cs="Times New Roman"/>
          <w:b/>
          <w:bCs/>
          <w:color w:val="4F81BD" w:themeColor="accent1"/>
          <w:szCs w:val="24"/>
        </w:rPr>
        <w:sectPr w:rsidR="00FA60D6" w:rsidRPr="00871DB2" w:rsidSect="00FA60D6">
          <w:pgSz w:w="16838" w:h="11906" w:orient="landscape"/>
          <w:pgMar w:top="1417" w:right="1417" w:bottom="1417" w:left="1417" w:header="709" w:footer="709" w:gutter="0"/>
          <w:cols w:space="720"/>
          <w:docGrid w:linePitch="360"/>
        </w:sectPr>
        <w:ind w:left="0" w:firstLine="0"/>
      </w:pPr>
    </w:p>
    <w:p w14:paraId="3012798A" w14:textId="31EFEF60" w:rsidR="00336E1F" w:rsidRPr="00344444" w:rsidRDefault="004755E8" w:rsidP="00693EA5">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Parametryzowany obwód kwantowy (ang. Parameterized Quantum Circuit, PQC) jest obwodem złożonym z bramek stałych oraz bramek zależnych od uczonych parametrów</w:t>
      </w:r>
      <w:r>
        <w:rPr>
          <w:rStyle w:val="FootnoteReference"/>
        </w:rPr>
        <w:footnoteReference w:id="17"/>
      </w:r>
      <w:r>
        <w:rPr>
          <w:rFonts w:ascii="Times New Roman" w:hAnsi="Times New Roman" w:cs="Times New Roman"/>
          <w:lang w:val="pl-PL"/>
        </w:rPr>
        <w:t xml:space="preserve">. Parametryzowaną strukturę łączącą rotacje jednokubitowe z operacjami wielokubitowymi określa się jako ansatz. Jego głębokość, topologia połączeń, zbiór bramek i liczba parametrów współokreślają klasę funkcji reprezentowanych przez model, koszt wykonania oraz podatność na trudności optymalizacyjne. Przykładowe klasy ansatzu obejmują trójparametrowe rotacje lokalne Rot(φ, θ, ω) połączone ze stałymi bramkami CNOT w topologii pierścieniowej, rotacje </w:t>
      </w:r>
      <m:oMath>
        <m:sSub>
          <m:e>
            <m:r>
              <w:rPr>
                <w:rFonts w:ascii="Cambria Math" w:hAnsi="Cambria Math" w:cs="Cambria Math"/>
                <w:sz w:val="24"/>
                <w:szCs w:val="24"/>
              </w:rPr>
              <m:t>R</m:t>
            </m:r>
          </m:e>
          <m:sub>
            <m:r>
              <m:rPr>
                <m:sty m:val="p"/>
              </m:rPr>
              <w:rPr>
                <w:rFonts w:ascii="Cambria Math" w:hAnsi="Cambria Math" w:cs="Cambria Math"/>
                <w:sz w:val="24"/>
                <w:szCs w:val="24"/>
              </w:rPr>
              <m:t>y</m:t>
            </m:r>
          </m:sub>
        </m:sSub>
      </m:oMath>
      <w:r>
        <w:rPr>
          <w:rFonts w:ascii="Times New Roman" w:hAnsi="Times New Roman" w:cs="Times New Roman"/>
          <w:lang w:val="pl-PL"/>
        </w:rPr>
        <w:t xml:space="preserve"> i </w:t>
      </w:r>
      <m:oMath>
        <m:sSub>
          <m:e>
            <m:r>
              <w:rPr>
                <w:rFonts w:ascii="Cambria Math" w:hAnsi="Cambria Math" w:cs="Cambria Math"/>
                <w:sz w:val="24"/>
                <w:szCs w:val="24"/>
              </w:rPr>
              <m:t>R</m:t>
            </m:r>
          </m:e>
          <m:sub>
            <m:r>
              <m:rPr>
                <m:sty m:val="p"/>
              </m:rPr>
              <w:rPr>
                <w:rFonts w:ascii="Cambria Math" w:hAnsi="Cambria Math" w:cs="Cambria Math"/>
                <w:sz w:val="24"/>
                <w:szCs w:val="24"/>
              </w:rPr>
              <m:t>z</m:t>
            </m:r>
          </m:sub>
        </m:sSub>
      </m:oMath>
      <w:r>
        <w:rPr>
          <w:rFonts w:ascii="Times New Roman" w:hAnsi="Times New Roman" w:cs="Times New Roman"/>
          <w:lang w:val="pl-PL"/>
        </w:rPr>
        <w:t xml:space="preserve"> ze stałymi bramkami CZ w naprzemiennym układzie cegiełkowym oraz rotacje </w:t>
      </w:r>
      <m:oMath>
        <m:sSub>
          <m:e>
            <m:r>
              <w:rPr>
                <w:rFonts w:ascii="Cambria Math" w:hAnsi="Cambria Math" w:cs="Cambria Math"/>
                <w:sz w:val="24"/>
                <w:szCs w:val="24"/>
              </w:rPr>
              <m:t>R</m:t>
            </m:r>
          </m:e>
          <m:sub>
            <m:r>
              <m:rPr>
                <m:sty m:val="p"/>
              </m:rPr>
              <w:rPr>
                <w:rFonts w:ascii="Cambria Math" w:hAnsi="Cambria Math" w:cs="Cambria Math"/>
                <w:sz w:val="24"/>
                <w:szCs w:val="24"/>
              </w:rPr>
              <m:t>y</m:t>
            </m:r>
          </m:sub>
        </m:sSub>
      </m:oMath>
      <w:r>
        <w:rPr>
          <w:rFonts w:ascii="Times New Roman" w:hAnsi="Times New Roman" w:cs="Times New Roman"/>
          <w:lang w:val="pl-PL"/>
        </w:rPr>
        <w:t xml:space="preserve"> z parametryzowanymi bramkami CRX w topologii pierścieniowej. Struktury te różnią się jednocześnie parametryzacją lokalną, rodzajem operacji dwukubitowej, topologią i liczbą parametrów, dlatego różnicy ich jakości nie można interpretować jako izolowanego efektu pojedynczej bramki ani samej obecności splątania.</w:t>
      </w:r>
    </w:p>
    <w:p w14:paraId="01313406" w14:textId="49EDDD29" w:rsidR="00392B88" w:rsidRDefault="00693EA5" w:rsidP="00392B88">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Wariacyjne algorytmy kwantowe (ang. Variational Quantum Algorithms, VQA) są klasą algorytmów hybrydowych, w których parametryzowany obwód wykonuje część kwantową, natomiast komponent klasyczny oblicza funkcję kosztu i aktualizuje parametry</w:t>
      </w:r>
      <w:r>
        <w:rPr>
          <w:rStyle w:val="FootnoteReference"/>
        </w:rPr>
        <w:footnoteReference w:id="18"/>
      </w:r>
      <w:r>
        <w:rPr>
          <w:rFonts w:ascii="Times New Roman" w:hAnsi="Times New Roman" w:cs="Times New Roman"/>
          <w:lang w:val="pl-PL"/>
        </w:rPr>
        <w:t>. Wartości oczekiwane obwodu, obliczone analitycznie albo estymowane na podstawie pomiarów, zasilają klasyczną część pętli optymalizacyjnej. Parametry rdzenia kwantowego i klasycznej warstwy wyjściowej mogą być aktualizowane wspólnie względem klasycznej funkcji straty w ramach jednego różniczkowalnego modelu. Pochodne wartości oczekiwanych można wyznaczać między innymi za pomocą reguły przesunięcia parametrów, realizowanej przez kolejne wykonania obwodu dla przesuniętych wartości parametrów</w:t>
      </w:r>
      <w:r>
        <w:rPr>
          <w:rStyle w:val="FootnoteReference"/>
        </w:rPr>
        <w:footnoteReference w:id="19"/>
      </w:r>
      <w:r>
        <w:rPr>
          <w:rFonts w:ascii="Times New Roman" w:hAnsi="Times New Roman" w:cs="Times New Roman"/>
          <w:lang w:val="pl-PL"/>
        </w:rPr>
        <w:t>. W symulatorze wektora stanu możliwe jest również różniczkowanie metodą sprzężoną (ang. adjoint differentiation), wykorzystujące dostęp do pełnego stanu i odwrócone przejście przez sekwencję bramek</w:t>
      </w:r>
      <w:r>
        <w:rPr>
          <w:rStyle w:val="FootnoteReference"/>
        </w:rPr>
        <w:footnoteReference w:id="20"/>
      </w:r>
      <w:r>
        <w:rPr>
          <w:rFonts w:ascii="Times New Roman" w:hAnsi="Times New Roman" w:cs="Times New Roman"/>
          <w:lang w:val="pl-PL"/>
        </w:rPr>
        <w:t>. Metoda ta może obniżyć koszt klasycznej symulacji, ale nie odzwierciedla kosztu wyznaczania gradientów na rzeczywistym urządzeniu kwantowym.</w:t>
      </w:r>
    </w:p>
    <w:p w14:paraId="69199D69" w14:textId="420E803D" w:rsidR="00FB5894" w:rsidRDefault="00FB5894" w:rsidP="00367FAD">
      <w:pPr>
        <w:pStyle w:val="Normal"/>
        <w:spacing w:after="0" w:before="0" w:line="360" w:lineRule="auto"/>
        <w:ind w:firstLine="709" w:left="0"/>
        <w:jc w:val="both"/>
        <w:rPr>
          <w:rFonts w:cs="Times New Roman"/>
          <w:szCs w:val="24"/>
          <w:lang w:val="pl-PL"/>
        </w:rPr>
      </w:pPr>
      <w:r>
        <w:t>Pojęcie „kwantowa sieć neuronowa” (ang. Quantum Neural Network, QNN) nie ma jednej, powszechnie przyjętej definicji. W ujęciu obwodowym QNN można traktować jako podklasę wariacyjnych algorytmów kwantowych, zbudowaną z obwodów zawierających parametryzowane operacje bramkowe</w:t>
      </w:r>
      <w:r>
        <w:rPr>
          <w:rStyle w:val="FootnoteReference"/>
        </w:rPr>
        <w:footnoteReference w:id="21"/>
      </w:r>
      <w:r>
        <w:t>. Dane wejściowe są kodowane do stanu kwantowego, przetwarzane przez ansatz, a wyniki pomiarów są dalej przekształcane klasycznie w predykcję. QNN nie jest bezpośrednim odpowiednikiem klasycznego MLP: podobieństwo dotyczy obecności uczonych parametrów i iteracyjnego treningu, natomiast reprezentacja oraz przekształcenie sygnału wynikają z ewolucji stanu, pomiaru i pętli kwantowo-klasycznej</w:t>
      </w:r>
      <w:r>
        <w:rPr>
          <w:rStyle w:val="FootnoteReference"/>
        </w:rPr>
        <w:footnoteReference w:id="22"/>
      </w:r>
      <w:r>
        <w:t>.</w:t>
      </w:r>
    </w:p>
    <w:p w14:paraId="4C05A26C" w14:textId="41CF2FF8" w:rsidR="00B4582B" w:rsidRDefault="00B4582B" w:rsidP="00367FAD">
      <w:pPr>
        <w:pStyle w:val="Normal"/>
        <w:spacing w:after="0" w:before="0" w:line="360" w:lineRule="auto"/>
        <w:ind w:firstLine="709" w:left="0"/>
        <w:jc w:val="both"/>
        <w:rPr>
          <w:rFonts w:cs="Times New Roman"/>
          <w:szCs w:val="24"/>
          <w:lang w:val="pl-PL"/>
        </w:rPr>
      </w:pPr>
      <w:r>
        <w:t>Wariacyjny klasyfikator kwantowy (ang. Variational Quantum Classifier, VQC) jest modelem uczenia nadzorowanego, w którym parametryzowany obwód kwantowy uczestniczy w wyznaczaniu wyniku klasyfikacyjnego</w:t>
      </w:r>
      <w:r>
        <w:rPr>
          <w:rStyle w:val="FootnoteReference"/>
        </w:rPr>
        <w:footnoteReference w:id="23"/>
      </w:r>
      <w:r>
        <w:t>. W wariancie hybrydowym pomiary obwodu mogą zasilać klasyczną warstwę zwracającą logit, a uczenie polega na minimalizacji funkcji straty względem parametrów obu części. Termin VQC podkreśla rodzaj zadania, natomiast QNN opisuje uczoną architekturę kwantowo-klasyczną; w dalszym wywodzie pojęciem nadrzędnym pozostaje QNN.</w:t>
      </w:r>
    </w:p>
    <w:p w14:paraId="4C22B6B0" w14:textId="6160505D" w:rsidR="004755E8" w:rsidRDefault="004363E0" w:rsidP="00575DCB">
      <w:pPr>
        <w:pStyle w:val="Normal"/>
        <w:spacing w:after="0" w:before="0" w:line="360" w:lineRule="auto"/>
        <w:ind w:firstLine="709" w:left="0"/>
        <w:jc w:val="both"/>
        <w:rPr>
          <w:rFonts w:cs="Times New Roman"/>
          <w:szCs w:val="24"/>
          <w:lang w:val="pl-PL"/>
        </w:rPr>
      </w:pPr>
      <w:r>
        <w:t>QML jest zatem pojęciem nadrzędnym, VQA opisuje hybrydowy sposób optymalizacji, QNN wskazuje na uczoną architekturę obwodową, a VQC na jej zastosowanie do klasyfikacji. Takie uporządkowanie terminologii pozwala oddzielić ogólne własności modelu od szczegółowych decyzji eksperymentalnych oraz przejść do problemu reprezentacji klasycznych danych w obwodzie kwantowym.</w:t>
      </w:r>
    </w:p>
    <w:p w14:paraId="236D8FB1" w14:textId="4F28971A" w:rsidR="00FD4551" w:rsidRPr="007B76E5" w:rsidRDefault="00000000">
      <w:pPr>
        <w:pStyle w:val="Heading1"/>
        <w:rPr>
          <w:rFonts w:ascii="Times New Roman" w:hAnsi="Times New Roman" w:cs="Times New Roman"/>
          <w:color w:val="auto"/>
          <w:sz w:val="24"/>
          <w:szCs w:val="24"/>
          <w:lang w:val="pl-PL"/>
        </w:rPr>
        <w:jc w:val="left"/>
        <w:ind w:left="0" w:firstLine="0"/>
        <w:spacing w:before="240" w:after="120" w:line="360" w:lineRule="auto"/>
        <w:keepNext w:val="1"/>
        <w:keepLines w:val="1"/>
      </w:pPr>
      <w:r w:rsidRPr="007B76E5">
        <w:lastRenderedPageBreak/>
        <w:t>3.2. Kodowanie danych w hybrydowych kwantowych sieciach neuronowych</w:t>
      </w:r>
    </w:p>
    <w:p w14:paraId="78E2EC6D" w14:textId="3E5E01F6" w:rsidR="00825A6F" w:rsidRDefault="002A3ECD" w:rsidP="00011FC1">
      <w:pPr>
        <w:pStyle w:val="Normal"/>
        <w:ind w:firstLine="709" w:left="0"/>
        <w:jc w:val="both"/>
        <w:rPr>
          <w:rFonts w:cs="Times New Roman"/>
          <w:szCs w:val="24"/>
          <w:lang w:val="pl-PL"/>
        </w:rPr>
        <w:spacing w:before="0" w:after="0" w:line="360" w:lineRule="auto"/>
      </w:pPr>
      <w:r>
        <w:rPr>
          <w:rFonts w:ascii="Times New Roman" w:hAnsi="Times New Roman" w:cs="Times New Roman"/>
          <w:lang w:val="pl-PL"/>
        </w:rPr>
        <w:t>Jednym z podstawowych problemów konstrukcji QNN jest odwzorowanie klasycznego wektora cech na operacje wykonywane w obwodzie kwantowym. Klasyczne przygotowanie reprezentacji omówiono w rozdziale 2; właściwe kodowanie kwantowe rozpoczyna się wtedy, gdy przekształcone wartości wyznaczają stan początkowy albo parametry bramek. Rozdzielenie tych etapów jest istotne, ponieważ klasyczna reprezentacja wejścia i mapa kodująca mogą niezależnie wpływać na wynik modelu.</w:t>
      </w:r>
    </w:p>
    <w:p w14:paraId="101462AA" w14:textId="466DAD62" w:rsidR="0087526D" w:rsidRDefault="0087526D" w:rsidP="00C84F74">
      <w:pPr>
        <w:pStyle w:val="Normal"/>
        <w:spacing w:after="0" w:before="0" w:line="360" w:lineRule="auto"/>
        <w:jc w:val="both"/>
        <w:rPr>
          <w:rFonts w:cs="Times New Roman"/>
          <w:szCs w:val="24"/>
          <w:lang w:val="pl-PL"/>
        </w:rPr>
        <w:ind w:left="0" w:firstLine="709"/>
      </w:pPr>
      <w:r>
        <w:rPr>
          <w:rFonts w:ascii="Times New Roman" w:hAnsi="Times New Roman" w:cs="Times New Roman"/>
          <w:lang w:val="pl-PL"/>
        </w:rPr>
        <w:t>Odwzorowanie klasycznego wektora cech x do stanu kwantowego |ψₓ⟩ za pomocą operatora Φ nazywa się mapą cech (ang. feature map). Uproszczony zapis kodowania danych przedstawia wzór (3.6).</w:t>
      </w:r>
    </w:p>
    <w:p w14:paraId="6B98AA81" w14:textId="17B42FA5" w:rsidR="0087526D" w:rsidRPr="002740CF" w:rsidRDefault="00C84F74" w:rsidP="00C84F74">
      <w:pPr>
        <w:pStyle w:val="Normal"/>
        <w:spacing w:after="0" w:line="276" w:lineRule="auto" w:before="0"/>
        <w:jc w:val="center"/>
        <w:rPr>
          <w:rFonts w:cs="Times New Roman"/>
          <w:szCs w:val="24"/>
          <w:lang w:val="pl-PL"/>
        </w:rPr>
        <w:ind w:left="0" w:firstLine="0"/>
        <w:keepLines w:val="1"/>
      </w:pPr>
      <w:r w:rsidRPr="002740CF">
        <w:rPr>
          <w:rFonts w:cs="Times New Roman"/>
          <w:szCs w:val="24"/>
          <w:lang w:val="pl-PL"/>
        </w:rPr>
        <w:t xml:space="preserve">(3.6)    </w:t>
      </w:r>
      <m:oMath>
        <m:r>
          <m:rPr>
            <m:sty m:val="p"/>
          </m:rPr>
          <w:rPr>
            <w:rFonts w:ascii="Cambria Math" w:hAnsi="Cambria Math" w:cs="Times New Roman"/>
            <w:szCs w:val="24"/>
            <w:lang w:val="pl-PL"/>
          </w:rPr>
          <m:t>Φ</m:t>
        </m:r>
        <m:r>
          <w:rPr>
            <w:rFonts w:ascii="Cambria Math" w:hAnsi="Cambria Math" w:cs="Times New Roman"/>
            <w:szCs w:val="24"/>
            <w:lang w:val="pl-PL"/>
          </w:rPr>
          <m:t>:</m:t>
        </m:r>
        <m:r>
          <w:rPr>
            <w:rFonts w:ascii="Cambria Math" w:hAnsi="Cambria Math" w:cs="Times New Roman"/>
            <w:szCs w:val="24"/>
            <w:lang w:val="pl-PL"/>
          </w:rPr>
          <m:t>x</m:t>
        </m:r>
        <m:r>
          <m:rPr>
            <m:sty m:val="p"/>
          </m:rPr>
          <w:rPr>
            <w:rFonts w:ascii="Cambria Math" w:hAnsi="Cambria Math" w:cs="Times New Roman"/>
            <w:szCs w:val="24"/>
            <w:lang w:val="pl-PL"/>
          </w:rPr>
          <m:t>↦</m:t>
        </m:r>
        <m:d>
          <m:dPr>
            <m:begChr m:val="|"/>
            <m:endChr m:val="⟩"/>
            <m:ctrlPr>
              <w:rPr>
                <w:rFonts w:ascii="Cambria Math" w:hAnsi="Cambria Math" w:cs="Times New Roman"/>
                <w:i/>
                <w:szCs w:val="24"/>
                <w:lang w:val="pl-PL"/>
              </w:rPr>
            </m:ctrlPr>
          </m:dPr>
          <m:e>
            <m:r>
              <m:rPr>
                <m:sty m:val="p"/>
              </m:rPr>
              <w:rPr>
                <w:rFonts w:ascii="Cambria Math" w:hAnsi="Cambria Math" w:cs="Times New Roman"/>
                <w:szCs w:val="24"/>
                <w:lang w:val="pl-PL"/>
              </w:rPr>
              <m:t>ψ</m:t>
            </m:r>
            <m:d>
              <m:dPr>
                <m:ctrlPr>
                  <w:rPr>
                    <w:rFonts w:ascii="Cambria Math" w:hAnsi="Cambria Math" w:cs="Times New Roman"/>
                    <w:i/>
                    <w:szCs w:val="24"/>
                    <w:lang w:val="pl-PL"/>
                  </w:rPr>
                </m:ctrlPr>
              </m:dPr>
              <m:e>
                <m:r>
                  <w:rPr>
                    <w:rFonts w:ascii="Cambria Math" w:hAnsi="Cambria Math" w:cs="Times New Roman"/>
                    <w:szCs w:val="24"/>
                    <w:lang w:val="pl-PL"/>
                  </w:rPr>
                  <m:t>x</m:t>
                </m:r>
              </m:e>
            </m:d>
            <m:ctrlPr>
              <w:rPr>
                <w:rFonts w:ascii="Cambria Math" w:hAnsi="Cambria Math" w:cs="Times New Roman"/>
                <w:szCs w:val="24"/>
                <w:lang w:val="pl-PL"/>
              </w:rPr>
            </m:ctrlPr>
          </m:e>
        </m:d>
        <m:r>
          <w:rPr>
            <w:rFonts w:ascii="Cambria Math" w:hAnsi="Cambria Math" w:cs="Times New Roman"/>
            <w:szCs w:val="24"/>
            <w:lang w:val="pl-PL"/>
          </w:rPr>
          <m:t>=</m:t>
        </m:r>
        <m:sSub>
          <m:sSubPr>
            <m:ctrlPr>
              <w:rPr>
                <w:rFonts w:ascii="Cambria Math" w:hAnsi="Cambria Math" w:cs="Times New Roman"/>
                <w:i/>
                <w:szCs w:val="24"/>
                <w:lang w:val="pl-PL"/>
              </w:rPr>
            </m:ctrlPr>
          </m:sSubPr>
          <m:e>
            <m:r>
              <w:rPr>
                <w:rFonts w:ascii="Cambria Math" w:hAnsi="Cambria Math" w:cs="Times New Roman"/>
                <w:szCs w:val="24"/>
                <w:lang w:val="pl-PL"/>
              </w:rPr>
              <m:t>U</m:t>
            </m:r>
          </m:e>
          <m:sub>
            <m:r>
              <m:rPr>
                <m:nor/>
              </m:rPr>
              <w:rPr>
                <w:rFonts w:ascii="Cambria Math" w:hAnsi="Cambria Math" w:cs="Times New Roman"/>
                <w:szCs w:val="24"/>
                <w:lang w:val="pl-PL"/>
              </w:rPr>
              <m:t>enc</m:t>
            </m:r>
          </m:sub>
        </m:sSub>
        <m:d>
          <m:dPr>
            <m:ctrlPr>
              <w:rPr>
                <w:rFonts w:ascii="Cambria Math" w:hAnsi="Cambria Math" w:cs="Times New Roman"/>
                <w:i/>
                <w:szCs w:val="24"/>
                <w:lang w:val="pl-PL"/>
              </w:rPr>
            </m:ctrlPr>
          </m:dPr>
          <m:e>
            <m:r>
              <w:rPr>
                <w:rFonts w:ascii="Cambria Math" w:hAnsi="Cambria Math" w:cs="Times New Roman"/>
                <w:szCs w:val="24"/>
                <w:lang w:val="pl-PL"/>
              </w:rPr>
              <m:t>x</m:t>
            </m:r>
          </m:e>
        </m:d>
        <m:sSup>
          <m:sSupPr>
            <m:ctrlPr>
              <w:rPr>
                <w:rFonts w:ascii="Cambria Math" w:hAnsi="Cambria Math" w:cs="Times New Roman"/>
                <w:i/>
                <w:szCs w:val="24"/>
                <w:lang w:val="pl-PL"/>
              </w:rPr>
            </m:ctrlPr>
          </m:sSupPr>
          <m:e>
            <m:d>
              <m:dPr>
                <m:begChr m:val="|"/>
                <m:endChr m:val="⟩"/>
                <m:ctrlPr>
                  <w:rPr>
                    <w:rFonts w:ascii="Cambria Math" w:hAnsi="Cambria Math" w:cs="Times New Roman"/>
                    <w:i/>
                    <w:szCs w:val="24"/>
                    <w:lang w:val="pl-PL"/>
                  </w:rPr>
                </m:ctrlPr>
              </m:dPr>
              <m:e>
                <m:r>
                  <w:rPr>
                    <w:rFonts w:ascii="Cambria Math" w:hAnsi="Cambria Math" w:cs="Times New Roman"/>
                    <w:szCs w:val="24"/>
                    <w:lang w:val="pl-PL"/>
                  </w:rPr>
                  <m:t>0</m:t>
                </m:r>
                <m:ctrlPr>
                  <w:rPr>
                    <w:rFonts w:ascii="Cambria Math" w:hAnsi="Cambria Math" w:cs="Times New Roman"/>
                    <w:szCs w:val="24"/>
                    <w:lang w:val="pl-PL"/>
                  </w:rPr>
                </m:ctrlPr>
              </m:e>
            </m:d>
            <m:ctrlPr>
              <w:rPr>
                <w:rFonts w:ascii="Cambria Math" w:hAnsi="Cambria Math" w:cs="Times New Roman"/>
                <w:szCs w:val="24"/>
                <w:lang w:val="pl-PL"/>
              </w:rPr>
            </m:ctrlPr>
          </m:e>
          <m:sup>
            <m:r>
              <m:rPr>
                <m:sty m:val="p"/>
              </m:rPr>
              <w:rPr>
                <w:rFonts w:ascii="Cambria Math" w:hAnsi="Cambria Math" w:cs="Times New Roman"/>
                <w:szCs w:val="24"/>
                <w:lang w:val="pl-PL"/>
              </w:rPr>
              <m:t>⊗</m:t>
            </m:r>
            <m:r>
              <w:rPr>
                <w:rFonts w:ascii="Cambria Math" w:hAnsi="Cambria Math" w:cs="Times New Roman"/>
                <w:szCs w:val="24"/>
                <w:lang w:val="pl-PL"/>
              </w:rPr>
              <m:t>n</m:t>
            </m:r>
          </m:sup>
        </m:sSup>
      </m:oMath>
      <w:r w:rsidRPr="002740CF">
        <w:rPr>
          <w:rFonts w:cs="Times New Roman"/>
          <w:szCs w:val="24"/>
          <w:lang w:val="pl-PL"/>
        </w:rPr>
        <w:t>.</w:t>
      </w:r>
    </w:p>
    <w:p w14:paraId="3F826DF2" w14:textId="0982240E" w:rsidR="00FD4551" w:rsidRPr="007B76E5" w:rsidRDefault="006C4858" w:rsidP="00AA23B4">
      <w:pPr>
        <w:pStyle w:val="Normal"/>
        <w:spacing w:after="0" w:before="0" w:line="360" w:lineRule="auto"/>
        <w:jc w:val="both"/>
        <w:rPr>
          <w:rFonts w:cs="Times New Roman"/>
          <w:szCs w:val="24"/>
          <w:lang w:val="pl-PL"/>
        </w:rPr>
        <w:ind w:left="0" w:firstLine="709"/>
      </w:pPr>
      <w:r>
        <w:t>Operator kodujący oznacza transformację unitarną realizowaną przez mapę cech. Jego konstrukcja zależy od wybranej metody i może obejmować bramki rotacyjne, przygotowanie stanu bazowego albo bardziej złożone procedury amplitudowe. Sposób kodowania wpływa na ekspresyjność wariacyjnego modelu; dobór bramek wyznacza klasę zależności dostępną obwodowi</w:t>
      </w:r>
      <w:r>
        <w:rPr>
          <w:rStyle w:val="FootnoteReference"/>
        </w:rPr>
        <w:footnoteReference w:id="24"/>
      </w:r>
      <w:r>
        <w:t>. Dlatego opis QNN powinien wskazywać zarówno reprezentację klasyczną, jak i jej odwzorowanie na parametry bramek.</w:t>
      </w:r>
    </w:p>
    <w:p w14:paraId="5EE20238" w14:textId="4EAFEF64" w:rsidR="00446B79" w:rsidRPr="007B76E5" w:rsidRDefault="009038ED" w:rsidP="00534AF7">
      <w:pPr>
        <w:pStyle w:val="Normal"/>
        <w:ind w:firstLine="709" w:left="0"/>
        <w:jc w:val="both"/>
        <w:rPr>
          <w:rFonts w:cs="Times New Roman"/>
          <w:szCs w:val="24"/>
          <w:lang w:val="pl-PL"/>
        </w:rPr>
        <w:spacing w:before="0" w:after="0" w:line="360" w:lineRule="auto"/>
      </w:pPr>
      <w:r w:rsidRPr="007B76E5">
        <w:rPr>
          <w:rFonts w:cs="Times New Roman"/>
          <w:szCs w:val="24"/>
          <w:lang w:val="pl-PL"/>
        </w:rPr>
        <w:t xml:space="preserve">W literaturze przedmiotu </w:t>
      </w:r>
      <w:r w:rsidR="008956F5" w:rsidRPr="007B76E5">
        <w:rPr>
          <w:rFonts w:cs="Times New Roman"/>
          <w:szCs w:val="24"/>
          <w:lang w:val="pl-PL"/>
        </w:rPr>
        <w:t>wyróżnia</w:t>
      </w:r>
      <w:r w:rsidRPr="007B76E5">
        <w:rPr>
          <w:rFonts w:cs="Times New Roman"/>
          <w:szCs w:val="24"/>
          <w:lang w:val="pl-PL"/>
        </w:rPr>
        <w:t xml:space="preserve"> się </w:t>
      </w:r>
      <w:r w:rsidR="008D020A" w:rsidRPr="007B76E5">
        <w:rPr>
          <w:rFonts w:cs="Times New Roman"/>
          <w:szCs w:val="24"/>
          <w:lang w:val="pl-PL"/>
        </w:rPr>
        <w:t>różne</w:t>
      </w:r>
      <w:r w:rsidRPr="007B76E5">
        <w:rPr>
          <w:rFonts w:cs="Times New Roman"/>
          <w:szCs w:val="24"/>
          <w:lang w:val="pl-PL"/>
        </w:rPr>
        <w:t xml:space="preserve"> metody kodowania danych</w:t>
      </w:r>
      <w:r w:rsidR="008956F5" w:rsidRPr="007B76E5">
        <w:rPr>
          <w:rFonts w:cs="Times New Roman"/>
          <w:szCs w:val="24"/>
          <w:lang w:val="pl-PL"/>
        </w:rPr>
        <w:t>, w tym</w:t>
      </w:r>
      <w:r w:rsidRPr="007B76E5">
        <w:rPr>
          <w:rFonts w:cs="Times New Roman"/>
          <w:szCs w:val="24"/>
          <w:lang w:val="pl-PL"/>
        </w:rPr>
        <w:t xml:space="preserve"> </w:t>
      </w:r>
      <w:r w:rsidR="00F64338" w:rsidRPr="007B76E5">
        <w:rPr>
          <w:rFonts w:cs="Times New Roman"/>
          <w:szCs w:val="24"/>
          <w:lang w:val="pl-PL"/>
        </w:rPr>
        <w:t xml:space="preserve">kodowanie w bazie obliczeniowej (ang. </w:t>
      </w:r>
      <w:r w:rsidR="008956F5" w:rsidRPr="007B76E5">
        <w:rPr>
          <w:rFonts w:cs="Times New Roman"/>
          <w:szCs w:val="24"/>
          <w:lang w:val="pl-PL"/>
        </w:rPr>
        <w:t>b</w:t>
      </w:r>
      <w:r w:rsidR="00F64338" w:rsidRPr="007B76E5">
        <w:rPr>
          <w:rFonts w:cs="Times New Roman"/>
          <w:szCs w:val="24"/>
          <w:lang w:val="pl-PL"/>
        </w:rPr>
        <w:t xml:space="preserve">asis </w:t>
      </w:r>
      <w:r w:rsidR="008956F5" w:rsidRPr="007B76E5">
        <w:rPr>
          <w:rFonts w:cs="Times New Roman"/>
          <w:szCs w:val="24"/>
          <w:lang w:val="pl-PL"/>
        </w:rPr>
        <w:t>e</w:t>
      </w:r>
      <w:r w:rsidR="00F64338" w:rsidRPr="007B76E5">
        <w:rPr>
          <w:rFonts w:cs="Times New Roman"/>
          <w:szCs w:val="24"/>
          <w:lang w:val="pl-PL"/>
        </w:rPr>
        <w:t xml:space="preserve">ncoding), kodowanie kątowe (ang. </w:t>
      </w:r>
      <w:r w:rsidR="008956F5" w:rsidRPr="007B76E5">
        <w:rPr>
          <w:rFonts w:cs="Times New Roman"/>
          <w:szCs w:val="24"/>
          <w:lang w:val="pl-PL"/>
        </w:rPr>
        <w:t>a</w:t>
      </w:r>
      <w:r w:rsidR="00F64338" w:rsidRPr="007B76E5">
        <w:rPr>
          <w:rFonts w:cs="Times New Roman"/>
          <w:szCs w:val="24"/>
          <w:lang w:val="pl-PL"/>
        </w:rPr>
        <w:t xml:space="preserve">ngle </w:t>
      </w:r>
      <w:r w:rsidR="008956F5" w:rsidRPr="007B76E5">
        <w:rPr>
          <w:rFonts w:cs="Times New Roman"/>
          <w:szCs w:val="24"/>
          <w:lang w:val="pl-PL"/>
        </w:rPr>
        <w:t>e</w:t>
      </w:r>
      <w:r w:rsidR="00F64338" w:rsidRPr="007B76E5">
        <w:rPr>
          <w:rFonts w:cs="Times New Roman"/>
          <w:szCs w:val="24"/>
          <w:lang w:val="pl-PL"/>
        </w:rPr>
        <w:t>ncoding) oraz kodowanie amplitudowe (</w:t>
      </w:r>
      <w:r w:rsidR="00EE36AF" w:rsidRPr="007B76E5">
        <w:rPr>
          <w:rFonts w:cs="Times New Roman"/>
          <w:szCs w:val="24"/>
          <w:lang w:val="pl-PL"/>
        </w:rPr>
        <w:t xml:space="preserve">ang. </w:t>
      </w:r>
      <w:r w:rsidR="008956F5" w:rsidRPr="007B76E5">
        <w:rPr>
          <w:rFonts w:cs="Times New Roman"/>
          <w:szCs w:val="24"/>
          <w:lang w:val="pl-PL"/>
        </w:rPr>
        <w:t>a</w:t>
      </w:r>
      <w:r w:rsidR="00F64338" w:rsidRPr="007B76E5">
        <w:rPr>
          <w:rFonts w:cs="Times New Roman"/>
          <w:szCs w:val="24"/>
          <w:lang w:val="pl-PL"/>
        </w:rPr>
        <w:t xml:space="preserve">mplitude </w:t>
      </w:r>
      <w:r w:rsidR="008956F5" w:rsidRPr="007B76E5">
        <w:rPr>
          <w:rFonts w:cs="Times New Roman"/>
          <w:szCs w:val="24"/>
          <w:lang w:val="pl-PL"/>
        </w:rPr>
        <w:t>e</w:t>
      </w:r>
      <w:r w:rsidR="00F64338" w:rsidRPr="007B76E5">
        <w:rPr>
          <w:rFonts w:cs="Times New Roman"/>
          <w:szCs w:val="24"/>
          <w:lang w:val="pl-PL"/>
        </w:rPr>
        <w:t>ncoding)</w:t>
      </w:r>
      <w:r w:rsidR="008956F5" w:rsidRPr="007B76E5">
        <w:rPr>
          <w:rStyle w:val="FootnoteReference"/>
          <w:rFonts w:cs="Times New Roman"/>
          <w:szCs w:val="24"/>
          <w:lang w:val="pl-PL"/>
        </w:rPr>
        <w:t xml:space="preserve"/>
      </w:r>
      <w:r w:rsidR="008956F5" w:rsidRPr="007B76E5">
        <w:rPr>
          <w:rStyle w:val="FootnoteReference"/>
          <w:rFonts w:cs="Times New Roman"/>
          <w:szCs w:val="24"/>
          <w:lang w:val="pl-PL"/>
        </w:rPr>
        <w:footnoteReference w:id="25"/>
      </w:r>
      <w:r w:rsidR="00F64338" w:rsidRPr="007B76E5">
        <w:rPr>
          <w:rFonts w:cs="Times New Roman"/>
          <w:szCs w:val="24"/>
          <w:lang w:val="pl-PL"/>
        </w:rPr>
        <w:t xml:space="preserve">. </w:t>
      </w:r>
      <w:r w:rsidR="00D92F0A" w:rsidRPr="007B76E5">
        <w:rPr>
          <w:rFonts w:cs="Times New Roman"/>
          <w:szCs w:val="24"/>
          <w:lang w:val="pl-PL"/>
        </w:rPr>
        <w:t xml:space="preserve">Różnią się one </w:t>
      </w:r>
      <w:r w:rsidR="00D92F0A" w:rsidRPr="007B76E5">
        <w:rPr>
          <w:rFonts w:cs="Times New Roman"/>
          <w:szCs w:val="24"/>
          <w:lang w:val="pl-PL"/>
        </w:rPr>
        <w:lastRenderedPageBreak/>
        <w:t>sposobem umieszczania klasycznych danych wejściowych w stanie kwantowym. Wybór metody kodowania powinien być dopasowany do charakteru, wymiarowości i skal</w:t>
      </w:r>
      <w:r w:rsidR="004A723F" w:rsidRPr="007B76E5">
        <w:rPr>
          <w:rFonts w:cs="Times New Roman"/>
          <w:szCs w:val="24"/>
          <w:lang w:val="pl-PL"/>
        </w:rPr>
        <w:t>i</w:t>
      </w:r>
      <w:r w:rsidR="00D92F0A" w:rsidRPr="007B76E5">
        <w:rPr>
          <w:rFonts w:cs="Times New Roman"/>
          <w:szCs w:val="24"/>
          <w:lang w:val="pl-PL"/>
        </w:rPr>
        <w:t xml:space="preserve"> danych wejściowych</w:t>
      </w:r>
      <w:r w:rsidR="004A723F" w:rsidRPr="007B76E5">
        <w:rPr>
          <w:rStyle w:val="FootnoteReference"/>
          <w:rFonts w:cs="Times New Roman"/>
          <w:szCs w:val="24"/>
          <w:lang w:val="pl-PL"/>
        </w:rPr>
        <w:footnoteReference w:id="26"/>
      </w:r>
      <w:r w:rsidR="00EE36AF" w:rsidRPr="007B76E5">
        <w:rPr>
          <w:rFonts w:cs="Times New Roman"/>
          <w:szCs w:val="24"/>
          <w:lang w:val="pl-PL"/>
        </w:rPr>
        <w:t>, a nie tylko do atrakcyjności formalnej danego rozwiązania.</w:t>
      </w:r>
    </w:p>
    <w:p w14:paraId="687F9ADC" w14:textId="13F4EA8B" w:rsidR="00B30D54" w:rsidRPr="007B76E5" w:rsidRDefault="001A59C0" w:rsidP="00534AF7">
      <w:pPr>
        <w:pStyle w:val="Normal"/>
        <w:ind w:firstLine="709" w:left="0"/>
        <w:jc w:val="both"/>
        <w:rPr>
          <w:rFonts w:cs="Times New Roman"/>
          <w:szCs w:val="24"/>
          <w:lang w:val="pl-PL"/>
        </w:rPr>
        <w:spacing w:before="0" w:after="0" w:line="360" w:lineRule="auto"/>
      </w:pPr>
      <w:r>
        <w:t>Kodowanie w bazie obliczeniowej polega na przypisaniu klasycznego ciągu bitów do stanu bazowego rejestru, na przykład wektora (1, 0, 1) do stanu |101⟩. Jest ono naturalne dla danych binarnych i dyskretnych. W przypadku zmiennych ciągłych wymaga natomiast ustalenia reprezentacji binarnej lub dyskretyzacji, co może zwiększać zapotrzebowanie na kubity albo powodować utratę precyzji</w:t>
      </w:r>
      <w:r>
        <w:rPr>
          <w:rStyle w:val="FootnoteReference"/>
        </w:rPr>
        <w:footnoteReference w:id="27"/>
      </w:r>
      <w:r>
        <w:t>.</w:t>
      </w:r>
    </w:p>
    <w:p w14:paraId="5B01B26D" w14:textId="75440D0B" w:rsidR="00B30D54" w:rsidRPr="007B76E5" w:rsidRDefault="00E020E9" w:rsidP="005A1C3D">
      <w:pPr>
        <w:pStyle w:val="Normal"/>
        <w:ind w:firstLine="709" w:left="0"/>
        <w:jc w:val="both"/>
        <w:rPr>
          <w:rFonts w:cs="Times New Roman"/>
          <w:szCs w:val="24"/>
          <w:lang w:val="pl-PL"/>
        </w:rPr>
        <w:spacing w:before="0" w:after="0" w:line="360" w:lineRule="auto"/>
      </w:pPr>
      <w:r>
        <w:rPr>
          <w:rFonts w:ascii="Times New Roman" w:hAnsi="Times New Roman" w:cs="Times New Roman"/>
          <w:lang w:val="pl-PL"/>
        </w:rPr>
        <w:t>Kodowanie kątowe (ang. angle encoding) wykorzystuje wartości cech jako kąty bramek rotacyjnych. Pojedyncza składowa xᵢ może sterować na przykład bramką Rᵧ, a przygotowany stan zależy wówczas w sposób ciągły od zakodowanej wartości</w:t>
      </w:r>
      <w:r>
        <w:rPr>
          <w:rStyle w:val="FootnoteReference"/>
        </w:rPr>
        <w:footnoteReference w:id="28"/>
      </w:r>
      <w:r>
        <w:rPr>
          <w:rFonts w:ascii="Times New Roman" w:hAnsi="Times New Roman" w:cs="Times New Roman"/>
          <w:lang w:val="pl-PL"/>
        </w:rPr>
        <w:t>. Ponieważ rotacje są okresowe, sposób skalowania wpływa na rozróżnialność reprezentacji: zbyt szeroki zakres może odwzorowywać odległe wartości na ten sam lub zbliżony stan, natomiast zbyt wąski może nadmiernie kompresować ich zróżnicowanie. Skalowanie i ewentualne ograniczanie wartości skrajnych są zatem częścią mapy cech, a nie neutralną czynnością techniczną. W jednorazowym wariancie kodowania kątowego składowe reprezentacji otrzymanej po klasycznej redukcji wymiaru, której podstawy przedstawiono w podrozdziale 2.3, są przypisywane kubitom i kodowane przed pierwszą warstwą ansatzu, bez ponownego wprowadzania danych między warstwami. Szerokość rejestru ogranicza wtedy wymiar wejścia, lecz przygotowanie stanu pozostaje płytkie i bezpośrednio obsługuje małe wektory cech o wartościach rzeczywistych</w:t>
      </w:r>
      <w:r>
        <w:rPr>
          <w:rStyle w:val="FootnoteReference"/>
        </w:rPr>
        <w:footnoteReference w:id="29"/>
      </w:r>
      <w:r>
        <w:rPr>
          <w:rFonts w:ascii="Times New Roman" w:hAnsi="Times New Roman" w:cs="Times New Roman"/>
          <w:lang w:val="pl-PL"/>
        </w:rPr>
        <w:t>.</w:t>
      </w:r>
    </w:p>
    <w:p w14:paraId="1AE9C3C0" w14:textId="5DFDD4C4" w:rsidR="00983CF7" w:rsidRPr="007B76E5" w:rsidRDefault="005A1C3D" w:rsidP="00983CF7">
      <w:pPr>
        <w:pStyle w:val="Normal"/>
        <w:spacing w:after="0" w:before="0" w:line="360" w:lineRule="auto"/>
        <w:ind w:firstLine="709" w:left="0"/>
        <w:jc w:val="both"/>
        <w:rPr>
          <w:rFonts w:cs="Times New Roman"/>
          <w:szCs w:val="24"/>
          <w:lang w:val="pl-PL"/>
        </w:rPr>
        <w:keepNext w:val="1"/>
        <w:keepLines w:val="1"/>
      </w:pPr>
      <w:r>
        <w:rPr>
          <w:rFonts w:ascii="Times New Roman" w:hAnsi="Times New Roman" w:cs="Times New Roman"/>
          <w:lang w:val="pl-PL"/>
        </w:rPr>
        <w:t>Kodowanie amplitudowe (ang. amplitude encoding) reprezentuje znormalizowany wektor cech za pomocą amplitud stanu kwantowego. Dla d składowych, po ewentualnym uzupełnieniu wektora zerami, stan można zapisać w postaci:</w:t>
      </w:r>
    </w:p>
    <w:p w14:paraId="47347C54" w14:textId="3C436E44" w:rsidR="00983CF7" w:rsidRPr="007B76E5" w:rsidRDefault="00980C8F" w:rsidP="00983CF7">
      <w:pPr>
        <w:pStyle w:val="Normal"/>
        <w:spacing w:after="0" w:before="0" w:line="276" w:lineRule="auto"/>
        <w:jc w:val="center"/>
        <w:rPr>
          <w:rFonts w:cs="Times New Roman"/>
          <w:szCs w:val="24"/>
          <w:lang w:val="pl-PL"/>
        </w:rPr>
        <w:ind w:left="0" w:firstLine="0"/>
        <w:keepLines w:val="1"/>
      </w:pPr>
      <w:r>
        <w:rPr>
          <w:rFonts w:ascii="Times New Roman" w:hAnsi="Times New Roman" w:cs="Times New Roman"/>
          <w:lang w:val="pl-PL"/>
          <w:sz w:val="24"/>
          <w:szCs w:val="24"/>
        </w:rPr>
        <w:t xml:space="preserve">(3.7)    </w:t>
      </w:r>
      <m:oMath>
        <m:d>
          <m:dPr>
            <m:begChr m:val="|"/>
            <m:endChr m:val="⟩"/>
          </m:dPr>
          <m:e>
            <m:sSub>
              <m:e>
                <m:r>
                  <w:rPr>
                    <w:rFonts w:ascii="Cambria Math" w:hAnsi="Cambria Math" w:cs="Cambria Math"/>
                    <w:sz w:val="24"/>
                    <w:szCs w:val="24"/>
                  </w:rPr>
                  <m:t>ψ</m:t>
                </m:r>
              </m:e>
              <m:sub>
                <m:r>
                  <w:rPr>
                    <w:rFonts w:ascii="Cambria Math" w:hAnsi="Cambria Math" w:cs="Cambria Math"/>
                    <w:b/>
                    <w:bCs/>
                    <w:sz w:val="24"/>
                    <w:szCs w:val="24"/>
                  </w:rPr>
                  <m:t>x</m:t>
                </m:r>
              </m:sub>
            </m:sSub>
          </m:e>
        </m:d>
        <m:r>
          <w:rPr>
            <w:rFonts w:ascii="Cambria Math" w:hAnsi="Cambria Math" w:cs="Cambria Math"/>
            <w:sz w:val="24"/>
            <w:szCs w:val="24"/>
          </w:rPr>
          <m:t>=</m:t>
        </m:r>
        <m:nary>
          <m:naryPr>
            <m:chr m:val="∑"/>
          </m:naryPr>
          <m:sub>
            <m:r>
              <m:rPr>
                <m:sty m:val="p"/>
              </m:rPr>
              <w:rPr>
                <w:rFonts w:ascii="Cambria Math" w:hAnsi="Cambria Math" w:cs="Cambria Math"/>
                <w:sz w:val="24"/>
                <w:szCs w:val="24"/>
              </w:rPr>
              <m:t>i=0</m:t>
            </m:r>
          </m:sub>
          <m:sup>
            <m:r>
              <m:rPr>
                <m:sty m:val="p"/>
              </m:rPr>
              <w:rPr>
                <w:rFonts w:ascii="Cambria Math" w:hAnsi="Cambria Math" w:cs="Cambria Math"/>
                <w:sz w:val="24"/>
                <w:szCs w:val="24"/>
              </w:rPr>
              <m:t>d−1</m:t>
            </m:r>
          </m:sup>
          <m:e>
            <m:sSub>
              <m:e>
                <m:r>
                  <w:rPr>
                    <w:rFonts w:ascii="Cambria Math" w:hAnsi="Cambria Math" w:cs="Cambria Math"/>
                    <w:sz w:val="24"/>
                    <w:szCs w:val="24"/>
                  </w:rPr>
                  <m:t>x̃</m:t>
                </m:r>
              </m:e>
              <m:sub>
                <m:r>
                  <m:rPr>
                    <m:sty m:val="p"/>
                  </m:rPr>
                  <w:rPr>
                    <w:rFonts w:ascii="Cambria Math" w:hAnsi="Cambria Math" w:cs="Cambria Math"/>
                    <w:sz w:val="24"/>
                    <w:szCs w:val="24"/>
                  </w:rPr>
                  <m:t>i</m:t>
                </m:r>
              </m:sub>
            </m:sSub>
            <m:d>
              <m:dPr>
                <m:begChr m:val="|"/>
                <m:endChr m:val="⟩"/>
              </m:dPr>
              <m:e>
                <m:r>
                  <m:rPr>
                    <m:sty m:val="p"/>
                  </m:rPr>
                  <w:rPr>
                    <w:rFonts w:ascii="Cambria Math" w:hAnsi="Cambria Math" w:cs="Cambria Math"/>
                    <w:sz w:val="24"/>
                    <w:szCs w:val="24"/>
                  </w:rPr>
                  <m:t>i</m:t>
                </m:r>
              </m:e>
            </m:d>
          </m:e>
        </m:nary>
      </m:oMath>
      <w:r>
        <w:rPr>
          <w:rFonts w:ascii="Times New Roman" w:hAnsi="Times New Roman" w:cs="Times New Roman"/>
          <w:lang w:val="pl-PL"/>
          <w:sz w:val="24"/>
          <w:szCs w:val="24"/>
        </w:rPr>
        <w:t>,</w:t>
      </w:r>
    </w:p>
    <w:p w14:paraId="626C0E02" w14:textId="651B916B" w:rsidR="00FA48B4" w:rsidRPr="007B76E5" w:rsidRDefault="00983CF7" w:rsidP="00FA48B4">
      <w:pPr>
        <w:pStyle w:val="Normal"/>
        <w:spacing w:after="0" w:before="0" w:line="360" w:lineRule="auto"/>
        <w:jc w:val="both"/>
        <w:rPr>
          <w:rFonts w:cs="Times New Roman"/>
          <w:szCs w:val="24"/>
          <w:lang w:val="pl-PL"/>
        </w:rPr>
        <w:ind w:left="0" w:firstLine="709"/>
      </w:pPr>
      <w:r>
        <w:rPr>
          <w:rFonts w:ascii="Times New Roman" w:hAnsi="Times New Roman" w:cs="Times New Roman"/>
          <w:lang w:val="pl-PL"/>
        </w:rPr>
        <w:t xml:space="preserve">gdzie </w:t>
      </w:r>
      <m:oMath>
        <m:r>
          <w:rPr>
            <w:rFonts w:ascii="Cambria Math" w:hAnsi="Cambria Math" w:cs="Cambria Math"/>
            <w:b/>
            <w:bCs/>
            <w:sz w:val="24"/>
            <w:szCs w:val="24"/>
          </w:rPr>
          <m:t>x̃</m:t>
        </m:r>
      </m:oMath>
      <w:r>
        <w:rPr>
          <w:rFonts w:ascii="Times New Roman" w:hAnsi="Times New Roman" w:cs="Times New Roman"/>
          <w:lang w:val="pl-PL"/>
        </w:rPr>
        <w:t xml:space="preserve"> oznacza znormalizowany i, w razie potrzeby, uzupełniony zerami wektor cech, a warunek </w:t>
      </w:r>
      <m:oMath>
        <m:nary>
          <m:naryPr>
            <m:chr m:val="∑"/>
          </m:naryPr>
          <m:sub>
            <m:r>
              <m:rPr>
                <m:sty m:val="p"/>
              </m:rPr>
              <w:rPr>
                <w:rFonts w:ascii="Cambria Math" w:hAnsi="Cambria Math" w:cs="Cambria Math"/>
                <w:sz w:val="24"/>
                <w:szCs w:val="24"/>
              </w:rPr>
              <m:t>i=0</m:t>
            </m:r>
          </m:sub>
          <m:sup>
            <m:r>
              <m:rPr>
                <m:sty m:val="p"/>
              </m:rPr>
              <w:rPr>
                <w:rFonts w:ascii="Cambria Math" w:hAnsi="Cambria Math" w:cs="Cambria Math"/>
                <w:sz w:val="24"/>
                <w:szCs w:val="24"/>
              </w:rPr>
              <m:t>d−1</m:t>
            </m:r>
          </m:sup>
          <m:e>
            <m:sSup>
              <m:e>
                <m:d>
                  <m:dPr>
                    <m:begChr m:val="|"/>
                    <m:endChr m:val="|"/>
                  </m:dPr>
                  <m:e>
                    <m:sSub>
                      <m:e>
                        <m:r>
                          <w:rPr>
                            <w:rFonts w:ascii="Cambria Math" w:hAnsi="Cambria Math" w:cs="Cambria Math"/>
                            <w:sz w:val="24"/>
                            <w:szCs w:val="24"/>
                          </w:rPr>
                          <m:t>x̃</m:t>
                        </m:r>
                      </m:e>
                      <m:sub>
                        <m:r>
                          <m:rPr>
                            <m:sty m:val="p"/>
                          </m:rPr>
                          <w:rPr>
                            <w:rFonts w:ascii="Cambria Math" w:hAnsi="Cambria Math" w:cs="Cambria Math"/>
                            <w:sz w:val="24"/>
                            <w:szCs w:val="24"/>
                          </w:rPr>
                          <m:t>i</m:t>
                        </m:r>
                      </m:sub>
                    </m:sSub>
                  </m:e>
                </m:d>
              </m:e>
              <m:sup>
                <m:r>
                  <m:rPr>
                    <m:sty m:val="p"/>
                  </m:rPr>
                  <w:rPr>
                    <w:rFonts w:ascii="Cambria Math" w:hAnsi="Cambria Math" w:cs="Cambria Math"/>
                    <w:sz w:val="24"/>
                    <w:szCs w:val="24"/>
                  </w:rPr>
                  <m:t>2</m:t>
                </m:r>
              </m:sup>
            </m:sSup>
          </m:e>
        </m:nary>
        <m:r>
          <m:rPr>
            <m:sty m:val="p"/>
          </m:rPr>
          <w:rPr>
            <w:rFonts w:ascii="Cambria Math" w:hAnsi="Cambria Math" w:cs="Cambria Math"/>
            <w:sz w:val="24"/>
            <w:szCs w:val="24"/>
          </w:rPr>
          <m:t>=1</m:t>
        </m:r>
      </m:oMath>
      <w:r>
        <w:rPr>
          <w:rFonts w:ascii="Times New Roman" w:hAnsi="Times New Roman" w:cs="Times New Roman"/>
          <w:lang w:val="pl-PL"/>
        </w:rPr>
        <w:t xml:space="preserve"> zapewnia normalizację amplitud. Rejestr n kubitów ma 2ⁿ amplitud, dlatego reprezentacja d składowych wymaga co najmniej </w:t>
      </w:r>
      <m:oMath>
        <m:r>
          <m:rPr>
            <m:sty m:val="p"/>
          </m:rPr>
          <w:rPr>
            <w:rFonts w:ascii="Cambria Math" w:hAnsi="Cambria Math" w:cs="Cambria Math"/>
            <w:sz w:val="24"/>
            <w:szCs w:val="24"/>
          </w:rPr>
          <m:t>n=</m:t>
        </m:r>
        <m:d>
          <m:dPr>
            <m:begChr m:val="⌈"/>
            <m:endChr m:val="⌉"/>
          </m:dPr>
          <m:e>
            <m:r>
              <m:rPr>
                <m:sty m:val="p"/>
              </m:rPr>
              <w:rPr>
                <w:rFonts w:ascii="Cambria Math" w:hAnsi="Cambria Math" w:cs="Cambria Math"/>
                <w:sz w:val="24"/>
                <w:szCs w:val="24"/>
              </w:rPr>
              <m:t>log₂d</m:t>
            </m:r>
          </m:e>
        </m:d>
      </m:oMath>
      <w:r>
        <w:rPr>
          <w:rFonts w:ascii="Times New Roman" w:hAnsi="Times New Roman" w:cs="Times New Roman"/>
          <w:lang w:val="pl-PL"/>
        </w:rPr>
        <w:t xml:space="preserve"> kubitów</w:t>
      </w:r>
      <w:r>
        <w:rPr>
          <w:rStyle w:val="FootnoteReference"/>
        </w:rPr>
        <w:footnoteReference w:id="30"/>
      </w:r>
      <w:r>
        <w:rPr>
          <w:rFonts w:ascii="Times New Roman" w:hAnsi="Times New Roman" w:cs="Times New Roman"/>
          <w:lang w:val="pl-PL"/>
        </w:rPr>
        <w:t>. Jeżeli d &lt; 2ⁿ, niewykorzystane amplitudy przyjmuje się jako równe zeru. Przygotowanie takiego stanu może być jednak kosztowne, a pojedynczy pomiar nie ujawnia całego zakodowanego wektora. Mniejsze zapotrzebowanie na kubity nie oznacza zatem automatycznie przewagi obliczeniowej</w:t>
      </w:r>
      <w:r>
        <w:rPr>
          <w:rStyle w:val="FootnoteReference"/>
        </w:rPr>
        <w:footnoteReference w:id="31"/>
      </w:r>
      <w:r>
        <w:rPr>
          <w:rFonts w:ascii="Times New Roman" w:hAnsi="Times New Roman" w:cs="Times New Roman"/>
          <w:lang w:val="pl-PL"/>
        </w:rPr>
        <w:t>.</w:t>
      </w:r>
    </w:p>
    <w:p w14:paraId="693A3566" w14:textId="7AA508E4" w:rsidR="00E256BB" w:rsidRPr="007B76E5" w:rsidRDefault="00A66AA3" w:rsidP="007C3B5F">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Przy przypisaniu jednej zmiennej jednemu kubitowi wymiar reprezentacji musi odpowiadać szerokości rejestru. Ponieważ klasyczna redukcja zmienia reprezentację problemu, jej wpływ należy oddzielać od wpływu obwodu; teoretyczne podstawy PCA i kontroli dopasowanych do reprezentacji przedstawiono w podrozdziale 2.3.</w:t>
      </w:r>
    </w:p>
    <w:p w14:paraId="10F3E01C" w14:textId="0D9EC69D" w:rsidR="00C13787" w:rsidRPr="00FA48B4" w:rsidRDefault="00FA48B4" w:rsidP="00766BAA">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Kodowanie danych nie stanowi pełnego modelu QNN, lecz przygotowuje wejście dla ansatzu zbudowanego z parametryzowanych rotacji i bramek wielokubitowych</w:t>
      </w:r>
      <w:r>
        <w:rPr>
          <w:rStyle w:val="FootnoteReference"/>
        </w:rPr>
        <w:footnoteReference w:id="32"/>
      </w:r>
      <w:r>
        <w:rPr>
          <w:rFonts w:ascii="Times New Roman" w:hAnsi="Times New Roman" w:cs="Times New Roman"/>
          <w:lang w:val="pl-PL"/>
        </w:rPr>
        <w:t>. Warstwy lokalne przekształcają stany pojedynczych kubitów, natomiast bramki dwukubitowe wprowadzają zależności zgodnie z przyjętą topologią, na przykład pierścieniową lub naprzemienną. Stan splątany nie daje się rozłożyć na iloczyn tensorowy stanów poszczególnych podukładów, lecz sama obecność splątania nie gwarantuje poprawy jakości predykcji. Zbyt prosty ansatz może mieć niewystarczającą ekspresyjność, natomiast nadmierne zwiększanie jego głębokości podnosi koszt wykonania i może pogarszać jakość sygnału gradientowego</w:t>
      </w:r>
      <w:r>
        <w:rPr>
          <w:rStyle w:val="FootnoteReference"/>
        </w:rPr>
        <w:footnoteReference w:id="33"/>
      </w:r>
      <w:r>
        <w:rPr>
          <w:rFonts w:ascii="Times New Roman" w:hAnsi="Times New Roman" w:cs="Times New Roman"/>
          <w:lang w:val="pl-PL"/>
        </w:rPr>
        <w:t>. Mapa cech i ansatz wspólnie określają więc klasę funkcji dostępną modelowi, ale większa liczba bramek lub parametrów nie gwarantuje ani lepszej jakości predykcyjnej, ani łatwiejszej optymalizacji.</w:t>
      </w:r>
    </w:p>
    <w:p w14:paraId="6D374904" w14:textId="5AFF4AF5" w:rsidR="00CF3B7C" w:rsidRPr="003A1772" w:rsidRDefault="003A1772" w:rsidP="00F20981">
      <w:pPr>
        <w:pStyle w:val="Normal"/>
        <w:spacing w:after="80" w:line="240" w:lineRule="auto" w:before="120"/>
        <w:jc w:val="center"/>
        <w:rPr>
          <w:rFonts w:cs="Times New Roman"/>
          <w:b/>
          <w:bCs/>
          <w:szCs w:val="24"/>
          <w:lang w:val="pl-PL"/>
        </w:rPr>
        <w:ind w:left="0" w:firstLine="0"/>
        <w:keepNext w:val="1"/>
        <w:keepLines w:val="1"/>
      </w:pPr>
      <w:r w:rsidRPr="003A1772">
        <w:rPr>
          <w:rFonts w:ascii="Times New Roman" w:hAnsi="Times New Roman" w:cs="Times New Roman"/>
          <w:sz w:val="22"/>
          <w:szCs w:val="22"/>
          <w:lang w:val="pl-PL"/>
          <w:b/>
          <w:bCs/>
        </w:rPr>
        <w:lastRenderedPageBreak/>
        <w:t xml:space="preserve">Tabela 3.2. </w:t>
      </w:r>
      <w:r w:rsidR="00F20981" w:rsidRPr="00F20981">
        <w:rPr>
          <w:rFonts w:ascii="Times New Roman" w:hAnsi="Times New Roman" w:cs="Times New Roman"/>
          <w:sz w:val="22"/>
          <w:szCs w:val="22"/>
          <w:lang w:val="pl-PL"/>
          <w:b/>
          <w:bCs/>
        </w:rPr>
        <w:t>Porównanie wybranych metod kodowania danych klasycznych w kwantowym uczeniu maszynowym</w:t>
      </w:r>
    </w:p>
    <w:tbl>
      <w:tblPr>
        <w:tblStyle w:val="TableGrid"/>
        <w:tblW w:w="8997" w:type="dxa"/>
        <w:tblLook w:val="04A0" w:firstRow="1" w:lastRow="0" w:firstColumn="1" w:lastColumn="0" w:noHBand="0" w:noVBand="1"/>
        <w:tblInd w:w="75" w:type="dxa"/>
        <w:jc w:val="left"/>
        <w:tblLayout w:type="fixed"/>
        <w:tblCellMar>
          <w:top w:w="55" w:type="dxa"/>
          <w:start w:w="75" w:type="dxa"/>
          <w:bottom w:w="55" w:type="dxa"/>
          <w:end w:w="75" w:type="dxa"/>
        </w:tblCellMar>
        <w:tblBorders>
          <w:top w:val="single" w:sz="6" w:space="0" w:color="7A8793"/>
          <w:left w:val="single" w:sz="6" w:space="0" w:color="7A8793"/>
          <w:bottom w:val="single" w:sz="6" w:space="0" w:color="7A8793"/>
          <w:right w:val="single" w:sz="6" w:space="0" w:color="7A8793"/>
          <w:insideH w:val="single" w:sz="4" w:space="0" w:color="9AA4AE"/>
          <w:insideV w:val="single" w:sz="4" w:space="0" w:color="9AA4AE"/>
        </w:tblBorders>
      </w:tblPr>
      <w:tblGrid>
        <w:gridCol w:w="2390"/>
        <w:gridCol w:w="6607"/>
      </w:tblGrid>
      <w:tr w:rsidR="00F4744E" w:rsidRPr="00F4744E" w14:paraId="353BAB49" w14:textId="77777777" w:rsidTr="003A1772">
        <w:trPr>
          <w:cantSplit/>
          <w:tblHeader/>
        </w:trPr>
        <w:tc>
          <w:tcPr>
            <w:tcW w:w="2390" w:type="dxa"/>
            <w:hideMark/>
            <w:vAlign w:val="center"/>
            <w:shd w:val="clear" w:color="auto" w:fill="DCE6F1"/>
          </w:tcPr>
          <w:p w14:paraId="13F04DD9" w14:textId="77777777" w:rsidR="00F4744E" w:rsidRPr="00F4744E" w:rsidRDefault="00F4744E" w:rsidP="00720187">
            <w:pPr>
              <w:pStyle w:val="Normal"/>
              <w:spacing w:after="0" w:line="240" w:lineRule="auto" w:before="0"/>
              <w:rPr>
                <w:rFonts w:cs="Times New Roman"/>
                <w:b/>
                <w:bCs/>
                <w:szCs w:val="24"/>
                <w:lang w:val="pl-PL"/>
              </w:rPr>
              <w:ind w:left="0" w:firstLine="0"/>
              <w:jc w:val="center"/>
              <w:keepNext w:val="1"/>
              <w:keepLines w:val="1"/>
            </w:pPr>
            <w:r w:rsidRPr="00F4744E">
              <w:rPr>
                <w:rFonts w:ascii="Times New Roman" w:hAnsi="Times New Roman" w:cs="Times New Roman"/>
                <w:sz w:val="18"/>
                <w:szCs w:val="18"/>
                <w:lang w:val="pl-PL"/>
                <w:b/>
                <w:bCs/>
              </w:rPr>
              <w:t>Metoda kodowania</w:t>
            </w:r>
          </w:p>
        </w:tc>
        <w:tc>
          <w:tcPr>
            <w:tcW w:w="6607" w:type="dxa"/>
            <w:hideMark/>
            <w:vAlign w:val="center"/>
            <w:shd w:val="clear" w:color="auto" w:fill="DCE6F1"/>
          </w:tcPr>
          <w:p w14:paraId="04E73728" w14:textId="223E77BD" w:rsidR="00F4744E" w:rsidRPr="00F4744E" w:rsidRDefault="00AE6F5C" w:rsidP="00720187">
            <w:pPr>
              <w:pStyle w:val="Normal"/>
              <w:spacing w:after="0" w:line="240" w:lineRule="auto" w:before="0"/>
              <w:rPr>
                <w:rFonts w:cs="Times New Roman"/>
                <w:b/>
                <w:bCs/>
                <w:szCs w:val="24"/>
                <w:lang w:val="pl-PL"/>
              </w:rPr>
              <w:ind w:left="0" w:firstLine="0"/>
              <w:jc w:val="center"/>
              <w:keepNext w:val="1"/>
              <w:keepLines w:val="1"/>
            </w:pPr>
            <w:r w:rsidRPr="00A66AA3">
              <w:rPr>
                <w:rFonts w:ascii="Times New Roman" w:hAnsi="Times New Roman" w:cs="Times New Roman"/>
                <w:sz w:val="18"/>
                <w:szCs w:val="18"/>
                <w:lang w:val="pl-PL"/>
                <w:b/>
                <w:bCs/>
              </w:rPr>
              <w:t>Zalety i ograniczenia</w:t>
            </w:r>
          </w:p>
        </w:tc>
      </w:tr>
      <w:tr w:rsidR="00F4744E" w:rsidRPr="00F4744E" w14:paraId="644BF7F9" w14:textId="77777777" w:rsidTr="003A1772">
        <w:trPr>
          <w:cantSplit/>
        </w:trPr>
        <w:tc>
          <w:tcPr>
            <w:tcW w:w="2390" w:type="dxa"/>
            <w:hideMark/>
            <w:vAlign w:val="center"/>
            <w:shd w:val="clear" w:color="auto" w:fill="FFFFFF"/>
          </w:tcPr>
          <w:p w14:paraId="4D26DA5F" w14:textId="41BA1F5E" w:rsidR="00F4744E" w:rsidRPr="00F4744E" w:rsidRDefault="00F4744E" w:rsidP="00720187">
            <w:pPr>
              <w:pStyle w:val="Normal"/>
              <w:spacing w:after="0" w:line="240" w:lineRule="auto" w:before="0"/>
              <w:rPr>
                <w:rFonts w:cs="Times New Roman"/>
                <w:b/>
                <w:bCs/>
                <w:i/>
                <w:iCs/>
                <w:szCs w:val="24"/>
              </w:rPr>
              <w:ind w:left="0" w:firstLine="0"/>
              <w:jc w:val="left"/>
              <w:keepNext w:val="1"/>
              <w:keepLines w:val="1"/>
            </w:pPr>
            <w:r>
              <w:rPr>
                <w:rFonts w:ascii="Times New Roman" w:hAnsi="Times New Roman" w:cs="Times New Roman"/>
                <w:sz w:val="18"/>
                <w:szCs w:val="18"/>
                <w:lang w:val="pl-PL"/>
                <w:b/>
                <w:bCs/>
              </w:rPr>
              <w:t>kodowanie w bazie obliczeniowej (ang. basis encoding)</w:t>
            </w:r>
          </w:p>
        </w:tc>
        <w:tc>
          <w:tcPr>
            <w:tcW w:w="6607" w:type="dxa"/>
            <w:hideMark/>
            <w:vAlign w:val="center"/>
            <w:shd w:val="clear" w:color="auto" w:fill="FFFFFF"/>
          </w:tcPr>
          <w:p w14:paraId="38DF5625" w14:textId="0B6260F8" w:rsidR="00113D97" w:rsidRP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Zalety:</w:t>
            </w:r>
          </w:p>
          <w:p w14:paraId="6DE820F6" w14:textId="1A7C97FC"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prosta i intuicyjna reprezentacja danych dyskretnych</w:t>
            </w:r>
          </w:p>
          <w:p w14:paraId="2EEA4982" w14:textId="2AE3698F"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naturalna dla cech binarnych i kategorii zero-jedynkow</w:t>
            </w:r>
            <w:r>
              <w:rPr>
                <w:rFonts w:ascii="Times New Roman" w:hAnsi="Times New Roman" w:cs="Times New Roman"/>
                <w:sz w:val="18"/>
                <w:szCs w:val="18"/>
                <w:lang w:val="pl-PL"/>
              </w:rPr>
              <w:t>ych</w:t>
            </w:r>
          </w:p>
          <w:p w14:paraId="155C2500" w14:textId="41AE22F8" w:rsidR="00113D97" w:rsidRP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Ograniczenia:</w:t>
            </w:r>
          </w:p>
          <w:p w14:paraId="27E2D35A" w14:textId="77777777"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słabiej nadaje się do danych ciągłych</w:t>
            </w:r>
          </w:p>
          <w:p w14:paraId="669459F5" w14:textId="7EB95AF1" w:rsidR="00F4744E" w:rsidRP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zwykle wymaga wcześniejszej dyskretyzacji</w:t>
            </w:r>
          </w:p>
        </w:tc>
      </w:tr>
      <w:tr w:rsidR="00F4744E" w:rsidRPr="002740CF" w14:paraId="466549E3" w14:textId="77777777" w:rsidTr="003A1772">
        <w:trPr>
          <w:cantSplit/>
        </w:trPr>
        <w:tc>
          <w:tcPr>
            <w:tcW w:w="2390" w:type="dxa"/>
            <w:hideMark/>
            <w:vAlign w:val="center"/>
            <w:shd w:val="clear" w:color="auto" w:fill="F5F7FA"/>
          </w:tcPr>
          <w:p w14:paraId="517501D8" w14:textId="511FE87A" w:rsidR="00F4744E" w:rsidRPr="00F4744E" w:rsidRDefault="00F4744E" w:rsidP="00720187">
            <w:pPr>
              <w:pStyle w:val="Normal"/>
              <w:spacing w:after="0" w:line="240" w:lineRule="auto" w:before="0"/>
              <w:rPr>
                <w:rFonts w:cs="Times New Roman"/>
                <w:b/>
                <w:bCs/>
                <w:i/>
                <w:iCs/>
                <w:szCs w:val="24"/>
              </w:rPr>
              <w:ind w:left="0" w:firstLine="0"/>
              <w:jc w:val="left"/>
              <w:keepNext w:val="1"/>
              <w:keepLines w:val="1"/>
            </w:pPr>
            <w:r>
              <w:rPr>
                <w:rFonts w:ascii="Times New Roman" w:hAnsi="Times New Roman" w:cs="Times New Roman"/>
                <w:sz w:val="18"/>
                <w:szCs w:val="18"/>
                <w:lang w:val="pl-PL"/>
                <w:b/>
                <w:bCs/>
              </w:rPr>
              <w:t>kodowanie kątowe (ang. angle encoding)</w:t>
            </w:r>
          </w:p>
        </w:tc>
        <w:tc>
          <w:tcPr>
            <w:tcW w:w="6607" w:type="dxa"/>
            <w:hideMark/>
            <w:vAlign w:val="center"/>
            <w:shd w:val="clear" w:color="auto" w:fill="F5F7FA"/>
          </w:tcPr>
          <w:p w14:paraId="1B691E4D" w14:textId="137FACB6" w:rsidR="00113D97" w:rsidRP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Zalety:</w:t>
            </w:r>
          </w:p>
          <w:p w14:paraId="45062EC6" w14:textId="67A74BB7" w:rsidR="00F4744E" w:rsidRDefault="00EE245C" w:rsidP="00720187">
            <w:pPr>
              <w:pStyle w:val="Normal"/>
              <w:spacing w:after="0" w:line="240" w:lineRule="auto" w:before="0"/>
              <w:rPr>
                <w:rFonts w:cs="Times New Roman"/>
                <w:szCs w:val="24"/>
                <w:lang w:val="pl-PL"/>
              </w:rPr>
              <w:ind w:left="0" w:firstLine="0"/>
              <w:jc w:val="left"/>
              <w:keepNext w:val="1"/>
              <w:keepLines w:val="1"/>
            </w:pPr>
            <w:r>
              <w:rPr>
                <w:rFonts w:ascii="Times New Roman" w:hAnsi="Times New Roman" w:cs="Times New Roman"/>
                <w:sz w:val="18"/>
                <w:szCs w:val="18"/>
                <w:lang w:val="pl-PL"/>
              </w:rPr>
              <w:t>stosunkowo prosta</w:t>
            </w:r>
            <w:r w:rsidR="00F4744E" w:rsidRPr="00F4744E">
              <w:rPr>
                <w:rFonts w:ascii="Times New Roman" w:hAnsi="Times New Roman" w:cs="Times New Roman"/>
                <w:sz w:val="18"/>
                <w:szCs w:val="18"/>
                <w:lang w:val="pl-PL"/>
              </w:rPr>
              <w:t xml:space="preserve"> do implementacji na sprzęcie kwantowym</w:t>
            </w:r>
          </w:p>
          <w:p w14:paraId="38F130D2" w14:textId="77777777"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bezpośrednio obsługuje cechy liczbowe o wartościach rzeczywistych</w:t>
            </w:r>
          </w:p>
          <w:p w14:paraId="4EDB1C9F" w14:textId="7BAE710B" w:rsidR="00113D97" w:rsidRP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Ograniczenia:</w:t>
            </w:r>
          </w:p>
          <w:p w14:paraId="6D72C63B" w14:textId="12A7583F"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wymaga odpowiedniego przeskalowania cech</w:t>
            </w:r>
          </w:p>
          <w:p w14:paraId="10D49503" w14:textId="280D8964" w:rsidR="00F4744E" w:rsidRPr="00F4744E" w:rsidRDefault="001F0AEC" w:rsidP="00720187">
            <w:pPr>
              <w:pStyle w:val="Normal"/>
              <w:spacing w:after="0" w:line="240" w:lineRule="auto" w:before="0"/>
              <w:rPr>
                <w:rFonts w:cs="Times New Roman"/>
                <w:szCs w:val="24"/>
                <w:lang w:val="pl-PL"/>
              </w:rPr>
              <w:ind w:left="0" w:firstLine="0"/>
              <w:jc w:val="left"/>
              <w:keepNext w:val="1"/>
              <w:keepLines w:val="1"/>
            </w:pPr>
            <w:r>
              <w:rPr>
                <w:rFonts w:ascii="Times New Roman" w:hAnsi="Times New Roman" w:cs="Times New Roman"/>
                <w:sz w:val="18"/>
                <w:szCs w:val="18"/>
                <w:lang w:val="pl-PL"/>
              </w:rPr>
              <w:t>w prostym wariancie jednorazowym zwykle wymaga osobnej rotacji dla każdej cechy</w:t>
            </w:r>
          </w:p>
        </w:tc>
      </w:tr>
      <w:tr w:rsidR="00F4744E" w:rsidRPr="002740CF" w14:paraId="04D19FB9" w14:textId="77777777" w:rsidTr="003A1772">
        <w:trPr>
          <w:cantSplit/>
        </w:trPr>
        <w:tc>
          <w:tcPr>
            <w:tcW w:w="2390" w:type="dxa"/>
            <w:hideMark/>
            <w:vAlign w:val="center"/>
            <w:shd w:val="clear" w:color="auto" w:fill="FFFFFF"/>
          </w:tcPr>
          <w:p w14:paraId="36D07357" w14:textId="7715AB66" w:rsidR="00F4744E" w:rsidRPr="00F4744E" w:rsidRDefault="00F4744E" w:rsidP="00720187">
            <w:pPr>
              <w:pStyle w:val="Normal"/>
              <w:spacing w:after="0" w:line="240" w:lineRule="auto" w:before="0"/>
              <w:rPr>
                <w:rFonts w:cs="Times New Roman"/>
                <w:b/>
                <w:bCs/>
                <w:i/>
                <w:iCs/>
                <w:szCs w:val="24"/>
              </w:rPr>
              <w:ind w:left="0" w:firstLine="0"/>
              <w:jc w:val="left"/>
              <w:keepNext w:val="1"/>
              <w:keepLines w:val="1"/>
            </w:pPr>
            <w:r>
              <w:rPr>
                <w:rFonts w:ascii="Times New Roman" w:hAnsi="Times New Roman" w:cs="Times New Roman"/>
                <w:sz w:val="18"/>
                <w:szCs w:val="18"/>
                <w:lang w:val="pl-PL"/>
                <w:b/>
                <w:bCs/>
              </w:rPr>
              <w:t>kodowanie amplitudowe (ang. amplitude encoding)</w:t>
            </w:r>
          </w:p>
        </w:tc>
        <w:tc>
          <w:tcPr>
            <w:tcW w:w="6607" w:type="dxa"/>
            <w:hideMark/>
            <w:vAlign w:val="center"/>
            <w:shd w:val="clear" w:color="auto" w:fill="FFFFFF"/>
          </w:tcPr>
          <w:p w14:paraId="50A7FAB0" w14:textId="23A6ADCF" w:rsidR="00113D97" w:rsidRP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Zalety:</w:t>
            </w:r>
          </w:p>
          <w:p w14:paraId="0B7EE0E3" w14:textId="524133D5"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zwart</w:t>
            </w:r>
            <w:r w:rsidR="003A1772">
              <w:rPr>
                <w:rFonts w:ascii="Times New Roman" w:hAnsi="Times New Roman" w:cs="Times New Roman"/>
                <w:sz w:val="18"/>
                <w:szCs w:val="18"/>
                <w:lang w:val="pl-PL"/>
              </w:rPr>
              <w:t>a</w:t>
            </w:r>
            <w:r w:rsidRPr="00F4744E">
              <w:rPr>
                <w:rFonts w:ascii="Times New Roman" w:hAnsi="Times New Roman" w:cs="Times New Roman"/>
                <w:sz w:val="18"/>
                <w:szCs w:val="18"/>
                <w:lang w:val="pl-PL"/>
              </w:rPr>
              <w:t xml:space="preserve"> reprezentacj</w:t>
            </w:r>
            <w:r w:rsidR="003A1772">
              <w:rPr>
                <w:rFonts w:ascii="Times New Roman" w:hAnsi="Times New Roman" w:cs="Times New Roman"/>
                <w:sz w:val="18"/>
                <w:szCs w:val="18"/>
                <w:lang w:val="pl-PL"/>
              </w:rPr>
              <w:t>a</w:t>
            </w:r>
            <w:r w:rsidRPr="00F4744E">
              <w:rPr>
                <w:rFonts w:ascii="Times New Roman" w:hAnsi="Times New Roman" w:cs="Times New Roman"/>
                <w:sz w:val="18"/>
                <w:szCs w:val="18"/>
                <w:lang w:val="pl-PL"/>
              </w:rPr>
              <w:t xml:space="preserve"> danych wysokowymiarowych</w:t>
            </w:r>
          </w:p>
          <w:p w14:paraId="14D9F9D7" w14:textId="5392F655" w:rsidR="00F4744E" w:rsidRDefault="00EE245C" w:rsidP="00720187">
            <w:pPr>
              <w:pStyle w:val="Normal"/>
              <w:spacing w:after="0" w:line="240" w:lineRule="auto" w:before="0"/>
              <w:rPr>
                <w:rFonts w:cs="Times New Roman"/>
                <w:szCs w:val="24"/>
                <w:lang w:val="pl-PL"/>
              </w:rPr>
              <w:ind w:left="0" w:firstLine="0"/>
              <w:jc w:val="left"/>
              <w:keepNext w:val="1"/>
              <w:keepLines w:val="1"/>
            </w:pPr>
            <w:r>
              <w:rPr>
                <w:rFonts w:ascii="Times New Roman" w:hAnsi="Times New Roman" w:cs="Times New Roman"/>
                <w:sz w:val="18"/>
                <w:szCs w:val="18"/>
                <w:lang w:val="pl-PL"/>
              </w:rPr>
              <w:t>umożliwia za</w:t>
            </w:r>
            <w:r w:rsidR="00F4744E" w:rsidRPr="00F4744E">
              <w:rPr>
                <w:rFonts w:ascii="Times New Roman" w:hAnsi="Times New Roman" w:cs="Times New Roman"/>
                <w:sz w:val="18"/>
                <w:szCs w:val="18"/>
                <w:lang w:val="pl-PL"/>
              </w:rPr>
              <w:t>kodowa</w:t>
            </w:r>
            <w:r w:rsidR="003A1772">
              <w:rPr>
                <w:rFonts w:ascii="Times New Roman" w:hAnsi="Times New Roman" w:cs="Times New Roman"/>
                <w:sz w:val="18"/>
                <w:szCs w:val="18"/>
                <w:lang w:val="pl-PL"/>
              </w:rPr>
              <w:t>nie</w:t>
            </w:r>
            <w:r w:rsidR="00F4744E" w:rsidRPr="00F4744E">
              <w:rPr>
                <w:rFonts w:ascii="Times New Roman" w:hAnsi="Times New Roman" w:cs="Times New Roman"/>
                <w:sz w:val="18"/>
                <w:szCs w:val="18"/>
                <w:lang w:val="pl-PL"/>
              </w:rPr>
              <w:t xml:space="preserve"> </w:t>
            </w:r>
            <w:r w:rsidR="00134481" w:rsidRPr="00134481">
              <w:rPr>
                <w:rFonts w:ascii="Times New Roman" w:hAnsi="Times New Roman" w:cs="Times New Roman"/>
                <w:sz w:val="18"/>
                <w:szCs w:val="18"/>
                <w:lang w:val="pl-PL"/>
              </w:rPr>
              <w:t>wektor</w:t>
            </w:r>
            <w:r>
              <w:rPr>
                <w:rFonts w:ascii="Times New Roman" w:hAnsi="Times New Roman" w:cs="Times New Roman"/>
                <w:sz w:val="18"/>
                <w:szCs w:val="18"/>
                <w:lang w:val="pl-PL"/>
              </w:rPr>
              <w:t>a</w:t>
            </w:r>
            <w:r w:rsidR="00134481" w:rsidRPr="00134481">
              <w:rPr>
                <w:rFonts w:ascii="Times New Roman" w:hAnsi="Times New Roman" w:cs="Times New Roman"/>
                <w:sz w:val="18"/>
                <w:szCs w:val="18"/>
                <w:lang w:val="pl-PL"/>
              </w:rPr>
              <w:t xml:space="preserve"> długości</w:t>
            </w:r>
            <w:r w:rsidR="00134481">
              <w:rPr>
                <w:rFonts w:ascii="Times New Roman" w:hAnsi="Times New Roman" w:cs="Times New Roman"/>
                <w:sz w:val="18"/>
                <w:szCs w:val="18"/>
                <w:lang w:val="pl-PL"/>
              </w:rPr>
              <w:t xml:space="preserve"> </w:t>
            </w:r>
            <m:oMath>
              <m:sSup>
                <m:sSupPr>
                  <m:ctrlPr>
                    <w:rPr>
                      <w:rFonts w:ascii="Cambria Math" w:hAnsi="Cambria Math" w:cs="Times New Roman"/>
                      <w:i/>
                      <w:szCs w:val="18"/>
                      <w:lang w:val="pl-PL"/>
                      <w:sz w:val="18"/>
                    </w:rPr>
                  </m:ctrlPr>
                </m:sSupPr>
                <m:e>
                  <m:r>
                    <w:rPr>
                      <w:rFonts w:ascii="Cambria Math" w:hAnsi="Cambria Math" w:cs="Times New Roman"/>
                      <w:szCs w:val="18"/>
                      <w:lang w:val="pl-PL"/>
                      <w:sz w:val="18"/>
                    </w:rPr>
                    <m:t>2</m:t>
                  </m:r>
                </m:e>
                <m:sup>
                  <m:r>
                    <w:rPr>
                      <w:rFonts w:ascii="Cambria Math" w:hAnsi="Cambria Math" w:cs="Times New Roman"/>
                      <w:szCs w:val="18"/>
                      <w:lang w:val="pl-PL"/>
                      <w:sz w:val="18"/>
                    </w:rPr>
                    <m:t>n</m:t>
                  </m:r>
                </m:sup>
              </m:sSup>
            </m:oMath>
            <w:r w:rsidR="00134481" w:rsidRPr="00134481">
              <w:rPr>
                <w:rFonts w:ascii="Times New Roman" w:hAnsi="Times New Roman" w:cs="Times New Roman"/>
                <w:sz w:val="18"/>
                <w:szCs w:val="18"/>
                <w:lang w:val="pl-PL"/>
              </w:rPr>
              <w:t xml:space="preserve"> w stanie </w:t>
            </w:r>
            <w:r w:rsidR="00134481">
              <w:rPr>
                <w:rFonts w:ascii="Times New Roman" w:hAnsi="Times New Roman" w:cs="Times New Roman"/>
                <w:sz w:val="18"/>
                <w:szCs w:val="18"/>
                <w:lang w:val="pl-PL"/>
              </w:rPr>
              <w:t>n</w:t>
            </w:r>
            <w:r w:rsidR="00134481" w:rsidRPr="00134481">
              <w:rPr>
                <w:rFonts w:ascii="Times New Roman" w:hAnsi="Times New Roman" w:cs="Times New Roman"/>
                <w:sz w:val="18"/>
                <w:szCs w:val="18"/>
                <w:lang w:val="pl-PL"/>
              </w:rPr>
              <w:t xml:space="preserve"> kubitów</w:t>
            </w:r>
          </w:p>
          <w:p w14:paraId="3DAF231D" w14:textId="54CCA8CE" w:rsidR="00113D97" w:rsidRDefault="00113D97" w:rsidP="00720187">
            <w:pPr>
              <w:pStyle w:val="Normal"/>
              <w:spacing w:after="0" w:line="240" w:lineRule="auto" w:before="0"/>
              <w:rPr>
                <w:rFonts w:cs="Times New Roman"/>
                <w:b/>
                <w:bCs/>
                <w:szCs w:val="24"/>
                <w:lang w:val="pl-PL"/>
              </w:rPr>
              <w:ind w:left="0" w:firstLine="0"/>
              <w:jc w:val="left"/>
              <w:keepNext w:val="1"/>
              <w:keepLines w:val="1"/>
            </w:pPr>
            <w:r w:rsidRPr="00113D97">
              <w:rPr>
                <w:rFonts w:ascii="Times New Roman" w:hAnsi="Times New Roman" w:cs="Times New Roman"/>
                <w:sz w:val="18"/>
                <w:szCs w:val="18"/>
                <w:lang w:val="pl-PL"/>
              </w:rPr>
              <w:t>Ograniczenia:</w:t>
            </w:r>
          </w:p>
          <w:p w14:paraId="6F63B887" w14:textId="28DEF1DA" w:rsidR="006F0A89" w:rsidRPr="00720187" w:rsidRDefault="006F0A89" w:rsidP="00720187">
            <w:pPr>
              <w:pStyle w:val="Normal"/>
              <w:spacing w:after="0" w:line="240" w:lineRule="auto" w:before="0"/>
              <w:rPr>
                <w:rFonts w:cs="Times New Roman"/>
                <w:szCs w:val="24"/>
                <w:lang w:val="pl-PL"/>
              </w:rPr>
              <w:ind w:left="0" w:firstLine="0"/>
              <w:jc w:val="left"/>
              <w:keepNext w:val="1"/>
              <w:keepLines w:val="1"/>
            </w:pPr>
            <w:r w:rsidRPr="00720187">
              <w:rPr>
                <w:rFonts w:ascii="Times New Roman" w:hAnsi="Times New Roman" w:cs="Times New Roman"/>
                <w:sz w:val="18"/>
                <w:szCs w:val="18"/>
                <w:lang w:val="pl-PL"/>
              </w:rPr>
              <w:t>wymaga normalizacji wektora danych</w:t>
            </w:r>
          </w:p>
          <w:p w14:paraId="64F6FF00" w14:textId="1A9E1598" w:rsid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wymaga kosztownego przygotowania stanu</w:t>
            </w:r>
          </w:p>
          <w:p w14:paraId="75E59D54" w14:textId="0E22B7EF" w:rsidR="00F4744E" w:rsidRPr="00F4744E" w:rsidRDefault="00F4744E" w:rsidP="00720187">
            <w:pPr>
              <w:pStyle w:val="Normal"/>
              <w:spacing w:after="0" w:line="240" w:lineRule="auto" w:before="0"/>
              <w:rPr>
                <w:rFonts w:cs="Times New Roman"/>
                <w:szCs w:val="24"/>
                <w:lang w:val="pl-PL"/>
              </w:rPr>
              <w:ind w:left="0" w:firstLine="0"/>
              <w:jc w:val="left"/>
              <w:keepNext w:val="1"/>
              <w:keepLines w:val="1"/>
            </w:pPr>
            <w:r w:rsidRPr="00F4744E">
              <w:rPr>
                <w:rFonts w:ascii="Times New Roman" w:hAnsi="Times New Roman" w:cs="Times New Roman"/>
                <w:sz w:val="18"/>
                <w:szCs w:val="18"/>
                <w:lang w:val="pl-PL"/>
              </w:rPr>
              <w:t>utrudnia bezpośredni odczyt zakodowanej informacji</w:t>
            </w:r>
          </w:p>
        </w:tc>
      </w:tr>
    </w:tbl>
    <w:p w14:paraId="6C672A89" w14:textId="49EED4F6" w:rsidR="003A1772" w:rsidRPr="00A66AA3" w:rsidRDefault="003A1772" w:rsidP="003A1772">
      <w:pPr>
        <w:pStyle w:val="Normal"/>
        <w:spacing w:before="40" w:after="120" w:line="240" w:lineRule="auto"/>
        <w:rPr>
          <w:rFonts w:cs="Times New Roman"/>
          <w:sz w:val="20"/>
          <w:szCs w:val="20"/>
          <w:lang w:val="pl-PL"/>
        </w:rPr>
        <w:jc w:val="left"/>
        <w:ind w:left="0" w:firstLine="0"/>
        <w:keepLines w:val="1"/>
      </w:pPr>
      <w:r>
        <w:rPr>
          <w:rFonts w:ascii="Times New Roman" w:hAnsi="Times New Roman" w:cs="Times New Roman"/>
          <w:sz w:val="18"/>
          <w:szCs w:val="18"/>
          <w:lang w:val="pl-PL"/>
          <w:i/>
          <w:iCs/>
        </w:rPr>
        <w:t>Źródło: opracowanie własne na podstawie: M. Schuld, F. Petruccione, Supervised Learning with Quantum Computers, Springer, Cham 2018, s. 109–112, 148–150, 186–188.</w:t>
      </w:r>
    </w:p>
    <w:p w14:paraId="29A3278C" w14:textId="0EA6BE60" w:rsidR="007F244F" w:rsidRPr="0060670C" w:rsidRDefault="007F244F" w:rsidP="007F244F">
      <w:pPr>
        <w:pStyle w:val="Heading1"/>
        <w:rPr>
          <w:rFonts w:ascii="Times New Roman" w:hAnsi="Times New Roman" w:cs="Times New Roman"/>
          <w:color w:val="auto"/>
          <w:sz w:val="24"/>
          <w:szCs w:val="24"/>
          <w:lang w:val="pl-PL"/>
        </w:rPr>
        <w:jc w:val="left"/>
        <w:ind w:left="0" w:firstLine="0"/>
        <w:spacing w:before="240" w:after="120" w:line="360" w:lineRule="auto"/>
        <w:keepNext w:val="1"/>
        <w:keepLines w:val="1"/>
      </w:pPr>
      <w:r w:rsidRPr="0060670C">
        <w:lastRenderedPageBreak/>
        <w:t>3.3. Ograniczenia praktyczne kwantowych sieci neuronowych</w:t>
      </w:r>
    </w:p>
    <w:p w14:paraId="2A9581E1" w14:textId="2556909F" w:rsidR="00CB087E" w:rsidRPr="0060670C" w:rsidRDefault="007F244F" w:rsidP="00B348E5">
      <w:pPr>
        <w:pStyle w:val="Normal"/>
        <w:spacing w:after="0" w:before="0" w:line="360" w:lineRule="auto"/>
        <w:ind w:firstLine="709" w:left="0"/>
        <w:jc w:val="both"/>
        <w:rPr>
          <w:rFonts w:cs="Times New Roman"/>
          <w:szCs w:val="24"/>
          <w:lang w:val="pl-PL"/>
        </w:rPr>
      </w:pPr>
      <w:r>
        <w:t>Analiza praktycznych ograniczeń QNN wymaga uwzględnienia realiów zaszumionych urządzeń kwantowych średniej skali (ang. Noisy Intermediate-Scale Quantum, NISQ), które nie dysponują pełną korekcją błędów i pozwalają wiarygodnie wykonywać jedynie obwody o ograniczonej głębokości</w:t>
      </w:r>
      <w:r>
        <w:rPr>
          <w:rStyle w:val="FootnoteReference"/>
        </w:rPr>
        <w:footnoteReference w:id="34"/>
      </w:r>
      <w:r>
        <w:t>. Historyczny wzrost liczby kubitów w wybranych procesorach IBM ilustruje rozwój sprzętu, lecz sama liczba kubitów nie określa jego użyteczności. Znaczenie mają również łączność, wierność bramek i odczytu, czas koherencji oraz osiągalna głębokość obwodu. W badaniach symulatorowych kontekst NISQ wyznacza granicę przenoszenia wniosków na rzeczywiste urządzenia, a nie opis środowiska wykonania modelu.</w:t>
      </w:r>
    </w:p>
    <w:p w14:paraId="116BFA21" w14:textId="373D49BD" w:rsidR="00CB087E" w:rsidRPr="0060670C" w:rsidRDefault="00CB087E" w:rsidP="00CB087E">
      <w:pPr>
        <w:pStyle w:val="Normal"/>
        <w:spacing w:after="80" w:before="120" w:line="240" w:lineRule="auto"/>
        <w:jc w:val="center"/>
        <w:rPr>
          <w:rFonts w:cs="Times New Roman"/>
          <w:b/>
          <w:bCs/>
          <w:szCs w:val="24"/>
          <w:lang w:val="pl-PL"/>
        </w:rPr>
        <w:ind w:left="0" w:firstLine="0"/>
        <w:keepNext w:val="1"/>
        <w:keepLines w:val="1"/>
      </w:pPr>
      <w:r>
        <w:rPr>
          <w:rFonts w:ascii="Times New Roman" w:hAnsi="Times New Roman" w:cs="Times New Roman"/>
          <w:sz w:val="22"/>
          <w:szCs w:val="22"/>
          <w:lang w:val="pl-PL"/>
          <w:b/>
          <w:bCs/>
        </w:rPr>
        <w:t>Wykres 3.1. Historyczny wzrost liczby kubitów fizycznych w wybranych procesorach i systemach IBM Quantum</w:t>
      </w:r>
    </w:p>
    <w:p w14:paraId="730217A2" w14:textId="336A89CA" w:rsidR="00CB087E" w:rsidRPr="0060670C" w:rsidRDefault="00CB087E" w:rsidP="00CB087E">
      <w:pPr>
        <w:pStyle w:val="Normal"/>
        <w:spacing w:after="0" w:before="0" w:line="240" w:lineRule="auto"/>
        <w:jc w:val="center"/>
        <w:rPr>
          <w:rFonts w:cs="Times New Roman"/>
          <w:szCs w:val="24"/>
          <w:lang w:val="pl-PL"/>
        </w:rPr>
        <w:ind w:left="0" w:firstLine="0"/>
      </w:pPr>
      <w:r w:rsidRPr="0060670C">
        <w:rPr>
          <w:rFonts w:cs="Times New Roman"/>
          <w:noProof/>
          <w:szCs w:val="24"/>
          <w:lang w:val="pl-PL"/>
        </w:rPr>
        <w:drawing>
          <wp:inline distT="0" distB="0" distL="0" distR="0" wp14:anchorId="1934D0D1" wp14:editId="33AEAAE1">
            <wp:extent cx="5760000" cy="3155249"/>
            <wp:effectExtent l="0" t="0" r="0" b="0"/>
            <wp:docPr id="74269094" name="Wzrost liczby kubitów IBM Quantum" descr="Wykres liniowy przedstawiający historyczny wzrost liczby kubitów fizycznych w wybranych procesorach i systemach IBM Quantum w latach 2016–2023." title="Wzrost liczby kubitów IBM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094" name="Wzrost liczby kubitów IBM Quantum" descr="Wykres liniowy przedstawiający historyczny wzrost liczby kubitów fizycznych w wybranych procesorach i systemach IBM Quantum w latach 2016–2023." title="Wzrost liczby kubitów IBM Quantum"/>
                    <pic:cNvPicPr/>
                  </pic:nvPicPr>
                  <pic:blipFill rotWithShape="1">
                    <a:blip r:embed="rId10"/>
                    <a:srcRect t="6729"/>
                    <a:stretch/>
                  </pic:blipFill>
                  <pic:spPr bwMode="auto">
                    <a:xfrm>
                      <a:off x="0" y="0"/>
                      <a:ext cx="5760000" cy="3155249"/>
                    </a:xfrm>
                    <a:prstGeom prst="rect">
                      <a:avLst/>
                    </a:prstGeom>
                    <a:ln>
                      <a:noFill/>
                    </a:ln>
                    <a:extLst>
                      <a:ext uri="{53640926-AAD7-44D8-BBD7-CCE9431645EC}">
                        <a14:shadowObscured xmlns:a14="http://schemas.microsoft.com/office/drawing/2010/main"/>
                      </a:ext>
                    </a:extLst>
                  </pic:spPr>
                </pic:pic>
              </a:graphicData>
            </a:graphic>
          </wp:inline>
        </w:drawing>
      </w:r>
    </w:p>
    <w:p w14:paraId="1F83B120" w14:textId="0D4EB07A" w:rsidR="00CB087E" w:rsidRPr="0060670C" w:rsidRDefault="008D1231" w:rsidP="00992F8F">
      <w:pPr>
        <w:pStyle w:val="Normal"/>
        <w:spacing w:after="120" w:before="40" w:line="240" w:lineRule="auto"/>
        <w:jc w:val="left"/>
        <w:rPr>
          <w:rFonts w:cs="Times New Roman"/>
          <w:sz w:val="20"/>
          <w:szCs w:val="20"/>
          <w:lang w:val="pl-PL"/>
        </w:rPr>
        <w:ind w:left="0" w:firstLine="0"/>
        <w:keepLines w:val="1"/>
      </w:pPr>
      <w:r w:rsidRPr="0060670C">
        <w:rPr>
          <w:rFonts w:ascii="Times New Roman" w:hAnsi="Times New Roman" w:cs="Times New Roman"/>
          <w:sz w:val="18"/>
          <w:szCs w:val="18"/>
          <w:lang w:val="pl-PL"/>
          <w:i/>
          <w:iCs/>
        </w:rPr>
        <w:t>Źródło:</w:t>
      </w:r>
      <w:r w:rsidRPr="0060670C">
        <w:rPr>
          <w:rFonts w:ascii="Times New Roman" w:hAnsi="Times New Roman" w:cs="Times New Roman"/>
          <w:sz w:val="18"/>
          <w:szCs w:val="18"/>
          <w:lang w:val="pl-PL"/>
          <w:i/>
          <w:iCs/>
        </w:rPr>
        <w:t xml:space="preserve"> opracowanie własne na podstawie materiałów IBM Quantum dotyczących kolejnych generacji procesorów kwantowych IBM, 20</w:t>
      </w:r>
      <w:r w:rsidR="00864A9E">
        <w:rPr>
          <w:rFonts w:ascii="Times New Roman" w:hAnsi="Times New Roman" w:cs="Times New Roman"/>
          <w:sz w:val="18"/>
          <w:szCs w:val="18"/>
          <w:lang w:val="pl-PL"/>
          <w:i/>
          <w:iCs/>
        </w:rPr>
        <w:t>16</w:t>
      </w:r>
      <w:r w:rsidRPr="0060670C">
        <w:rPr>
          <w:rFonts w:ascii="Times New Roman" w:hAnsi="Times New Roman" w:cs="Times New Roman"/>
          <w:sz w:val="18"/>
          <w:szCs w:val="18"/>
          <w:lang w:val="pl-PL"/>
          <w:i/>
          <w:iCs/>
        </w:rPr>
        <w:t>–2023</w:t>
      </w:r>
      <w:r w:rsidR="00531DDE">
        <w:rPr>
          <w:rStyle w:val="FootnoteReference"/>
          <w:rFonts w:ascii="Times New Roman" w:hAnsi="Times New Roman" w:cs="Times New Roman"/>
          <w:sz w:val="18"/>
          <w:szCs w:val="18"/>
          <w:lang w:val="pl-PL"/>
          <w:i/>
          <w:iCs/>
        </w:rPr>
        <w:footnoteReference w:id="35"/>
      </w:r>
      <w:r w:rsidRPr="0060670C">
        <w:rPr>
          <w:rFonts w:ascii="Times New Roman" w:hAnsi="Times New Roman" w:cs="Times New Roman"/>
          <w:sz w:val="18"/>
          <w:szCs w:val="18"/>
          <w:lang w:val="pl-PL"/>
          <w:i/>
          <w:iCs/>
        </w:rPr>
        <w:t>.</w:t>
      </w:r>
    </w:p>
    <w:p w14:paraId="22A67155" w14:textId="6169F54C" w:rsidR="007F244F" w:rsidRPr="0060670C" w:rsidRDefault="008D1231" w:rsidP="001E18A4">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Ograniczenia te mają szczególne znaczenie dla tabelarycznych danych finansowych, dla których istnieją konkurencyjne i efektywne obliczeniowo modele klasyczne. QNN nie należy zatem traktować jako technologii automatycznie przewyższającej podejścia klasyczne, lecz jako rodzinę modeli eksperymentalnych ocenianych wobec odpowiednich punktów odniesienia</w:t>
      </w:r>
      <w:r>
        <w:rPr>
          <w:rStyle w:val="FootnoteReference"/>
        </w:rPr>
        <w:footnoteReference w:id="36"/>
      </w:r>
      <w:r>
        <w:rPr>
          <w:rFonts w:ascii="Times New Roman" w:hAnsi="Times New Roman" w:cs="Times New Roman"/>
          <w:lang w:val="pl-PL"/>
        </w:rPr>
        <w:t>. Literatura dotycząca VQA wskazuje ponadto na problemy trenowalności, dokładności estymacji wartości oczekiwanych, odporności na szum i efektywności obliczeniowej</w:t>
      </w:r>
      <w:r>
        <w:rPr>
          <w:rStyle w:val="FootnoteReference"/>
        </w:rPr>
        <w:footnoteReference w:id="37"/>
      </w:r>
      <w:r>
        <w:rPr>
          <w:rFonts w:ascii="Times New Roman" w:hAnsi="Times New Roman" w:cs="Times New Roman"/>
          <w:lang w:val="pl-PL"/>
        </w:rPr>
        <w:t>. Z tego powodu trzeba odróżnić jakość predykcyjną w kontrolowanym zadaniu od przewagi sprzętowej lub obliczeniowej.</w:t>
      </w:r>
    </w:p>
    <w:p w14:paraId="19940613" w14:textId="4046EC86" w:rsidR="0082440B" w:rsidRDefault="00E940CB" w:rsidP="00871610">
      <w:pPr>
        <w:pStyle w:val="Normal"/>
        <w:spacing w:after="0" w:before="0" w:line="360" w:lineRule="auto"/>
        <w:ind w:firstLine="709" w:left="0"/>
        <w:jc w:val="both"/>
        <w:rPr>
          <w:rFonts w:cs="Times New Roman"/>
          <w:szCs w:val="24"/>
          <w:lang w:val="pl-PL"/>
        </w:rPr>
      </w:pPr>
      <w:r>
        <w:t>Na rzeczywistym sprzęcie podstawowym ograniczeniem jest szum wynikający z niedoskonałości bramek, błędów odczytu i dekoherencji</w:t>
      </w:r>
      <w:r>
        <w:rPr>
          <w:rStyle w:val="FootnoteReference"/>
        </w:rPr>
        <w:footnoteReference w:id="38"/>
      </w:r>
      <w:r>
        <w:t>. Jego znaczenie rośnie zwykle wraz z liczbą operacji i głębokością ansatzu, ponieważ wydłuża się sekwencja, w której stan musi zachować koherencję. Większa głębokość może zwiększać ekspresyjność, lecz równocześnie podnosi koszt wykonania i może pogarszać stabilność uczenia</w:t>
      </w:r>
      <w:r>
        <w:rPr>
          <w:rStyle w:val="FootnoteReference"/>
        </w:rPr>
        <w:footnoteReference w:id="39"/>
      </w:r>
      <w:r>
        <w:t>. Szum może dodatkowo spłaszczać krajobraz optymalizacji i osłabiać gradienty</w:t>
      </w:r>
      <w:r>
        <w:rPr>
          <w:rStyle w:val="FootnoteReference"/>
        </w:rPr>
        <w:footnoteReference w:id="40"/>
      </w:r>
      <w:r>
        <w:t>. Wnioski z idealnego obwodu nie przenoszą się więc automatycznie na wykonanie sprzętowe.</w:t>
      </w:r>
    </w:p>
    <w:p w14:paraId="3614C7CA" w14:textId="69EAF183" w:rsidR="00F4588D" w:rsidRPr="0060670C" w:rsidRDefault="00F4588D" w:rsidP="00871610">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Odrębnym ograniczeniem jest pomiarowy charakter obliczeń kwantowych. Na fizycznym urządzeniu wartości oczekiwane obserwabli estymuje się na podstawie skończonej liczby powtórzeń pomiarowych (ang. shots), co wprowadza wariancję estymacji. Symulator analityczny może obliczać wartości oczekiwane bez błędu próbkowania, lecz wtedy wynik nie obejmuje kosztu pomiarów ani wpływu szumu bramek i odczytu. Ponadto klasyczna symulacja pełnego wektora stanu wymaga zasobów rosnących wykładniczo wraz z liczbą kubitów. Symulator ułatwia więc analizę małych obwodów, ale nie rozstrzyga o ich skalowalności na sprzęcie kwantowym</w:t>
      </w:r>
      <w:r>
        <w:rPr>
          <w:rStyle w:val="FootnoteReference"/>
        </w:rPr>
        <w:footnoteReference w:id="41"/>
      </w:r>
      <w:r>
        <w:rPr>
          <w:rFonts w:ascii="Times New Roman" w:hAnsi="Times New Roman" w:cs="Times New Roman"/>
          <w:lang w:val="pl-PL"/>
        </w:rPr>
        <w:t>.</w:t>
      </w:r>
    </w:p>
    <w:p w14:paraId="33332B9D" w14:textId="4252A9BA" w:rsidR="00FD756B" w:rsidRPr="0060670C" w:rsidRDefault="00F4588D" w:rsidP="00FD756B">
      <w:pPr>
        <w:pStyle w:val="Normal"/>
        <w:spacing w:after="0" w:before="0" w:line="360" w:lineRule="auto"/>
        <w:ind w:firstLine="709" w:left="0"/>
        <w:jc w:val="both"/>
        <w:rPr>
          <w:rFonts w:cs="Times New Roman"/>
          <w:szCs w:val="24"/>
          <w:lang w:val="pl-PL"/>
        </w:rPr>
        <w:keepNext w:val="1"/>
        <w:keepLines w:val="1"/>
      </w:pPr>
      <w:r>
        <w:rPr>
          <w:rFonts w:ascii="Times New Roman" w:hAnsi="Times New Roman" w:cs="Times New Roman"/>
          <w:lang w:val="pl-PL"/>
        </w:rPr>
        <w:t>Kolejnym ograniczeniem jest trenowalność, czyli możliwość znalezienia parametrów prowadzących do obniżenia funkcji straty. Jeżeli wspólnie uczone są parametry obwodu θ, wagi klasycznej głowicy w oraz jej wyraz wolny b, pełny wektor parametrów, oznaczony dalej symbolem ϑ, obejmuje parametry obu części modelu. Dla funkcji straty L elementarny krok optymalizacji gradientowej ma wówczas postać:</w:t>
      </w:r>
    </w:p>
    <w:p w14:paraId="6949ABCF" w14:textId="396901F5" w:rsidR="00FD756B" w:rsidRPr="0060670C" w:rsidRDefault="00410EDC" w:rsidP="00410EDC">
      <w:pPr>
        <w:pStyle w:val="Normal"/>
        <w:spacing w:after="0" w:before="0" w:line="276" w:lineRule="auto"/>
        <w:jc w:val="center"/>
        <w:rPr>
          <w:rFonts w:cs="Times New Roman"/>
          <w:szCs w:val="24"/>
          <w:lang w:val="pl-PL"/>
        </w:rPr>
        <w:ind w:left="0" w:firstLine="0"/>
        <w:keepLines w:val="1"/>
      </w:pPr>
      <w:r>
        <w:rPr>
          <w:rFonts w:ascii="Times New Roman" w:hAnsi="Times New Roman" w:cs="Times New Roman"/>
          <w:lang w:val="pl-PL"/>
          <w:sz w:val="24"/>
          <w:szCs w:val="24"/>
        </w:rPr>
        <w:t xml:space="preserve">(3.8)    </w:t>
      </w:r>
      <m:oMath>
        <m:sSub>
          <m:e>
            <m:r>
              <w:rPr>
                <w:rFonts w:ascii="Cambria Math" w:hAnsi="Cambria Math" w:cs="Cambria Math"/>
                <w:b/>
                <w:bCs/>
                <w:sz w:val="24"/>
                <w:szCs w:val="24"/>
              </w:rPr>
              <m:t>ϑ</m:t>
            </m:r>
          </m:e>
          <m:sub>
            <m:r>
              <m:rPr>
                <m:sty m:val="p"/>
              </m:rPr>
              <w:rPr>
                <w:rFonts w:ascii="Cambria Math" w:hAnsi="Cambria Math" w:cs="Cambria Math"/>
                <w:sz w:val="24"/>
                <w:szCs w:val="24"/>
              </w:rPr>
              <m:t>t+1</m:t>
            </m:r>
          </m:sub>
        </m:sSub>
        <m:r>
          <w:rPr>
            <w:rFonts w:ascii="Cambria Math" w:hAnsi="Cambria Math" w:cs="Cambria Math"/>
            <w:sz w:val="24"/>
            <w:szCs w:val="24"/>
          </w:rPr>
          <m:t>=</m:t>
        </m:r>
        <m:sSub>
          <m:e>
            <m:r>
              <w:rPr>
                <w:rFonts w:ascii="Cambria Math" w:hAnsi="Cambria Math" w:cs="Cambria Math"/>
                <w:b/>
                <w:bCs/>
                <w:sz w:val="24"/>
                <w:szCs w:val="24"/>
              </w:rPr>
              <m:t>ϑ</m:t>
            </m:r>
          </m:e>
          <m:sub>
            <m:r>
              <m:rPr>
                <m:sty m:val="p"/>
              </m:rPr>
              <w:rPr>
                <w:rFonts w:ascii="Cambria Math" w:hAnsi="Cambria Math" w:cs="Cambria Math"/>
                <w:sz w:val="24"/>
                <w:szCs w:val="24"/>
              </w:rPr>
              <m:t>t</m:t>
            </m:r>
          </m:sub>
        </m:sSub>
        <m:r>
          <m:rPr>
            <m:sty m:val="p"/>
          </m:rPr>
          <w:rPr>
            <w:rFonts w:ascii="Cambria Math" w:hAnsi="Cambria Math" w:cs="Cambria Math"/>
            <w:sz w:val="24"/>
            <w:szCs w:val="24"/>
          </w:rPr>
          <m:t>−</m:t>
        </m:r>
        <m:sSub>
          <m:e>
            <m:r>
              <w:rPr>
                <w:rFonts w:ascii="Cambria Math" w:hAnsi="Cambria Math" w:cs="Cambria Math"/>
                <w:sz w:val="24"/>
                <w:szCs w:val="24"/>
              </w:rPr>
              <m:t>η</m:t>
            </m:r>
          </m:e>
          <m:sub>
            <m:r>
              <m:rPr>
                <m:sty m:val="p"/>
              </m:rPr>
              <w:rPr>
                <w:rFonts w:ascii="Cambria Math" w:hAnsi="Cambria Math" w:cs="Cambria Math"/>
                <w:sz w:val="24"/>
                <w:szCs w:val="24"/>
              </w:rPr>
              <m:t>t</m:t>
            </m:r>
          </m:sub>
        </m:sSub>
        <m:sSub>
          <m:e>
            <m:r>
              <m:rPr>
                <m:sty m:val="p"/>
              </m:rPr>
              <w:rPr>
                <w:rFonts w:ascii="Cambria Math" w:hAnsi="Cambria Math" w:cs="Cambria Math"/>
                <w:sz w:val="24"/>
                <w:szCs w:val="24"/>
              </w:rPr>
              <m:t>∇</m:t>
            </m:r>
          </m:e>
          <m:sub>
            <m:r>
              <w:rPr>
                <w:rFonts w:ascii="Cambria Math" w:hAnsi="Cambria Math" w:cs="Cambria Math"/>
                <w:b/>
                <w:bCs/>
                <w:sz w:val="24"/>
                <w:szCs w:val="24"/>
              </w:rPr>
              <m:t>ϑ</m:t>
            </m:r>
          </m:sub>
        </m:sSub>
        <m:r>
          <m:rPr>
            <m:sty m:val="p"/>
          </m:rPr>
          <w:rPr>
            <w:rFonts w:ascii="Cambria Math" w:hAnsi="Cambria Math" w:cs="Cambria Math"/>
            <w:sz w:val="24"/>
            <w:szCs w:val="24"/>
          </w:rPr>
          <m:t>L</m:t>
        </m:r>
        <m:r>
          <m:rPr>
            <m:sty m:val="p"/>
          </m:rPr>
          <w:rPr>
            <w:rFonts w:ascii="Cambria Math" w:hAnsi="Cambria Math" w:cs="Cambria Math"/>
            <w:sz w:val="24"/>
            <w:szCs w:val="24"/>
          </w:rPr>
          <m:t>(</m:t>
        </m:r>
        <m:sSub>
          <m:e>
            <m:r>
              <w:rPr>
                <w:rFonts w:ascii="Cambria Math" w:hAnsi="Cambria Math" w:cs="Cambria Math"/>
                <w:b/>
                <w:bCs/>
                <w:sz w:val="24"/>
                <w:szCs w:val="24"/>
              </w:rPr>
              <m:t>ϑ</m:t>
            </m:r>
          </m:e>
          <m:sub>
            <m:r>
              <m:rPr>
                <m:sty m:val="p"/>
              </m:rPr>
              <w:rPr>
                <w:rFonts w:ascii="Cambria Math" w:hAnsi="Cambria Math" w:cs="Cambria Math"/>
                <w:sz w:val="24"/>
                <w:szCs w:val="24"/>
              </w:rPr>
              <m:t>t</m:t>
            </m:r>
          </m:sub>
        </m:sSub>
        <m:r>
          <m:rPr>
            <m:sty m:val="p"/>
          </m:rPr>
          <w:rPr>
            <w:rFonts w:ascii="Cambria Math" w:hAnsi="Cambria Math" w:cs="Cambria Math"/>
            <w:sz w:val="24"/>
            <w:szCs w:val="24"/>
          </w:rPr>
          <m:t>)</m:t>
        </m:r>
      </m:oMath>
      <w:r>
        <w:rPr>
          <w:rFonts w:ascii="Times New Roman" w:hAnsi="Times New Roman" w:cs="Times New Roman"/>
          <w:lang w:val="pl-PL"/>
          <w:sz w:val="24"/>
          <w:szCs w:val="24"/>
        </w:rPr>
        <w:t>,</w:t>
      </w:r>
    </w:p>
    <w:p w14:paraId="15EE4B0A" w14:textId="5ED9959F" w:rsidR="00B42E1F" w:rsidRPr="0060670C" w:rsidRDefault="00FD756B" w:rsidP="00EF23F4">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gdzie ηₜ &gt; 0 oznacza krok uczenia w iteracji t. Wzór (3.8) przedstawia ogólny schemat metody gradientowej; optymalizatory adaptacyjne mogą modyfikować kierunek i skalę aktualizacji. Użyteczność takiej aktualizacji zależy od geometrii krajobrazu optymalizacji oraz jakości estymacji gradientu. Zbyt małe gradienty, niekorzystna inicjalizacja lub nadmiernie złożony ansatz mogą utrudniać uczenie mimo dużej nominalnej liczby parametrów. Powstaje zatem kompromis między ekspresyjnością a trenowalnością: architektura powinna być wystarczająco elastyczna, ale niepotrzebne zwiększanie głębokości może pogorszyć jakość sygnału optymalizacyjnego</w:t>
      </w:r>
      <w:r>
        <w:rPr>
          <w:rStyle w:val="FootnoteReference"/>
        </w:rPr>
        <w:footnoteReference w:id="42"/>
      </w:r>
      <w:r>
        <w:rPr>
          <w:rFonts w:ascii="Times New Roman" w:hAnsi="Times New Roman" w:cs="Times New Roman"/>
          <w:lang w:val="pl-PL"/>
        </w:rPr>
        <w:t xml:space="preserve">,</w:t>
      </w:r>
      <w:r>
        <w:rPr>
          <w:rStyle w:val="FootnoteReference"/>
        </w:rPr>
        <w:footnoteReference w:id="43"/>
      </w:r>
      <w:r>
        <w:rPr>
          <w:rFonts w:ascii="Times New Roman" w:hAnsi="Times New Roman" w:cs="Times New Roman"/>
          <w:lang w:val="pl-PL"/>
        </w:rPr>
        <w:t>.</w:t>
      </w:r>
    </w:p>
    <w:p w14:paraId="4FE7A248" w14:textId="00A0375B" w:rsidR="006F2133" w:rsidRPr="0060670C" w:rsidRDefault="003B1DD6" w:rsidP="005F2FEB">
      <w:pPr>
        <w:pStyle w:val="Normal"/>
        <w:spacing w:after="0" w:before="0" w:line="360" w:lineRule="auto"/>
        <w:ind w:firstLine="709" w:left="0"/>
        <w:jc w:val="both"/>
        <w:rPr>
          <w:lang w:val="pl-PL"/>
        </w:rPr>
      </w:pPr>
      <w:r>
        <w:rPr>
          <w:rFonts w:ascii="Times New Roman" w:hAnsi="Times New Roman" w:cs="Times New Roman"/>
          <w:lang w:val="pl-PL"/>
        </w:rPr>
        <w:t>Szczególnym przypadkiem utraty trenowalności są obszary zaniku gradientów, określane w literaturze jako barren plateaus. W obszarach tych gradienty stają się bardzo małe, a ich wariancja może maleć wykładniczo wraz ze wzrostem liczby kubitów</w:t>
      </w:r>
      <w:r>
        <w:rPr>
          <w:rStyle w:val="FootnoteReference"/>
        </w:rPr>
        <w:footnoteReference w:id="44"/>
      </w:r>
      <w:r>
        <w:rPr>
          <w:rFonts w:ascii="Times New Roman" w:hAnsi="Times New Roman" w:cs="Times New Roman"/>
          <w:lang w:val="pl-PL"/>
        </w:rPr>
        <w:t>. Ryzyko zależy nie tylko od rozmiaru i głębokości obwodu, lecz także od inicjalizacji, rodzaju obserwabli i konstrukcji funkcji kosztu</w:t>
      </w:r>
      <w:r>
        <w:rPr>
          <w:rStyle w:val="FootnoteReference"/>
        </w:rPr>
        <w:footnoteReference w:id="45"/>
      </w:r>
      <w:r>
        <w:rPr>
          <w:rFonts w:ascii="Times New Roman" w:hAnsi="Times New Roman" w:cs="Times New Roman"/>
          <w:lang w:val="pl-PL"/>
        </w:rPr>
        <w:t>. Większa liczba parametrów nie powinna być zatem utożsamiana z łatwiejszym uczeniem ani z wyższą jakością modelu.</w:t>
      </w:r>
    </w:p>
    <w:p w14:paraId="607A23A4" w14:textId="0571225A" w:rsidR="00A436E1" w:rsidRPr="00F4588D" w:rsidRDefault="00426F57" w:rsidP="00F4588D">
      <w:pPr>
        <w:pStyle w:val="Normal"/>
        <w:spacing w:after="0" w:before="0" w:line="360" w:lineRule="auto"/>
        <w:ind w:firstLine="709" w:left="0"/>
        <w:jc w:val="both"/>
        <w:rPr>
          <w:rFonts w:cs="Times New Roman"/>
          <w:szCs w:val="24"/>
          <w:lang w:val="pl-PL"/>
        </w:rPr>
      </w:pPr>
      <w:r>
        <w:rPr>
          <w:rFonts w:ascii="Times New Roman" w:hAnsi="Times New Roman" w:cs="Times New Roman"/>
          <w:lang w:val="pl-PL"/>
        </w:rPr>
        <w:t>Zastosowania QML w finansach pozostają kierunkiem eksperymentalnym, a ich użyteczności nie należy oceniać wyłącznie przez możliwość wykazania przyspieszenia obliczeń</w:t>
      </w:r>
      <w:r>
        <w:rPr>
          <w:rStyle w:val="FootnoteReference"/>
        </w:rPr>
        <w:footnoteReference w:id="46"/>
      </w:r>
      <w:r>
        <w:rPr>
          <w:rFonts w:ascii="Times New Roman" w:hAnsi="Times New Roman" w:cs="Times New Roman"/>
          <w:lang w:val="pl-PL"/>
        </w:rPr>
        <w:t>. Porównanie QNN z modelami klasycznymi wymaga szczególnej ostrożności interpretacyjnej, ponieważ wynik zależy nie tylko od architektury modelu, lecz także od reprezentacji wejścia i warunków oceny. Jeżeli model kwantowy i model klasyczny otrzymują odmienne reprezentacje, zaobserwowanej różnicy jakości nie można przypisać samemu obwodowi kwantowemu. Rzetelna ocena powinna obejmować zarówno konkurencyjne i właściwie dostrojone modele klasyczne korzystające z pełnej dostępnej reprezentacji, jak i warianty kontrolne uczone na tych samych obserwacjach i tej samej zredukowanej reprezentacji co QNN. Porównywalne powinny być dostęp do danych, procedura podziału i oceny, zakres strojenia oraz budżet obliczeniowy, natomiast metoda optymalizacji może pozostać właściwa dla danej rodziny modelu. Należy ponadto odróżnić przewagę predykcyjną w konkretnym zadaniu od przewagi kwantowej odnoszącej się do zasobów lub złożoności obliczeń. Wyższa jakość predykcji na małym problemie, zwłaszcza uzyskana na klasycznym symulatorze, nie dowodzi przyspieszenia, skalowalności ani przewagi na rzeczywistym sprzęcie</w:t>
      </w:r>
      <w:r>
        <w:rPr>
          <w:rStyle w:val="FootnoteReference"/>
        </w:rPr>
        <w:footnoteReference w:id="47"/>
      </w:r>
      <w:r>
        <w:rPr>
          <w:rFonts w:ascii="Times New Roman" w:hAnsi="Times New Roman" w:cs="Times New Roman"/>
          <w:lang w:val="pl-PL"/>
        </w:rPr>
        <w:t>. Szczegółowe zasady porównania empirycznego przedstawiono w rozdziale 4.</w:t>
      </w:r>
    </w:p>
    <w:sectPr w:rsidR="00A436E1" w:rsidRPr="00F4588D" w:rsidSect="00FA60D6">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D377C9" w14:textId="77777777" w:rsidR="00CF4781" w:rsidRDefault="00CF4781">
      <w:pPr>
        <w:spacing w:after="0" w:line="240" w:lineRule="auto"/>
      </w:pPr>
      <w:r>
        <w:separator/>
      </w:r>
    </w:p>
  </w:endnote>
  <w:endnote w:type="continuationSeparator" w:id="0">
    <w:p w14:paraId="2D1377E9" w14:textId="77777777" w:rsidR="00CF4781" w:rsidRDefault="00CF4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F20F8" w14:textId="77777777" w:rsidR="00FD4551" w:rsidRDefault="00000000">
    <w:pPr>
      <w:pStyle w:val="Footer"/>
      <w:jc w:val="center"/>
      <w:ind w:left="0" w:firstLine="0"/>
      <w:spacing w:before="0" w:after="0" w:line="240" w:lineRule="auto"/>
    </w:pPr>
    <w:r>
      <w:rPr>
        <w:rFonts w:ascii="Times New Roman" w:hAnsi="Times New Roman" w:cs="Times New Roman"/>
        <w:sz w:val="20"/>
        <w:szCs w:val="20"/>
        <w:lang w:val="pl-PL"/>
      </w:rPr>
      <w:fldChar w:fldCharType="begin"/>
    </w:r>
    <w:r>
      <w:rPr>
        <w:rFonts w:ascii="Times New Roman" w:hAnsi="Times New Roman" w:cs="Times New Roman"/>
        <w:sz w:val="20"/>
        <w:szCs w:val="20"/>
        <w:lang w:val="pl-PL"/>
      </w:rPr>
      <w:instrText>PAGE</w:instrText>
    </w:r>
    <w:r>
      <w:rPr>
        <w:rFonts w:ascii="Times New Roman" w:hAnsi="Times New Roman" w:cs="Times New Roman"/>
        <w:sz w:val="20"/>
        <w:szCs w:val="20"/>
        <w:lang w:val="pl-PL"/>
      </w:rPr>
      <w:fldChar w:fldCharType="separate"/>
    </w:r>
    <w:r w:rsidR="00FB761E">
      <w:rPr>
        <w:rFonts w:ascii="Times New Roman" w:hAnsi="Times New Roman" w:cs="Times New Roman"/>
        <w:sz w:val="20"/>
        <w:szCs w:val="20"/>
        <w:lang w:val="pl-PL"/>
      </w:rPr>
      <w:t>1</w:t>
    </w:r>
    <w:r>
      <w:rPr>
        <w:rFonts w:ascii="Times New Roman" w:hAnsi="Times New Roman" w:cs="Times New Roman"/>
        <w:sz w:val="20"/>
        <w:szCs w:val="20"/>
        <w:lang w:val="pl-P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C8DD7" w14:textId="77777777" w:rsidR="00CF4781" w:rsidRDefault="00CF4781">
      <w:pPr>
        <w:pStyle w:val="FootnoteText"/>
        <w:spacing w:after="0" w:line="240" w:lineRule="auto" w:before="0"/>
        <w:ind w:left="0" w:firstLine="0"/>
        <w:jc w:val="left"/>
      </w:pPr>
      <w:r>
        <w:rPr>
          <w:rFonts w:ascii="Times New Roman" w:hAnsi="Times New Roman" w:cs="Times New Roman"/>
          <w:sz w:val="20"/>
          <w:szCs w:val="20"/>
          <w:lang w:val="pl-PL"/>
        </w:rPr>
        <w:separator/>
      </w:r>
    </w:p>
  </w:footnote>
  <w:footnote w:type="continuationSeparator" w:id="0">
    <w:p w14:paraId="63C47E4F" w14:textId="77777777" w:rsidR="00CF4781" w:rsidRDefault="00CF4781">
      <w:pPr>
        <w:pStyle w:val="FootnoteText"/>
        <w:spacing w:after="0" w:line="240" w:lineRule="auto" w:before="0"/>
        <w:ind w:left="0" w:firstLine="0"/>
        <w:jc w:val="left"/>
      </w:pPr>
      <w:r>
        <w:rPr>
          <w:rFonts w:ascii="Times New Roman" w:hAnsi="Times New Roman" w:cs="Times New Roman"/>
          <w:sz w:val="20"/>
          <w:szCs w:val="20"/>
          <w:lang w:val="pl-PL"/>
        </w:rPr>
        <w:continuationSeparator/>
      </w:r>
    </w:p>
  </w:footnote>
  <w:footnote w:id="1">
    <w:p w14:paraId="5BEFABCC" w14:textId="5341D462" w:rsidR="007E3A58" w:rsidRPr="00680300" w:rsidRDefault="007E3A58" w:rsidP="00344444">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A436E1" w:rsidRPr="00A436E1">
        <w:rPr>
          <w:rFonts w:ascii="Times New Roman" w:hAnsi="Times New Roman" w:cs="Times New Roman"/>
          <w:sz w:val="20"/>
          <w:szCs w:val="20"/>
          <w:lang w:val="pl-PL"/>
        </w:rPr>
        <w:t xml:space="preserve">J. </w:t>
      </w:r>
      <w:proofErr w:type="spellStart"/>
      <w:r w:rsidR="00A436E1" w:rsidRPr="00A436E1">
        <w:rPr>
          <w:rFonts w:ascii="Times New Roman" w:hAnsi="Times New Roman" w:cs="Times New Roman"/>
          <w:sz w:val="20"/>
          <w:szCs w:val="20"/>
          <w:lang w:val="pl-PL"/>
        </w:rPr>
        <w:t>Biamonte</w:t>
      </w:r>
      <w:proofErr w:type="spellEnd"/>
      <w:r w:rsidR="00A436E1" w:rsidRPr="00A436E1">
        <w:rPr>
          <w:rFonts w:ascii="Times New Roman" w:hAnsi="Times New Roman" w:cs="Times New Roman"/>
          <w:sz w:val="20"/>
          <w:szCs w:val="20"/>
          <w:lang w:val="pl-PL"/>
        </w:rPr>
        <w:t xml:space="preserve"> </w:t>
      </w:r>
      <w:proofErr w:type="spellStart"/>
      <w:r w:rsidR="00A436E1" w:rsidRPr="00A436E1">
        <w:rPr>
          <w:rFonts w:ascii="Times New Roman" w:hAnsi="Times New Roman" w:cs="Times New Roman"/>
          <w:sz w:val="20"/>
          <w:szCs w:val="20"/>
          <w:lang w:val="pl-PL"/>
        </w:rPr>
        <w:t>i</w:t>
      </w:r>
      <w:proofErr w:type="spellEnd"/>
      <w:r w:rsidR="00A436E1" w:rsidRPr="00A436E1">
        <w:rPr>
          <w:rFonts w:ascii="Times New Roman" w:hAnsi="Times New Roman" w:cs="Times New Roman"/>
          <w:sz w:val="20"/>
          <w:szCs w:val="20"/>
          <w:lang w:val="pl-PL"/>
        </w:rPr>
        <w:t xml:space="preserve"> in., </w:t>
      </w:r>
      <w:r w:rsidR="00A436E1" w:rsidRPr="00A436E1">
        <w:rPr>
          <w:rFonts w:ascii="Times New Roman" w:hAnsi="Times New Roman" w:cs="Times New Roman"/>
          <w:sz w:val="20"/>
          <w:szCs w:val="20"/>
          <w:lang w:val="pl-PL"/>
          <w:i/>
          <w:iCs/>
        </w:rPr>
        <w:t>Quantum machine learning</w:t>
      </w:r>
      <w:r w:rsidR="00A436E1" w:rsidRPr="00A436E1">
        <w:rPr>
          <w:rFonts w:ascii="Times New Roman" w:hAnsi="Times New Roman" w:cs="Times New Roman"/>
          <w:sz w:val="20"/>
          <w:szCs w:val="20"/>
          <w:lang w:val="pl-PL"/>
        </w:rPr>
        <w:t>, „Nature” 2017, vol. 549, nr 7671, s. 195–202.</w:t>
      </w:r>
    </w:p>
  </w:footnote>
  <w:footnote w:id="2">
    <w:p w14:paraId="60926E7C" w14:textId="3F1D9BA1" w:rsidR="001612B4" w:rsidRPr="00A436E1" w:rsidRDefault="00A436E1" w:rsidP="00344444">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1612B4" w:rsidRPr="001612B4">
        <w:rPr>
          <w:rFonts w:ascii="Times New Roman" w:hAnsi="Times New Roman" w:cs="Times New Roman"/>
          <w:sz w:val="20"/>
          <w:szCs w:val="20"/>
          <w:lang w:val="pl-PL"/>
        </w:rPr>
        <w:t xml:space="preserve">M. Benedetti </w:t>
      </w:r>
      <w:proofErr w:type="spellStart"/>
      <w:r w:rsidR="001612B4" w:rsidRPr="001612B4">
        <w:rPr>
          <w:rFonts w:ascii="Times New Roman" w:hAnsi="Times New Roman" w:cs="Times New Roman"/>
          <w:sz w:val="20"/>
          <w:szCs w:val="20"/>
          <w:lang w:val="pl-PL"/>
        </w:rPr>
        <w:t>i</w:t>
      </w:r>
      <w:proofErr w:type="spellEnd"/>
      <w:r w:rsidR="001612B4" w:rsidRPr="001612B4">
        <w:rPr>
          <w:rFonts w:ascii="Times New Roman" w:hAnsi="Times New Roman" w:cs="Times New Roman"/>
          <w:sz w:val="20"/>
          <w:szCs w:val="20"/>
          <w:lang w:val="pl-PL"/>
        </w:rPr>
        <w:t xml:space="preserve"> in., </w:t>
      </w:r>
      <w:r w:rsidR="001612B4" w:rsidRPr="001612B4">
        <w:rPr>
          <w:rFonts w:ascii="Times New Roman" w:hAnsi="Times New Roman" w:cs="Times New Roman"/>
          <w:sz w:val="20"/>
          <w:szCs w:val="20"/>
          <w:lang w:val="pl-PL"/>
          <w:i/>
          <w:iCs/>
        </w:rPr>
        <w:t>Parameterized quantum circuits as machine learning models</w:t>
      </w:r>
      <w:r w:rsidR="001612B4" w:rsidRPr="001612B4">
        <w:rPr>
          <w:rFonts w:ascii="Times New Roman" w:hAnsi="Times New Roman" w:cs="Times New Roman"/>
          <w:sz w:val="20"/>
          <w:szCs w:val="20"/>
          <w:lang w:val="pl-PL"/>
        </w:rPr>
        <w:t>, „Quantum Science and Technology” 2019, vol. 4, nr 4, art. 043001</w:t>
      </w:r>
      <w:r w:rsidR="001612B4">
        <w:rPr>
          <w:rFonts w:ascii="Times New Roman" w:hAnsi="Times New Roman" w:cs="Times New Roman"/>
          <w:sz w:val="20"/>
          <w:szCs w:val="20"/>
          <w:lang w:val="pl-PL"/>
        </w:rPr>
        <w:t>.</w:t>
      </w:r>
    </w:p>
  </w:footnote>
  <w:footnote w:id="3">
    <w:p w14:paraId="35694F1C" w14:textId="6F7CDF53" w:rsidR="00640510" w:rsidRPr="00640510" w:rsidRDefault="00640510">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640510">
        <w:rPr>
          <w:rFonts w:ascii="Times New Roman" w:hAnsi="Times New Roman" w:cs="Times New Roman"/>
          <w:sz w:val="20"/>
          <w:szCs w:val="20"/>
          <w:lang w:val="pl-PL"/>
        </w:rPr>
        <w:t xml:space="preserve">M.A. Nielsen, I.L. Chuang, </w:t>
      </w:r>
      <w:r>
        <w:rPr>
          <w:rFonts w:ascii="Times New Roman" w:hAnsi="Times New Roman" w:cs="Times New Roman"/>
          <w:sz w:val="20"/>
          <w:szCs w:val="20"/>
          <w:lang w:val="pl-PL"/>
          <w:i/>
          <w:iCs/>
        </w:rPr>
        <w:t>Q</w:t>
      </w:r>
      <w:r w:rsidRPr="00640510">
        <w:rPr>
          <w:rFonts w:ascii="Times New Roman" w:hAnsi="Times New Roman" w:cs="Times New Roman"/>
          <w:sz w:val="20"/>
          <w:szCs w:val="20"/>
          <w:lang w:val="pl-PL"/>
          <w:i/>
          <w:iCs/>
        </w:rPr>
        <w:t>uantum Computation and Quantum Information</w:t>
      </w:r>
      <w:r w:rsidRPr="00640510">
        <w:rPr>
          <w:rFonts w:ascii="Times New Roman" w:hAnsi="Times New Roman" w:cs="Times New Roman"/>
          <w:sz w:val="20"/>
          <w:szCs w:val="20"/>
          <w:lang w:val="pl-PL"/>
        </w:rPr>
        <w:t>, 10th Anniversary Edition, Cambridge University Press, Cambridge 2010, s. 13–14.</w:t>
      </w:r>
    </w:p>
  </w:footnote>
  <w:footnote w:id="4">
    <w:p w14:paraId="5D01B51A" w14:textId="599BE21E" w:rsidR="00640510" w:rsidRPr="00640510" w:rsidRDefault="00640510">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9B5067" w:rsidRPr="009B5067">
        <w:rPr>
          <w:rFonts w:ascii="Times New Roman" w:hAnsi="Times New Roman" w:cs="Times New Roman"/>
          <w:sz w:val="20"/>
          <w:szCs w:val="20"/>
          <w:lang w:val="pl-PL"/>
        </w:rPr>
        <w:t xml:space="preserve">T.G. Wong, </w:t>
      </w:r>
      <w:r w:rsidR="009B5067" w:rsidRPr="009B5067">
        <w:rPr>
          <w:rFonts w:ascii="Times New Roman" w:hAnsi="Times New Roman" w:cs="Times New Roman"/>
          <w:sz w:val="20"/>
          <w:szCs w:val="20"/>
          <w:lang w:val="pl-PL"/>
          <w:i/>
          <w:iCs/>
        </w:rPr>
        <w:t>Introduction to Classical and Quantum Computing</w:t>
      </w:r>
      <w:r w:rsidR="009B5067" w:rsidRPr="009B5067">
        <w:rPr>
          <w:rFonts w:ascii="Times New Roman" w:hAnsi="Times New Roman" w:cs="Times New Roman"/>
          <w:sz w:val="20"/>
          <w:szCs w:val="20"/>
          <w:lang w:val="pl-PL"/>
        </w:rPr>
        <w:t xml:space="preserve">, Rooted Grove, Omaha 2022, s. </w:t>
      </w:r>
      <w:r w:rsidR="009B5067">
        <w:rPr>
          <w:rFonts w:ascii="Times New Roman" w:hAnsi="Times New Roman" w:cs="Times New Roman"/>
          <w:sz w:val="20"/>
          <w:szCs w:val="20"/>
          <w:lang w:val="pl-PL"/>
        </w:rPr>
        <w:t>74–76</w:t>
      </w:r>
      <w:r w:rsidR="00B63687">
        <w:rPr>
          <w:rFonts w:ascii="Times New Roman" w:hAnsi="Times New Roman" w:cs="Times New Roman"/>
          <w:sz w:val="20"/>
          <w:szCs w:val="20"/>
          <w:lang w:val="pl-PL"/>
        </w:rPr>
        <w:t>, 91–94.</w:t>
      </w:r>
    </w:p>
  </w:footnote>
  <w:footnote w:id="5">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M.A. Nielsen, I.L. Chuang, op. cit., s. 15–16; T.G. Wong, op. cit., s. 91–92.</w:t>
      </w:r>
    </w:p>
  </w:footnote>
  <w:footnote w:id="6">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T.G. Wong, op. cit., s. 92–94.</w:t>
      </w:r>
    </w:p>
  </w:footnote>
  <w:footnote w:id="7">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T.G. Wong, op. cit., s. 95–97.</w:t>
      </w:r>
    </w:p>
  </w:footnote>
  <w:footnote w:id="8">
    <w:p w14:paraId="105F7DB0" w14:textId="7FB27323" w:rsidR="000720AA" w:rsidRPr="00323AC2" w:rsidRDefault="000720AA">
      <w:pPr>
        <w:pStyle w:val="FootnoteText"/>
        <w:rPr>
          <w:lang w:val="pl-PL"/>
        </w:rPr>
        <w:ind w:left="0" w:firstLine="0"/>
        <w:jc w:val="both"/>
        <w:spacing w:before="0" w:after="0" w:line="240" w:lineRule="auto"/>
      </w:pPr>
      <w:r>
        <w:rPr>
          <w:rStyle w:val="FootnoteReference"/>
          <w:rFonts w:ascii="Times New Roman" w:hAnsi="Times New Roman" w:cs="Times New Roman"/>
          <w:sz w:val="20"/>
          <w:szCs w:val="20"/>
          <w:lang w:val="pl-PL"/>
        </w:rPr>
        <w:footnoteRef/>
      </w:r>
      <w:r w:rsidRPr="00323AC2">
        <w:rPr>
          <w:rFonts w:ascii="Times New Roman" w:hAnsi="Times New Roman" w:cs="Times New Roman"/>
          <w:sz w:val="20"/>
          <w:szCs w:val="20"/>
          <w:lang w:val="pl-PL"/>
        </w:rPr>
        <w:t xml:space="preserve"> </w:t>
      </w:r>
      <w:r w:rsidR="00323AC2" w:rsidRPr="00323AC2">
        <w:rPr>
          <w:rFonts w:ascii="Times New Roman" w:hAnsi="Times New Roman" w:cs="Times New Roman"/>
          <w:sz w:val="20"/>
          <w:szCs w:val="20"/>
          <w:lang w:val="pl-PL"/>
        </w:rPr>
        <w:t xml:space="preserve">S. Zając, J.L. Cybulski, T. Kulpa, </w:t>
      </w:r>
      <w:r w:rsidR="00323AC2" w:rsidRPr="00323AC2">
        <w:rPr>
          <w:rFonts w:ascii="Times New Roman" w:hAnsi="Times New Roman" w:cs="Times New Roman"/>
          <w:sz w:val="20"/>
          <w:szCs w:val="20"/>
          <w:lang w:val="pl-PL"/>
          <w:i/>
          <w:iCs/>
        </w:rPr>
        <w:t>Kwantowe algorytmy hybrydowe jako modele uczenia maszynowego</w:t>
      </w:r>
      <w:r w:rsidR="00323AC2" w:rsidRPr="00323AC2">
        <w:rPr>
          <w:rFonts w:ascii="Times New Roman" w:hAnsi="Times New Roman" w:cs="Times New Roman"/>
          <w:sz w:val="20"/>
          <w:szCs w:val="20"/>
          <w:lang w:val="pl-PL"/>
        </w:rPr>
        <w:t xml:space="preserve">, [w:] </w:t>
      </w:r>
      <w:r w:rsidR="00323AC2" w:rsidRPr="00323AC2">
        <w:rPr>
          <w:rFonts w:ascii="Times New Roman" w:hAnsi="Times New Roman" w:cs="Times New Roman"/>
          <w:sz w:val="20"/>
          <w:szCs w:val="20"/>
          <w:lang w:val="pl-PL"/>
          <w:i/>
          <w:iCs/>
        </w:rPr>
        <w:t>Sztuczna inteligencja w przedsiębiorstwach i gospodarce (AI Spring 2024)</w:t>
      </w:r>
      <w:r w:rsidR="00323AC2" w:rsidRPr="00323AC2">
        <w:rPr>
          <w:rFonts w:ascii="Times New Roman" w:hAnsi="Times New Roman" w:cs="Times New Roman"/>
          <w:sz w:val="20"/>
          <w:szCs w:val="20"/>
          <w:lang w:val="pl-PL"/>
        </w:rPr>
        <w:t xml:space="preserve">, red. T. </w:t>
      </w:r>
      <w:proofErr w:type="spellStart"/>
      <w:r w:rsidR="00323AC2" w:rsidRPr="00323AC2">
        <w:rPr>
          <w:rFonts w:ascii="Times New Roman" w:hAnsi="Times New Roman" w:cs="Times New Roman"/>
          <w:sz w:val="20"/>
          <w:szCs w:val="20"/>
          <w:lang w:val="pl-PL"/>
        </w:rPr>
        <w:t>Doligalski</w:t>
      </w:r>
      <w:proofErr w:type="spellEnd"/>
      <w:r w:rsidR="00323AC2" w:rsidRPr="00323AC2">
        <w:rPr>
          <w:rFonts w:ascii="Times New Roman" w:hAnsi="Times New Roman" w:cs="Times New Roman"/>
          <w:sz w:val="20"/>
          <w:szCs w:val="20"/>
          <w:lang w:val="pl-PL"/>
        </w:rPr>
        <w:t>, D. Kaszyński, Oficyna Wydawnicza SGH, Warszawa 2025, s. 164, 16</w:t>
      </w:r>
      <w:r w:rsidR="00591265">
        <w:rPr>
          <w:rFonts w:ascii="Times New Roman" w:hAnsi="Times New Roman" w:cs="Times New Roman"/>
          <w:sz w:val="20"/>
          <w:szCs w:val="20"/>
          <w:lang w:val="pl-PL"/>
        </w:rPr>
        <w:t>8</w:t>
      </w:r>
      <w:r w:rsidR="00323AC2" w:rsidRPr="00323AC2">
        <w:rPr>
          <w:rFonts w:ascii="Times New Roman" w:hAnsi="Times New Roman" w:cs="Times New Roman"/>
          <w:sz w:val="20"/>
          <w:szCs w:val="20"/>
          <w:lang w:val="pl-PL"/>
        </w:rPr>
        <w:t>–17</w:t>
      </w:r>
      <w:r w:rsidR="00591265">
        <w:rPr>
          <w:rFonts w:ascii="Times New Roman" w:hAnsi="Times New Roman" w:cs="Times New Roman"/>
          <w:sz w:val="20"/>
          <w:szCs w:val="20"/>
          <w:lang w:val="pl-PL"/>
        </w:rPr>
        <w:t>4</w:t>
      </w:r>
      <w:r w:rsidR="00323AC2" w:rsidRPr="00323AC2">
        <w:rPr>
          <w:rFonts w:ascii="Times New Roman" w:hAnsi="Times New Roman" w:cs="Times New Roman"/>
          <w:sz w:val="20"/>
          <w:szCs w:val="20"/>
          <w:lang w:val="pl-PL"/>
        </w:rPr>
        <w:t>.</w:t>
      </w:r>
    </w:p>
  </w:footnote>
  <w:footnote w:id="9">
    <w:p w14:paraId="5F096235" w14:textId="23805175" w:rsidR="004233BD" w:rsidRPr="004233BD" w:rsidRDefault="004233BD">
      <w:pPr>
        <w:pStyle w:val="FootnoteText"/>
        <w:rPr>
          <w:lang w:val="pl-PL"/>
        </w:rPr>
        <w:ind w:left="0" w:firstLine="0"/>
        <w:jc w:val="both"/>
        <w:spacing w:before="0" w:after="0" w:line="240" w:lineRule="auto"/>
      </w:pPr>
      <w:r>
        <w:rPr>
          <w:rStyle w:val="FootnoteReference"/>
          <w:rFonts w:ascii="Times New Roman" w:hAnsi="Times New Roman" w:cs="Times New Roman"/>
          <w:sz w:val="20"/>
          <w:szCs w:val="20"/>
          <w:lang w:val="pl-PL"/>
        </w:rPr>
        <w:footnoteRef/>
      </w:r>
      <w:r w:rsidRPr="004233BD">
        <w:rPr>
          <w:rFonts w:ascii="Times New Roman" w:hAnsi="Times New Roman" w:cs="Times New Roman"/>
          <w:sz w:val="20"/>
          <w:szCs w:val="20"/>
          <w:lang w:val="pl-PL"/>
        </w:rPr>
        <w:t xml:space="preserve"> </w:t>
      </w:r>
      <w:r w:rsidR="004D27CC" w:rsidRPr="004D27CC">
        <w:rPr>
          <w:rFonts w:ascii="Times New Roman" w:hAnsi="Times New Roman" w:cs="Times New Roman"/>
          <w:sz w:val="20"/>
          <w:szCs w:val="20"/>
          <w:lang w:val="pl-PL"/>
        </w:rPr>
        <w:t xml:space="preserve">M.A. Nielsen, I.L. </w:t>
      </w:r>
      <w:proofErr w:type="spellStart"/>
      <w:r w:rsidR="004D27CC" w:rsidRPr="004D27CC">
        <w:rPr>
          <w:rFonts w:ascii="Times New Roman" w:hAnsi="Times New Roman" w:cs="Times New Roman"/>
          <w:sz w:val="20"/>
          <w:szCs w:val="20"/>
          <w:lang w:val="pl-PL"/>
        </w:rPr>
        <w:t>Chuang</w:t>
      </w:r>
      <w:proofErr w:type="spellEnd"/>
      <w:r w:rsidR="004D27CC" w:rsidRPr="004D27CC">
        <w:rPr>
          <w:rFonts w:ascii="Times New Roman" w:hAnsi="Times New Roman" w:cs="Times New Roman"/>
          <w:sz w:val="20"/>
          <w:szCs w:val="20"/>
          <w:lang w:val="pl-PL"/>
        </w:rPr>
        <w:t>, op. cit., s. 16–17.</w:t>
      </w:r>
    </w:p>
  </w:footnote>
  <w:footnote w:id="10">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E.G. Rieffel, W.H. Polak, </w:t>
      </w:r>
      <w:r>
        <w:rPr>
          <w:rFonts w:ascii="Times New Roman" w:hAnsi="Times New Roman" w:cs="Times New Roman"/>
          <w:sz w:val="20"/>
          <w:szCs w:val="20"/>
          <w:lang w:val="pl-PL"/>
          <w:i/>
          <w:iCs/>
        </w:rPr>
        <w:t>Quantum Computing. A Gentle Introduction</w:t>
      </w:r>
      <w:r>
        <w:rPr>
          <w:rFonts w:ascii="Times New Roman" w:hAnsi="Times New Roman" w:cs="Times New Roman"/>
          <w:sz w:val="20"/>
          <w:szCs w:val="20"/>
          <w:lang w:val="pl-PL"/>
        </w:rPr>
        <w:t>, The MIT Press, Cambridge–London 2011, s. 55–60, 326–327.</w:t>
      </w:r>
    </w:p>
  </w:footnote>
  <w:footnote w:id="11">
    <w:p w14:paraId="084ADF22" w14:textId="303E789E" w:rsidR="009567B2" w:rsidRPr="004D27CC" w:rsidRDefault="009567B2">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4D27CC" w:rsidRPr="004D27CC">
        <w:rPr>
          <w:rFonts w:ascii="Times New Roman" w:hAnsi="Times New Roman" w:cs="Times New Roman"/>
          <w:sz w:val="20"/>
          <w:szCs w:val="20"/>
          <w:lang w:val="pl-PL"/>
        </w:rPr>
        <w:t xml:space="preserve">M. </w:t>
      </w:r>
      <w:proofErr w:type="spellStart"/>
      <w:r w:rsidR="004D27CC" w:rsidRPr="004D27CC">
        <w:rPr>
          <w:rFonts w:ascii="Times New Roman" w:hAnsi="Times New Roman" w:cs="Times New Roman"/>
          <w:sz w:val="20"/>
          <w:szCs w:val="20"/>
          <w:lang w:val="pl-PL"/>
        </w:rPr>
        <w:t>Schuld</w:t>
      </w:r>
      <w:proofErr w:type="spellEnd"/>
      <w:r w:rsidR="004D27CC" w:rsidRPr="004D27CC">
        <w:rPr>
          <w:rFonts w:ascii="Times New Roman" w:hAnsi="Times New Roman" w:cs="Times New Roman"/>
          <w:sz w:val="20"/>
          <w:szCs w:val="20"/>
          <w:lang w:val="pl-PL"/>
        </w:rPr>
        <w:t xml:space="preserve">, F. </w:t>
      </w:r>
      <w:proofErr w:type="spellStart"/>
      <w:r w:rsidR="004D27CC" w:rsidRPr="004D27CC">
        <w:rPr>
          <w:rFonts w:ascii="Times New Roman" w:hAnsi="Times New Roman" w:cs="Times New Roman"/>
          <w:sz w:val="20"/>
          <w:szCs w:val="20"/>
          <w:lang w:val="pl-PL"/>
        </w:rPr>
        <w:t>Petruccione</w:t>
      </w:r>
      <w:proofErr w:type="spellEnd"/>
      <w:r w:rsidR="004D27CC" w:rsidRPr="004D27CC">
        <w:rPr>
          <w:rFonts w:ascii="Times New Roman" w:hAnsi="Times New Roman" w:cs="Times New Roman"/>
          <w:sz w:val="20"/>
          <w:szCs w:val="20"/>
          <w:lang w:val="pl-PL"/>
        </w:rPr>
        <w:t xml:space="preserve">, </w:t>
      </w:r>
      <w:r w:rsidR="004D27CC" w:rsidRPr="004D27CC">
        <w:rPr>
          <w:rFonts w:ascii="Times New Roman" w:hAnsi="Times New Roman" w:cs="Times New Roman"/>
          <w:sz w:val="20"/>
          <w:szCs w:val="20"/>
          <w:lang w:val="pl-PL"/>
          <w:i/>
          <w:iCs/>
        </w:rPr>
        <w:t>Supervised Learning with Quantum Computers</w:t>
      </w:r>
      <w:r w:rsidR="004D27CC" w:rsidRPr="004D27CC">
        <w:rPr>
          <w:rFonts w:ascii="Times New Roman" w:hAnsi="Times New Roman" w:cs="Times New Roman"/>
          <w:sz w:val="20"/>
          <w:szCs w:val="20"/>
          <w:lang w:val="pl-PL"/>
        </w:rPr>
        <w:t xml:space="preserve">, Springer, Cham 2018, s. </w:t>
      </w:r>
      <w:r w:rsidR="002578CA">
        <w:rPr>
          <w:rFonts w:ascii="Times New Roman" w:hAnsi="Times New Roman" w:cs="Times New Roman"/>
          <w:sz w:val="20"/>
          <w:szCs w:val="20"/>
          <w:lang w:val="pl-PL"/>
        </w:rPr>
        <w:t>84–91</w:t>
      </w:r>
      <w:r w:rsidR="004D27CC" w:rsidRPr="004D27CC">
        <w:rPr>
          <w:rFonts w:ascii="Times New Roman" w:hAnsi="Times New Roman" w:cs="Times New Roman"/>
          <w:sz w:val="20"/>
          <w:szCs w:val="20"/>
          <w:lang w:val="pl-PL"/>
        </w:rPr>
        <w:t>.</w:t>
      </w:r>
    </w:p>
  </w:footnote>
  <w:footnote w:id="12">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M. Schuld, F. Petruccione, op. cit., s. 230.</w:t>
      </w:r>
    </w:p>
  </w:footnote>
  <w:footnote w:id="14">
    <w:p w14:paraId="428BFCE3" w14:textId="72E1C771" w:rsidR="002730FB" w:rsidRPr="002730FB" w:rsidRDefault="002730FB">
      <w:pPr>
        <w:pStyle w:val="FootnoteText"/>
        <w:rPr>
          <w:lang w:val="pl-PL"/>
        </w:rPr>
        <w:ind w:left="0" w:firstLine="0"/>
        <w:jc w:val="both"/>
        <w:spacing w:before="0" w:after="0" w:line="240" w:lineRule="auto"/>
      </w:pPr>
      <w:r>
        <w:rPr>
          <w:rStyle w:val="FootnoteReference"/>
          <w:rFonts w:ascii="Times New Roman" w:hAnsi="Times New Roman" w:cs="Times New Roman"/>
          <w:sz w:val="20"/>
          <w:szCs w:val="20"/>
          <w:lang w:val="pl-PL"/>
        </w:rPr>
        <w:footnoteRef/>
      </w:r>
      <w:r w:rsidRPr="002730FB">
        <w:rPr>
          <w:rFonts w:ascii="Times New Roman" w:hAnsi="Times New Roman" w:cs="Times New Roman"/>
          <w:sz w:val="20"/>
          <w:szCs w:val="20"/>
          <w:lang w:val="pl-PL"/>
        </w:rPr>
        <w:t xml:space="preserve"> M. </w:t>
      </w:r>
      <w:proofErr w:type="spellStart"/>
      <w:r w:rsidRPr="002730FB">
        <w:rPr>
          <w:rFonts w:ascii="Times New Roman" w:hAnsi="Times New Roman" w:cs="Times New Roman"/>
          <w:sz w:val="20"/>
          <w:szCs w:val="20"/>
          <w:lang w:val="pl-PL"/>
        </w:rPr>
        <w:t>Sawerwain</w:t>
      </w:r>
      <w:proofErr w:type="spellEnd"/>
      <w:r w:rsidRPr="002730FB">
        <w:rPr>
          <w:rFonts w:ascii="Times New Roman" w:hAnsi="Times New Roman" w:cs="Times New Roman"/>
          <w:sz w:val="20"/>
          <w:szCs w:val="20"/>
          <w:lang w:val="pl-PL"/>
        </w:rPr>
        <w:t xml:space="preserve">, J. Wiśniewska, </w:t>
      </w:r>
      <w:r w:rsidRPr="002730FB">
        <w:rPr>
          <w:rFonts w:ascii="Times New Roman" w:hAnsi="Times New Roman" w:cs="Times New Roman"/>
          <w:sz w:val="20"/>
          <w:szCs w:val="20"/>
          <w:lang w:val="pl-PL"/>
          <w:i/>
          <w:iCs/>
        </w:rPr>
        <w:t>Informatyka kwantowa. Wybrane obwody i algorytmy</w:t>
      </w:r>
      <w:r w:rsidRPr="002730FB">
        <w:rPr>
          <w:rFonts w:ascii="Times New Roman" w:hAnsi="Times New Roman" w:cs="Times New Roman"/>
          <w:sz w:val="20"/>
          <w:szCs w:val="20"/>
          <w:lang w:val="pl-PL"/>
        </w:rPr>
        <w:t xml:space="preserve">, Wydawnictwo Naukowe PWN, Warszawa 2015, s. </w:t>
      </w:r>
      <w:r>
        <w:rPr>
          <w:rFonts w:ascii="Times New Roman" w:hAnsi="Times New Roman" w:cs="Times New Roman"/>
          <w:sz w:val="20"/>
          <w:szCs w:val="20"/>
          <w:lang w:val="pl-PL"/>
        </w:rPr>
        <w:t>107–108</w:t>
      </w:r>
      <w:r w:rsidRPr="002730FB">
        <w:rPr>
          <w:rFonts w:ascii="Times New Roman" w:hAnsi="Times New Roman" w:cs="Times New Roman"/>
          <w:sz w:val="20"/>
          <w:szCs w:val="20"/>
          <w:lang w:val="pl-PL"/>
        </w:rPr>
        <w:t>.</w:t>
      </w:r>
    </w:p>
  </w:footnote>
  <w:footnote w:id="15">
    <w:p w14:paraId="3F50DCE7" w14:textId="24824DF3" w:rsidR="0041005B" w:rsidRPr="0041005B" w:rsidRDefault="0041005B">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41005B">
        <w:rPr>
          <w:rFonts w:ascii="Times New Roman" w:hAnsi="Times New Roman" w:cs="Times New Roman"/>
          <w:sz w:val="20"/>
          <w:szCs w:val="20"/>
          <w:lang w:val="pl-PL"/>
        </w:rPr>
        <w:t xml:space="preserve">E. F. </w:t>
      </w:r>
      <w:proofErr w:type="spellStart"/>
      <w:r w:rsidRPr="0041005B">
        <w:rPr>
          <w:rFonts w:ascii="Times New Roman" w:hAnsi="Times New Roman" w:cs="Times New Roman"/>
          <w:sz w:val="20"/>
          <w:szCs w:val="20"/>
          <w:lang w:val="pl-PL"/>
        </w:rPr>
        <w:t>Combarro</w:t>
      </w:r>
      <w:proofErr w:type="spellEnd"/>
      <w:r w:rsidRPr="0041005B">
        <w:rPr>
          <w:rFonts w:ascii="Times New Roman" w:hAnsi="Times New Roman" w:cs="Times New Roman"/>
          <w:sz w:val="20"/>
          <w:szCs w:val="20"/>
          <w:lang w:val="pl-PL"/>
        </w:rPr>
        <w:t xml:space="preserve">, S. González-Castillo, </w:t>
      </w:r>
      <w:r w:rsidRPr="0041005B">
        <w:rPr>
          <w:rFonts w:ascii="Times New Roman" w:hAnsi="Times New Roman" w:cs="Times New Roman"/>
          <w:sz w:val="20"/>
          <w:szCs w:val="20"/>
          <w:lang w:val="pl-PL"/>
          <w:i/>
          <w:iCs/>
        </w:rPr>
        <w:t>A Practical Guide to Quantum Machine Learning and Quantum Optimization. Hands-on Approach to Modern Quantum Algorithms</w:t>
      </w:r>
      <w:r w:rsidRPr="0041005B">
        <w:rPr>
          <w:rFonts w:ascii="Times New Roman" w:hAnsi="Times New Roman" w:cs="Times New Roman"/>
          <w:sz w:val="20"/>
          <w:szCs w:val="20"/>
          <w:lang w:val="pl-PL"/>
        </w:rPr>
        <w:t xml:space="preserve">, </w:t>
      </w:r>
      <w:proofErr w:type="spellStart"/>
      <w:r w:rsidRPr="0041005B">
        <w:rPr>
          <w:rFonts w:ascii="Times New Roman" w:hAnsi="Times New Roman" w:cs="Times New Roman"/>
          <w:sz w:val="20"/>
          <w:szCs w:val="20"/>
          <w:lang w:val="pl-PL"/>
        </w:rPr>
        <w:t>Packt</w:t>
      </w:r>
      <w:proofErr w:type="spellEnd"/>
      <w:r w:rsidRPr="0041005B">
        <w:rPr>
          <w:rFonts w:ascii="Times New Roman" w:hAnsi="Times New Roman" w:cs="Times New Roman"/>
          <w:sz w:val="20"/>
          <w:szCs w:val="20"/>
          <w:lang w:val="pl-PL"/>
        </w:rPr>
        <w:t xml:space="preserve"> Publishing, Birmingham–Mumbai 2023, s. 36</w:t>
      </w:r>
      <w:r>
        <w:rPr>
          <w:rFonts w:ascii="Times New Roman" w:hAnsi="Times New Roman" w:cs="Times New Roman"/>
          <w:sz w:val="20"/>
          <w:szCs w:val="20"/>
          <w:lang w:val="pl-PL"/>
        </w:rPr>
        <w:t>8–369</w:t>
      </w:r>
      <w:r w:rsidRPr="0041005B">
        <w:rPr>
          <w:rFonts w:ascii="Times New Roman" w:hAnsi="Times New Roman" w:cs="Times New Roman"/>
          <w:sz w:val="20"/>
          <w:szCs w:val="20"/>
          <w:lang w:val="pl-PL"/>
        </w:rPr>
        <w:t>.</w:t>
      </w:r>
    </w:p>
  </w:footnote>
  <w:footnote w:id="16">
    <w:p w14:paraId="1A05F2CB" w14:textId="5E72F36F" w:rsidR="0041005B" w:rsidRPr="0041005B" w:rsidRDefault="0041005B">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proofErr w:type="spellStart"/>
      <w:r>
        <w:rPr>
          <w:rFonts w:ascii="Times New Roman" w:hAnsi="Times New Roman" w:cs="Times New Roman"/>
          <w:sz w:val="20"/>
          <w:szCs w:val="20"/>
          <w:lang w:val="pl-PL"/>
        </w:rPr>
        <w:t>Tamże</w:t>
      </w:r>
      <w:proofErr w:type="spellEnd"/>
      <w:r>
        <w:rPr>
          <w:rFonts w:ascii="Times New Roman" w:hAnsi="Times New Roman" w:cs="Times New Roman"/>
          <w:sz w:val="20"/>
          <w:szCs w:val="20"/>
          <w:lang w:val="pl-PL"/>
        </w:rPr>
        <w:t>, s. 393–398.</w:t>
      </w:r>
    </w:p>
  </w:footnote>
  <w:footnote w:id="17">
    <w:p w14:paraId="5CBEF64F" w14:textId="35C55DDD" w:rsidR="00CF0659" w:rsidRPr="00CF0659" w:rsidRDefault="00CF0659">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CF0659">
        <w:rPr>
          <w:rFonts w:ascii="Times New Roman" w:hAnsi="Times New Roman" w:cs="Times New Roman"/>
          <w:sz w:val="20"/>
          <w:szCs w:val="20"/>
          <w:lang w:val="pl-PL"/>
        </w:rPr>
        <w:t xml:space="preserve">M. Benedetti </w:t>
      </w:r>
      <w:proofErr w:type="spellStart"/>
      <w:r w:rsidRPr="00CF0659">
        <w:rPr>
          <w:rFonts w:ascii="Times New Roman" w:hAnsi="Times New Roman" w:cs="Times New Roman"/>
          <w:sz w:val="20"/>
          <w:szCs w:val="20"/>
          <w:lang w:val="pl-PL"/>
        </w:rPr>
        <w:t>i</w:t>
      </w:r>
      <w:proofErr w:type="spellEnd"/>
      <w:r w:rsidRPr="00CF0659">
        <w:rPr>
          <w:rFonts w:ascii="Times New Roman" w:hAnsi="Times New Roman" w:cs="Times New Roman"/>
          <w:sz w:val="20"/>
          <w:szCs w:val="20"/>
          <w:lang w:val="pl-PL"/>
        </w:rPr>
        <w:t xml:space="preserve"> in., </w:t>
      </w:r>
      <w:r w:rsidRPr="00CF0659">
        <w:rPr>
          <w:rFonts w:ascii="Times New Roman" w:hAnsi="Times New Roman" w:cs="Times New Roman"/>
          <w:sz w:val="20"/>
          <w:szCs w:val="20"/>
          <w:lang w:val="pl-PL"/>
          <w:i/>
          <w:iCs/>
        </w:rPr>
        <w:t>Parameterized quantum circuits as machine learning models</w:t>
      </w:r>
      <w:r w:rsidRPr="00CF0659">
        <w:rPr>
          <w:rFonts w:ascii="Times New Roman" w:hAnsi="Times New Roman" w:cs="Times New Roman"/>
          <w:sz w:val="20"/>
          <w:szCs w:val="20"/>
          <w:lang w:val="pl-PL"/>
        </w:rPr>
        <w:t>, op. cit.</w:t>
      </w:r>
    </w:p>
  </w:footnote>
  <w:footnote w:id="18">
    <w:p w14:paraId="03A080C6" w14:textId="77777777" w:rsidR="00DD382C" w:rsidRPr="00693EA5" w:rsidRDefault="00DD382C" w:rsidP="00DD382C">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CF0659">
        <w:rPr>
          <w:rFonts w:ascii="Times New Roman" w:hAnsi="Times New Roman" w:cs="Times New Roman"/>
          <w:sz w:val="20"/>
          <w:szCs w:val="20"/>
          <w:lang w:val="pl-PL"/>
        </w:rPr>
        <w:t xml:space="preserve">M. </w:t>
      </w:r>
      <w:proofErr w:type="spellStart"/>
      <w:r w:rsidRPr="00CF0659">
        <w:rPr>
          <w:rFonts w:ascii="Times New Roman" w:hAnsi="Times New Roman" w:cs="Times New Roman"/>
          <w:sz w:val="20"/>
          <w:szCs w:val="20"/>
          <w:lang w:val="pl-PL"/>
        </w:rPr>
        <w:t>Cerezo</w:t>
      </w:r>
      <w:proofErr w:type="spellEnd"/>
      <w:r w:rsidRPr="00CF0659">
        <w:rPr>
          <w:rFonts w:ascii="Times New Roman" w:hAnsi="Times New Roman" w:cs="Times New Roman"/>
          <w:sz w:val="20"/>
          <w:szCs w:val="20"/>
          <w:lang w:val="pl-PL"/>
        </w:rPr>
        <w:t xml:space="preserve"> </w:t>
      </w:r>
      <w:proofErr w:type="spellStart"/>
      <w:r>
        <w:rPr>
          <w:rFonts w:ascii="Times New Roman" w:hAnsi="Times New Roman" w:cs="Times New Roman"/>
          <w:sz w:val="20"/>
          <w:szCs w:val="20"/>
          <w:lang w:val="pl-PL"/>
        </w:rPr>
        <w:t>i</w:t>
      </w:r>
      <w:proofErr w:type="spellEnd"/>
      <w:r>
        <w:rPr>
          <w:rFonts w:ascii="Times New Roman" w:hAnsi="Times New Roman" w:cs="Times New Roman"/>
          <w:sz w:val="20"/>
          <w:szCs w:val="20"/>
          <w:lang w:val="pl-PL"/>
        </w:rPr>
        <w:t xml:space="preserve"> in</w:t>
      </w:r>
      <w:r w:rsidRPr="00CF0659">
        <w:rPr>
          <w:rFonts w:ascii="Times New Roman" w:hAnsi="Times New Roman" w:cs="Times New Roman"/>
          <w:sz w:val="20"/>
          <w:szCs w:val="20"/>
          <w:lang w:val="pl-PL"/>
        </w:rPr>
        <w:t xml:space="preserve">., </w:t>
      </w:r>
      <w:r w:rsidRPr="00CF0659">
        <w:rPr>
          <w:rFonts w:ascii="Times New Roman" w:hAnsi="Times New Roman" w:cs="Times New Roman"/>
          <w:sz w:val="20"/>
          <w:szCs w:val="20"/>
          <w:lang w:val="pl-PL"/>
          <w:i/>
          <w:iCs/>
        </w:rPr>
        <w:t>Variational quantum algorithms</w:t>
      </w:r>
      <w:r w:rsidRPr="00CF0659">
        <w:rPr>
          <w:rFonts w:ascii="Times New Roman" w:hAnsi="Times New Roman" w:cs="Times New Roman"/>
          <w:sz w:val="20"/>
          <w:szCs w:val="20"/>
          <w:lang w:val="pl-PL"/>
        </w:rPr>
        <w:t xml:space="preserve">, </w:t>
      </w:r>
      <w:r w:rsidRPr="00A436E1">
        <w:rPr>
          <w:rFonts w:ascii="Times New Roman" w:hAnsi="Times New Roman" w:cs="Times New Roman"/>
          <w:sz w:val="20"/>
          <w:szCs w:val="20"/>
          <w:lang w:val="pl-PL"/>
        </w:rPr>
        <w:t>„</w:t>
      </w:r>
      <w:r w:rsidRPr="00CF0659">
        <w:rPr>
          <w:rFonts w:ascii="Times New Roman" w:hAnsi="Times New Roman" w:cs="Times New Roman"/>
          <w:sz w:val="20"/>
          <w:szCs w:val="20"/>
          <w:lang w:val="pl-PL"/>
        </w:rPr>
        <w:t>Nature Reviews Physics</w:t>
      </w:r>
      <w:r>
        <w:rPr>
          <w:rFonts w:ascii="Times New Roman" w:hAnsi="Times New Roman" w:cs="Times New Roman"/>
          <w:sz w:val="20"/>
          <w:szCs w:val="20"/>
          <w:lang w:val="pl-PL"/>
        </w:rPr>
        <w:t>” 2021,</w:t>
      </w:r>
      <w:r w:rsidRPr="00CF0659">
        <w:rPr>
          <w:rFonts w:ascii="Times New Roman" w:hAnsi="Times New Roman" w:cs="Times New Roman"/>
          <w:sz w:val="20"/>
          <w:szCs w:val="20"/>
          <w:lang w:val="pl-PL"/>
        </w:rPr>
        <w:t xml:space="preserve"> vol. 3,</w:t>
      </w:r>
      <w:r>
        <w:rPr>
          <w:rFonts w:ascii="Times New Roman" w:hAnsi="Times New Roman" w:cs="Times New Roman"/>
          <w:sz w:val="20"/>
          <w:szCs w:val="20"/>
          <w:lang w:val="pl-PL"/>
        </w:rPr>
        <w:t xml:space="preserve"> </w:t>
      </w:r>
      <w:r w:rsidRPr="00CF0659">
        <w:rPr>
          <w:rFonts w:ascii="Times New Roman" w:hAnsi="Times New Roman" w:cs="Times New Roman"/>
          <w:sz w:val="20"/>
          <w:szCs w:val="20"/>
          <w:lang w:val="pl-PL"/>
        </w:rPr>
        <w:t>s. 625–644.</w:t>
      </w:r>
    </w:p>
  </w:footnote>
  <w:footnote w:id="21">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A. Abbas i in., </w:t>
      </w:r>
      <w:r>
        <w:rPr>
          <w:rFonts w:ascii="Times New Roman" w:hAnsi="Times New Roman" w:cs="Times New Roman"/>
          <w:sz w:val="20"/>
          <w:szCs w:val="20"/>
          <w:lang w:val="pl-PL"/>
          <w:i/>
          <w:iCs/>
        </w:rPr>
        <w:t>The power of quantum neural networks</w:t>
      </w:r>
      <w:r>
        <w:rPr>
          <w:rFonts w:ascii="Times New Roman" w:hAnsi="Times New Roman" w:cs="Times New Roman"/>
          <w:sz w:val="20"/>
          <w:szCs w:val="20"/>
          <w:lang w:val="pl-PL"/>
        </w:rPr>
        <w:t>, „Nature Computational Science” 2021, vol. 1, nr 6, s. 403–409, zwł. s. 404.</w:t>
      </w:r>
    </w:p>
  </w:footnote>
  <w:footnote w:id="22">
    <w:p w14:paraId="0D2454E2" w14:textId="622EB139" w:rsidR="00392B88" w:rsidRPr="00392B88" w:rsidRDefault="00392B88">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392B88">
        <w:rPr>
          <w:rFonts w:ascii="Times New Roman" w:hAnsi="Times New Roman" w:cs="Times New Roman"/>
          <w:sz w:val="20"/>
          <w:szCs w:val="20"/>
          <w:lang w:val="pl-PL"/>
        </w:rPr>
        <w:t xml:space="preserve">M. </w:t>
      </w:r>
      <w:proofErr w:type="spellStart"/>
      <w:r w:rsidRPr="00392B88">
        <w:rPr>
          <w:rFonts w:ascii="Times New Roman" w:hAnsi="Times New Roman" w:cs="Times New Roman"/>
          <w:sz w:val="20"/>
          <w:szCs w:val="20"/>
          <w:lang w:val="pl-PL"/>
        </w:rPr>
        <w:t>Schuld</w:t>
      </w:r>
      <w:proofErr w:type="spellEnd"/>
      <w:r w:rsidRPr="00392B88">
        <w:rPr>
          <w:rFonts w:ascii="Times New Roman" w:hAnsi="Times New Roman" w:cs="Times New Roman"/>
          <w:sz w:val="20"/>
          <w:szCs w:val="20"/>
          <w:lang w:val="pl-PL"/>
        </w:rPr>
        <w:t xml:space="preserve">, I. </w:t>
      </w:r>
      <w:proofErr w:type="spellStart"/>
      <w:r w:rsidRPr="00392B88">
        <w:rPr>
          <w:rFonts w:ascii="Times New Roman" w:hAnsi="Times New Roman" w:cs="Times New Roman"/>
          <w:sz w:val="20"/>
          <w:szCs w:val="20"/>
          <w:lang w:val="pl-PL"/>
        </w:rPr>
        <w:t>Sinayskiy</w:t>
      </w:r>
      <w:proofErr w:type="spellEnd"/>
      <w:r w:rsidRPr="00392B88">
        <w:rPr>
          <w:rFonts w:ascii="Times New Roman" w:hAnsi="Times New Roman" w:cs="Times New Roman"/>
          <w:sz w:val="20"/>
          <w:szCs w:val="20"/>
          <w:lang w:val="pl-PL"/>
        </w:rPr>
        <w:t xml:space="preserve">, F. </w:t>
      </w:r>
      <w:proofErr w:type="spellStart"/>
      <w:r w:rsidRPr="00392B88">
        <w:rPr>
          <w:rFonts w:ascii="Times New Roman" w:hAnsi="Times New Roman" w:cs="Times New Roman"/>
          <w:sz w:val="20"/>
          <w:szCs w:val="20"/>
          <w:lang w:val="pl-PL"/>
        </w:rPr>
        <w:t>Petruccione</w:t>
      </w:r>
      <w:proofErr w:type="spellEnd"/>
      <w:r w:rsidRPr="00392B88">
        <w:rPr>
          <w:rFonts w:ascii="Times New Roman" w:hAnsi="Times New Roman" w:cs="Times New Roman"/>
          <w:sz w:val="20"/>
          <w:szCs w:val="20"/>
          <w:lang w:val="pl-PL"/>
        </w:rPr>
        <w:t xml:space="preserve">, </w:t>
      </w:r>
      <w:r w:rsidRPr="00392B88">
        <w:rPr>
          <w:rFonts w:ascii="Times New Roman" w:hAnsi="Times New Roman" w:cs="Times New Roman"/>
          <w:sz w:val="20"/>
          <w:szCs w:val="20"/>
          <w:lang w:val="pl-PL"/>
          <w:i/>
          <w:iCs/>
        </w:rPr>
        <w:t>The quest for a Quantum Neural Network</w:t>
      </w:r>
      <w:r w:rsidRPr="00392B88">
        <w:rPr>
          <w:rFonts w:ascii="Times New Roman" w:hAnsi="Times New Roman" w:cs="Times New Roman"/>
          <w:sz w:val="20"/>
          <w:szCs w:val="20"/>
          <w:lang w:val="pl-PL"/>
        </w:rPr>
        <w:t>, „Quantum Information Processing” 2014, vol. 13, s. 2567–2586.</w:t>
      </w:r>
    </w:p>
  </w:footnote>
  <w:footnote w:id="23">
    <w:p w14:paraId="5F7DC008" w14:textId="19AA2C71" w:rsidR="00B4582B" w:rsidRPr="004363E0" w:rsidRDefault="00B4582B">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B4582B">
        <w:rPr>
          <w:rFonts w:ascii="Times New Roman" w:hAnsi="Times New Roman" w:cs="Times New Roman"/>
          <w:sz w:val="20"/>
          <w:szCs w:val="20"/>
          <w:lang w:val="pl-PL"/>
        </w:rPr>
        <w:t xml:space="preserve">V. </w:t>
      </w:r>
      <w:proofErr w:type="spellStart"/>
      <w:r w:rsidRPr="00B4582B">
        <w:rPr>
          <w:rFonts w:ascii="Times New Roman" w:hAnsi="Times New Roman" w:cs="Times New Roman"/>
          <w:sz w:val="20"/>
          <w:szCs w:val="20"/>
          <w:lang w:val="pl-PL"/>
        </w:rPr>
        <w:t>Havlíček</w:t>
      </w:r>
      <w:proofErr w:type="spellEnd"/>
      <w:r>
        <w:rPr>
          <w:rFonts w:ascii="Times New Roman" w:hAnsi="Times New Roman" w:cs="Times New Roman"/>
          <w:sz w:val="20"/>
          <w:szCs w:val="20"/>
          <w:lang w:val="pl-PL"/>
        </w:rPr>
        <w:t xml:space="preserve"> </w:t>
      </w:r>
      <w:proofErr w:type="spellStart"/>
      <w:r>
        <w:rPr>
          <w:rFonts w:ascii="Times New Roman" w:hAnsi="Times New Roman" w:cs="Times New Roman"/>
          <w:sz w:val="20"/>
          <w:szCs w:val="20"/>
          <w:lang w:val="pl-PL"/>
        </w:rPr>
        <w:t>i</w:t>
      </w:r>
      <w:proofErr w:type="spellEnd"/>
      <w:r>
        <w:rPr>
          <w:rFonts w:ascii="Times New Roman" w:hAnsi="Times New Roman" w:cs="Times New Roman"/>
          <w:sz w:val="20"/>
          <w:szCs w:val="20"/>
          <w:lang w:val="pl-PL"/>
        </w:rPr>
        <w:t xml:space="preserve"> in.</w:t>
      </w:r>
      <w:r w:rsidRPr="00B4582B">
        <w:rPr>
          <w:rFonts w:ascii="Times New Roman" w:hAnsi="Times New Roman" w:cs="Times New Roman"/>
          <w:sz w:val="20"/>
          <w:szCs w:val="20"/>
          <w:lang w:val="pl-PL"/>
        </w:rPr>
        <w:t xml:space="preserve">, </w:t>
      </w:r>
      <w:r w:rsidRPr="00B4582B">
        <w:rPr>
          <w:rFonts w:ascii="Times New Roman" w:hAnsi="Times New Roman" w:cs="Times New Roman"/>
          <w:sz w:val="20"/>
          <w:szCs w:val="20"/>
          <w:lang w:val="pl-PL"/>
          <w:i/>
          <w:iCs/>
        </w:rPr>
        <w:t>Supervised learning with quantum-enhanced feature spaces</w:t>
      </w:r>
      <w:r w:rsidRPr="00B4582B">
        <w:rPr>
          <w:rFonts w:ascii="Times New Roman" w:hAnsi="Times New Roman" w:cs="Times New Roman"/>
          <w:sz w:val="20"/>
          <w:szCs w:val="20"/>
          <w:lang w:val="pl-PL"/>
        </w:rPr>
        <w:t>, „Nature” 2019, vol. 567, s.</w:t>
      </w:r>
      <w:r>
        <w:rPr>
          <w:rFonts w:ascii="Times New Roman" w:hAnsi="Times New Roman" w:cs="Times New Roman"/>
          <w:sz w:val="20"/>
          <w:szCs w:val="20"/>
          <w:lang w:val="pl-PL"/>
        </w:rPr>
        <w:t> </w:t>
      </w:r>
      <w:r w:rsidRPr="00B4582B">
        <w:rPr>
          <w:rFonts w:ascii="Times New Roman" w:hAnsi="Times New Roman" w:cs="Times New Roman"/>
          <w:sz w:val="20"/>
          <w:szCs w:val="20"/>
          <w:lang w:val="pl-PL"/>
        </w:rPr>
        <w:t>209–212</w:t>
      </w:r>
      <w:r>
        <w:rPr>
          <w:rFonts w:ascii="Times New Roman" w:hAnsi="Times New Roman" w:cs="Times New Roman"/>
          <w:sz w:val="20"/>
          <w:szCs w:val="20"/>
          <w:lang w:val="pl-PL"/>
        </w:rPr>
        <w:t>.</w:t>
      </w:r>
    </w:p>
  </w:footnote>
  <w:footnote w:id="24">
    <w:p w14:paraId="6C7F7DD0" w14:textId="77777777" w:rsidR="000A1FBC" w:rsidRPr="00AA23B4" w:rsidRDefault="000A1FBC" w:rsidP="000A1FBC">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FB761E">
        <w:rPr>
          <w:rFonts w:ascii="Times New Roman" w:hAnsi="Times New Roman" w:cs="Times New Roman"/>
          <w:sz w:val="20"/>
          <w:szCs w:val="20"/>
          <w:lang w:val="pl-PL"/>
        </w:rPr>
        <w:t xml:space="preserve">M. </w:t>
      </w:r>
      <w:proofErr w:type="spellStart"/>
      <w:r w:rsidRPr="00FB761E">
        <w:rPr>
          <w:rFonts w:ascii="Times New Roman" w:hAnsi="Times New Roman" w:cs="Times New Roman"/>
          <w:sz w:val="20"/>
          <w:szCs w:val="20"/>
          <w:lang w:val="pl-PL"/>
        </w:rPr>
        <w:t>Schuld</w:t>
      </w:r>
      <w:proofErr w:type="spellEnd"/>
      <w:r w:rsidRPr="00FB761E">
        <w:rPr>
          <w:rFonts w:ascii="Times New Roman" w:hAnsi="Times New Roman" w:cs="Times New Roman"/>
          <w:sz w:val="20"/>
          <w:szCs w:val="20"/>
          <w:lang w:val="pl-PL"/>
        </w:rPr>
        <w:t xml:space="preserve">, R. </w:t>
      </w:r>
      <w:proofErr w:type="spellStart"/>
      <w:r w:rsidRPr="00FB761E">
        <w:rPr>
          <w:rFonts w:ascii="Times New Roman" w:hAnsi="Times New Roman" w:cs="Times New Roman"/>
          <w:sz w:val="20"/>
          <w:szCs w:val="20"/>
          <w:lang w:val="pl-PL"/>
        </w:rPr>
        <w:t>Sweke</w:t>
      </w:r>
      <w:proofErr w:type="spellEnd"/>
      <w:r w:rsidRPr="00FB761E">
        <w:rPr>
          <w:rFonts w:ascii="Times New Roman" w:hAnsi="Times New Roman" w:cs="Times New Roman"/>
          <w:sz w:val="20"/>
          <w:szCs w:val="20"/>
          <w:lang w:val="pl-PL"/>
        </w:rPr>
        <w:t xml:space="preserve">, J.J. Meyer, </w:t>
      </w:r>
      <w:r w:rsidRPr="00AA23B4">
        <w:rPr>
          <w:rFonts w:ascii="Times New Roman" w:hAnsi="Times New Roman" w:cs="Times New Roman"/>
          <w:sz w:val="20"/>
          <w:szCs w:val="20"/>
          <w:lang w:val="pl-PL"/>
          <w:i/>
          <w:iCs/>
        </w:rPr>
        <w:t>The effect of data encoding on the expressive power of variational quantum-machine-learning models</w:t>
      </w:r>
      <w:r w:rsidRPr="00FB761E">
        <w:rPr>
          <w:rFonts w:ascii="Times New Roman" w:hAnsi="Times New Roman" w:cs="Times New Roman"/>
          <w:sz w:val="20"/>
          <w:szCs w:val="20"/>
          <w:lang w:val="pl-PL"/>
        </w:rPr>
        <w:t xml:space="preserve">, </w:t>
      </w:r>
      <w:r w:rsidRPr="00B4582B">
        <w:rPr>
          <w:rFonts w:ascii="Times New Roman" w:hAnsi="Times New Roman" w:cs="Times New Roman"/>
          <w:sz w:val="20"/>
          <w:szCs w:val="20"/>
          <w:lang w:val="pl-PL"/>
        </w:rPr>
        <w:t>„</w:t>
      </w:r>
      <w:r w:rsidRPr="00FB761E">
        <w:rPr>
          <w:rFonts w:ascii="Times New Roman" w:hAnsi="Times New Roman" w:cs="Times New Roman"/>
          <w:sz w:val="20"/>
          <w:szCs w:val="20"/>
          <w:lang w:val="pl-PL"/>
        </w:rPr>
        <w:t>Physical Review</w:t>
      </w:r>
      <w:r>
        <w:rPr>
          <w:rFonts w:ascii="Times New Roman" w:hAnsi="Times New Roman" w:cs="Times New Roman"/>
          <w:sz w:val="20"/>
          <w:szCs w:val="20"/>
          <w:lang w:val="pl-PL"/>
        </w:rPr>
        <w:t xml:space="preserve"> A” 2021</w:t>
      </w:r>
      <w:r w:rsidRPr="00FB761E">
        <w:rPr>
          <w:rFonts w:ascii="Times New Roman" w:hAnsi="Times New Roman" w:cs="Times New Roman"/>
          <w:sz w:val="20"/>
          <w:szCs w:val="20"/>
          <w:lang w:val="pl-PL"/>
        </w:rPr>
        <w:t>, vol. 103, 032430.</w:t>
      </w:r>
    </w:p>
  </w:footnote>
  <w:footnote w:id="25">
    <w:p w14:paraId="281BF711" w14:textId="241CA901" w:rsidR="008956F5" w:rsidRPr="00D92F0A" w:rsidRDefault="008956F5" w:rsidP="008956F5">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8956F5">
        <w:rPr>
          <w:rFonts w:ascii="Times New Roman" w:hAnsi="Times New Roman" w:cs="Times New Roman"/>
          <w:sz w:val="20"/>
          <w:szCs w:val="20"/>
          <w:lang w:val="pl-PL"/>
        </w:rPr>
        <w:t xml:space="preserve">M. Rath, H. Date, </w:t>
      </w:r>
      <w:r w:rsidRPr="008956F5">
        <w:rPr>
          <w:rFonts w:ascii="Times New Roman" w:hAnsi="Times New Roman" w:cs="Times New Roman"/>
          <w:sz w:val="20"/>
          <w:szCs w:val="20"/>
          <w:lang w:val="pl-PL"/>
          <w:i/>
          <w:iCs/>
        </w:rPr>
        <w:t>Quantum data encoding: a comparative analysis of classical-to-quantum mapping techniques and their impact on machine learning accuracy</w:t>
      </w:r>
      <w:r w:rsidRPr="008956F5">
        <w:rPr>
          <w:rFonts w:ascii="Times New Roman" w:hAnsi="Times New Roman" w:cs="Times New Roman"/>
          <w:sz w:val="20"/>
          <w:szCs w:val="20"/>
          <w:lang w:val="pl-PL"/>
        </w:rPr>
        <w:t>, „EPJ Quantum Technology” 2024, vol. 11, art. 72</w:t>
      </w:r>
      <w:r>
        <w:rPr>
          <w:rFonts w:ascii="Times New Roman" w:hAnsi="Times New Roman" w:cs="Times New Roman"/>
          <w:sz w:val="20"/>
          <w:szCs w:val="20"/>
          <w:lang w:val="pl-PL"/>
        </w:rPr>
        <w:t>.</w:t>
      </w:r>
    </w:p>
  </w:footnote>
  <w:footnote w:id="26">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IBM Quantum Learning, </w:t>
      </w:r>
      <w:r>
        <w:rPr>
          <w:rFonts w:ascii="Times New Roman" w:hAnsi="Times New Roman" w:cs="Times New Roman"/>
          <w:sz w:val="20"/>
          <w:szCs w:val="20"/>
          <w:lang w:val="pl-PL"/>
          <w:i/>
          <w:iCs/>
        </w:rPr>
        <w:t>Data encoding</w:t>
      </w:r>
      <w:r>
        <w:rPr>
          <w:rFonts w:ascii="Times New Roman" w:hAnsi="Times New Roman" w:cs="Times New Roman"/>
          <w:sz w:val="20"/>
          <w:szCs w:val="20"/>
          <w:lang w:val="pl-PL"/>
        </w:rPr>
        <w:t>, IBM Quantum, https://quantum.cloud.ibm.com/learning/courses/quantum-machine-learning/data-encoding (dostęp: 27.05.2026).</w:t>
      </w:r>
    </w:p>
  </w:footnote>
  <w:footnote w:id="27">
    <w:p w14:paraId="1DBC1E7D" w14:textId="7D69DF17" w:rsidR="00534AF7" w:rsidRPr="00534AF7" w:rsidRDefault="00534AF7">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534AF7">
        <w:rPr>
          <w:rFonts w:ascii="Times New Roman" w:hAnsi="Times New Roman" w:cs="Times New Roman"/>
          <w:sz w:val="20"/>
          <w:szCs w:val="20"/>
          <w:lang w:val="pl-PL"/>
        </w:rPr>
        <w:t xml:space="preserve">M. </w:t>
      </w:r>
      <w:proofErr w:type="spellStart"/>
      <w:r w:rsidRPr="00534AF7">
        <w:rPr>
          <w:rFonts w:ascii="Times New Roman" w:hAnsi="Times New Roman" w:cs="Times New Roman"/>
          <w:sz w:val="20"/>
          <w:szCs w:val="20"/>
          <w:lang w:val="pl-PL"/>
        </w:rPr>
        <w:t>Schuld</w:t>
      </w:r>
      <w:proofErr w:type="spellEnd"/>
      <w:r w:rsidRPr="00534AF7">
        <w:rPr>
          <w:rFonts w:ascii="Times New Roman" w:hAnsi="Times New Roman" w:cs="Times New Roman"/>
          <w:sz w:val="20"/>
          <w:szCs w:val="20"/>
          <w:lang w:val="pl-PL"/>
        </w:rPr>
        <w:t xml:space="preserve">, F. </w:t>
      </w:r>
      <w:proofErr w:type="spellStart"/>
      <w:r w:rsidRPr="00534AF7">
        <w:rPr>
          <w:rFonts w:ascii="Times New Roman" w:hAnsi="Times New Roman" w:cs="Times New Roman"/>
          <w:sz w:val="20"/>
          <w:szCs w:val="20"/>
          <w:lang w:val="pl-PL"/>
        </w:rPr>
        <w:t>Petruccione</w:t>
      </w:r>
      <w:proofErr w:type="spellEnd"/>
      <w:r w:rsidRPr="00534AF7">
        <w:rPr>
          <w:rFonts w:ascii="Times New Roman" w:hAnsi="Times New Roman" w:cs="Times New Roman"/>
          <w:sz w:val="20"/>
          <w:szCs w:val="20"/>
          <w:lang w:val="pl-PL"/>
        </w:rPr>
        <w:t xml:space="preserve">, </w:t>
      </w:r>
      <w:r w:rsidRPr="00534AF7">
        <w:rPr>
          <w:rFonts w:ascii="Times New Roman" w:hAnsi="Times New Roman" w:cs="Times New Roman"/>
          <w:sz w:val="20"/>
          <w:szCs w:val="20"/>
          <w:lang w:val="pl-PL"/>
          <w:i/>
          <w:iCs/>
        </w:rPr>
        <w:t>Supervised Learning with Quantum Computers</w:t>
      </w:r>
      <w:r w:rsidRPr="00534AF7">
        <w:rPr>
          <w:rFonts w:ascii="Times New Roman" w:hAnsi="Times New Roman" w:cs="Times New Roman"/>
          <w:sz w:val="20"/>
          <w:szCs w:val="20"/>
          <w:lang w:val="pl-PL"/>
        </w:rPr>
        <w:t>, op. cit., s. 1</w:t>
      </w:r>
      <w:r>
        <w:rPr>
          <w:rFonts w:ascii="Times New Roman" w:hAnsi="Times New Roman" w:cs="Times New Roman"/>
          <w:sz w:val="20"/>
          <w:szCs w:val="20"/>
          <w:lang w:val="pl-PL"/>
        </w:rPr>
        <w:t>09</w:t>
      </w:r>
      <w:r w:rsidRPr="00534AF7">
        <w:rPr>
          <w:rFonts w:ascii="Times New Roman" w:hAnsi="Times New Roman" w:cs="Times New Roman"/>
          <w:sz w:val="20"/>
          <w:szCs w:val="20"/>
          <w:lang w:val="pl-PL"/>
        </w:rPr>
        <w:t>–1</w:t>
      </w:r>
      <w:r>
        <w:rPr>
          <w:rFonts w:ascii="Times New Roman" w:hAnsi="Times New Roman" w:cs="Times New Roman"/>
          <w:sz w:val="20"/>
          <w:szCs w:val="20"/>
          <w:lang w:val="pl-PL"/>
        </w:rPr>
        <w:t>10</w:t>
      </w:r>
      <w:r w:rsidRPr="00534AF7">
        <w:rPr>
          <w:rFonts w:ascii="Times New Roman" w:hAnsi="Times New Roman" w:cs="Times New Roman"/>
          <w:sz w:val="20"/>
          <w:szCs w:val="20"/>
          <w:lang w:val="pl-PL"/>
        </w:rPr>
        <w:t>.</w:t>
      </w:r>
    </w:p>
  </w:footnote>
  <w:footnote w:id="28">
    <w:p w14:paraId="49B8B242" w14:textId="03EA0EB8" w:rsidR="00705CBC" w:rsidRPr="00E020E9" w:rsidRDefault="00705CBC" w:rsidP="00705CBC">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proofErr w:type="spellStart"/>
      <w:r w:rsidR="00B95E0C">
        <w:rPr>
          <w:rFonts w:ascii="Times New Roman" w:hAnsi="Times New Roman" w:cs="Times New Roman"/>
          <w:sz w:val="20"/>
          <w:szCs w:val="20"/>
          <w:lang w:val="pl-PL"/>
        </w:rPr>
        <w:t>Tamże</w:t>
      </w:r>
      <w:proofErr w:type="spellEnd"/>
      <w:r w:rsidRPr="00534AF7">
        <w:rPr>
          <w:rFonts w:ascii="Times New Roman" w:hAnsi="Times New Roman" w:cs="Times New Roman"/>
          <w:sz w:val="20"/>
          <w:szCs w:val="20"/>
          <w:lang w:val="pl-PL"/>
        </w:rPr>
        <w:t xml:space="preserve">, s. </w:t>
      </w:r>
      <w:r>
        <w:rPr>
          <w:rFonts w:ascii="Times New Roman" w:hAnsi="Times New Roman" w:cs="Times New Roman"/>
          <w:sz w:val="20"/>
          <w:szCs w:val="20"/>
          <w:lang w:val="pl-PL"/>
        </w:rPr>
        <w:t>186–188.</w:t>
      </w:r>
    </w:p>
  </w:footnote>
  <w:footnote w:id="29">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IBM Quantum Learning, </w:t>
      </w:r>
      <w:r>
        <w:rPr>
          <w:rFonts w:ascii="Times New Roman" w:hAnsi="Times New Roman" w:cs="Times New Roman"/>
          <w:sz w:val="20"/>
          <w:szCs w:val="20"/>
          <w:lang w:val="pl-PL"/>
          <w:i/>
          <w:iCs/>
        </w:rPr>
        <w:t>Data encoding</w:t>
      </w:r>
      <w:r>
        <w:rPr>
          <w:rFonts w:ascii="Times New Roman" w:hAnsi="Times New Roman" w:cs="Times New Roman"/>
          <w:sz w:val="20"/>
          <w:szCs w:val="20"/>
          <w:lang w:val="pl-PL"/>
        </w:rPr>
        <w:t>, IBM Quantum, https://quantum.cloud.ibm.com/learning/courses/quantum-machine-learning/data-encoding (dostęp: 27.05.2026).</w:t>
      </w:r>
    </w:p>
  </w:footnote>
  <w:footnote w:id="30">
    <w:p w14:paraId="20E36328" w14:textId="17B3ABC6" w:rsidR="00462ED8" w:rsidRPr="00D5735E" w:rsidRDefault="00462ED8" w:rsidP="00462ED8">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BA39D1" w:rsidRPr="00534AF7">
        <w:rPr>
          <w:rFonts w:ascii="Times New Roman" w:hAnsi="Times New Roman" w:cs="Times New Roman"/>
          <w:sz w:val="20"/>
          <w:szCs w:val="20"/>
          <w:lang w:val="pl-PL"/>
        </w:rPr>
        <w:t xml:space="preserve">M. </w:t>
      </w:r>
      <w:proofErr w:type="spellStart"/>
      <w:r w:rsidR="00BA39D1" w:rsidRPr="00534AF7">
        <w:rPr>
          <w:rFonts w:ascii="Times New Roman" w:hAnsi="Times New Roman" w:cs="Times New Roman"/>
          <w:sz w:val="20"/>
          <w:szCs w:val="20"/>
          <w:lang w:val="pl-PL"/>
        </w:rPr>
        <w:t>Schuld</w:t>
      </w:r>
      <w:proofErr w:type="spellEnd"/>
      <w:r w:rsidR="00BA39D1" w:rsidRPr="00534AF7">
        <w:rPr>
          <w:rFonts w:ascii="Times New Roman" w:hAnsi="Times New Roman" w:cs="Times New Roman"/>
          <w:sz w:val="20"/>
          <w:szCs w:val="20"/>
          <w:lang w:val="pl-PL"/>
        </w:rPr>
        <w:t xml:space="preserve">, F. </w:t>
      </w:r>
      <w:proofErr w:type="spellStart"/>
      <w:r w:rsidR="00BA39D1" w:rsidRPr="00534AF7">
        <w:rPr>
          <w:rFonts w:ascii="Times New Roman" w:hAnsi="Times New Roman" w:cs="Times New Roman"/>
          <w:sz w:val="20"/>
          <w:szCs w:val="20"/>
          <w:lang w:val="pl-PL"/>
        </w:rPr>
        <w:t>Petruccione</w:t>
      </w:r>
      <w:proofErr w:type="spellEnd"/>
      <w:r w:rsidR="00BA39D1" w:rsidRPr="00534AF7">
        <w:rPr>
          <w:rFonts w:ascii="Times New Roman" w:hAnsi="Times New Roman" w:cs="Times New Roman"/>
          <w:sz w:val="20"/>
          <w:szCs w:val="20"/>
          <w:lang w:val="pl-PL"/>
        </w:rPr>
        <w:t xml:space="preserve">, </w:t>
      </w:r>
      <w:r w:rsidR="00BA39D1" w:rsidRPr="00534AF7">
        <w:rPr>
          <w:rFonts w:ascii="Times New Roman" w:hAnsi="Times New Roman" w:cs="Times New Roman"/>
          <w:sz w:val="20"/>
          <w:szCs w:val="20"/>
          <w:lang w:val="pl-PL"/>
          <w:i/>
          <w:iCs/>
        </w:rPr>
        <w:t>Supervised Learning with Quantum Computers</w:t>
      </w:r>
      <w:r w:rsidR="00BA39D1" w:rsidRPr="00534AF7">
        <w:rPr>
          <w:rFonts w:ascii="Times New Roman" w:hAnsi="Times New Roman" w:cs="Times New Roman"/>
          <w:sz w:val="20"/>
          <w:szCs w:val="20"/>
          <w:lang w:val="pl-PL"/>
        </w:rPr>
        <w:t xml:space="preserve">, op. cit., s. </w:t>
      </w:r>
      <w:r w:rsidR="00BA39D1">
        <w:rPr>
          <w:rFonts w:ascii="Times New Roman" w:hAnsi="Times New Roman" w:cs="Times New Roman"/>
          <w:sz w:val="20"/>
          <w:szCs w:val="20"/>
          <w:lang w:val="pl-PL"/>
        </w:rPr>
        <w:t>110–112.</w:t>
      </w:r>
    </w:p>
  </w:footnote>
  <w:footnote w:id="31">
    <w:p w14:paraId="12B7F6F0" w14:textId="7510108C" w:rsidR="00D5735E" w:rsidRPr="00D5735E" w:rsidRDefault="00D5735E">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proofErr w:type="spellStart"/>
      <w:r w:rsidR="00B95E0C">
        <w:rPr>
          <w:rFonts w:ascii="Times New Roman" w:hAnsi="Times New Roman" w:cs="Times New Roman"/>
          <w:sz w:val="20"/>
          <w:szCs w:val="20"/>
          <w:lang w:val="pl-PL"/>
        </w:rPr>
        <w:t>Tamże</w:t>
      </w:r>
      <w:proofErr w:type="spellEnd"/>
      <w:r w:rsidR="00BA39D1" w:rsidRPr="00534AF7">
        <w:rPr>
          <w:rFonts w:ascii="Times New Roman" w:hAnsi="Times New Roman" w:cs="Times New Roman"/>
          <w:sz w:val="20"/>
          <w:szCs w:val="20"/>
          <w:lang w:val="pl-PL"/>
        </w:rPr>
        <w:t xml:space="preserve">, s. </w:t>
      </w:r>
      <w:r w:rsidR="00BA39D1">
        <w:rPr>
          <w:rFonts w:ascii="Times New Roman" w:hAnsi="Times New Roman" w:cs="Times New Roman"/>
          <w:sz w:val="20"/>
          <w:szCs w:val="20"/>
          <w:lang w:val="pl-PL"/>
        </w:rPr>
        <w:t>148–150</w:t>
      </w:r>
      <w:r w:rsidR="00980C8F">
        <w:rPr>
          <w:rFonts w:ascii="Times New Roman" w:hAnsi="Times New Roman" w:cs="Times New Roman"/>
          <w:sz w:val="20"/>
          <w:szCs w:val="20"/>
          <w:lang w:val="pl-PL"/>
        </w:rPr>
        <w:t>.</w:t>
      </w:r>
    </w:p>
  </w:footnote>
  <w:footnote w:id="32">
    <w:p w14:paraId="6E8CAE81" w14:textId="276D5DDD" w:rsidR="00FC2891" w:rsidRPr="00FC2891" w:rsidRDefault="00FC2891">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FC2891">
        <w:rPr>
          <w:rFonts w:ascii="Times New Roman" w:hAnsi="Times New Roman" w:cs="Times New Roman"/>
          <w:sz w:val="20"/>
          <w:szCs w:val="20"/>
          <w:lang w:val="pl-PL"/>
        </w:rPr>
        <w:t xml:space="preserve">S. Sim, P. D. Johnson, A. </w:t>
      </w:r>
      <w:proofErr w:type="spellStart"/>
      <w:r w:rsidRPr="00FC2891">
        <w:rPr>
          <w:rFonts w:ascii="Times New Roman" w:hAnsi="Times New Roman" w:cs="Times New Roman"/>
          <w:sz w:val="20"/>
          <w:szCs w:val="20"/>
          <w:lang w:val="pl-PL"/>
        </w:rPr>
        <w:t>Aspuru-Guzik</w:t>
      </w:r>
      <w:proofErr w:type="spellEnd"/>
      <w:r w:rsidRPr="00FC2891">
        <w:rPr>
          <w:rFonts w:ascii="Times New Roman" w:hAnsi="Times New Roman" w:cs="Times New Roman"/>
          <w:sz w:val="20"/>
          <w:szCs w:val="20"/>
          <w:lang w:val="pl-PL"/>
        </w:rPr>
        <w:t xml:space="preserve">, </w:t>
      </w:r>
      <w:r w:rsidRPr="00FC2891">
        <w:rPr>
          <w:rFonts w:ascii="Times New Roman" w:hAnsi="Times New Roman" w:cs="Times New Roman"/>
          <w:sz w:val="20"/>
          <w:szCs w:val="20"/>
          <w:lang w:val="pl-PL"/>
          <w:i/>
          <w:iCs/>
        </w:rPr>
        <w:t>Expressibility and Entangling Capability of Parameterized Quantum Circuits for Hybrid Quantum-Classical Algorithms</w:t>
      </w:r>
      <w:r w:rsidRPr="00FC2891">
        <w:rPr>
          <w:rFonts w:ascii="Times New Roman" w:hAnsi="Times New Roman" w:cs="Times New Roman"/>
          <w:sz w:val="20"/>
          <w:szCs w:val="20"/>
          <w:lang w:val="pl-PL"/>
        </w:rPr>
        <w:t>, „Advanced Quantum Technologies” 2019, vol. 2, 1900070.</w:t>
      </w:r>
    </w:p>
  </w:footnote>
  <w:footnote w:id="33">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M. Cerezo i in., </w:t>
      </w:r>
      <w:r>
        <w:rPr>
          <w:rFonts w:ascii="Times New Roman" w:hAnsi="Times New Roman" w:cs="Times New Roman"/>
          <w:sz w:val="20"/>
          <w:szCs w:val="20"/>
          <w:lang w:val="pl-PL"/>
          <w:i/>
          <w:iCs/>
        </w:rPr>
        <w:t>Variational quantum algorithms</w:t>
      </w:r>
      <w:r>
        <w:rPr>
          <w:rFonts w:ascii="Times New Roman" w:hAnsi="Times New Roman" w:cs="Times New Roman"/>
          <w:sz w:val="20"/>
          <w:szCs w:val="20"/>
          <w:lang w:val="pl-PL"/>
        </w:rPr>
        <w:t xml:space="preserve">, op. cit.; S. Sim, P.D. Johnson, A. Aspuru-Guzik, </w:t>
      </w:r>
      <w:r>
        <w:rPr>
          <w:rFonts w:ascii="Times New Roman" w:hAnsi="Times New Roman" w:cs="Times New Roman"/>
          <w:sz w:val="20"/>
          <w:szCs w:val="20"/>
          <w:lang w:val="pl-PL"/>
          <w:i/>
          <w:iCs/>
        </w:rPr>
        <w:t>Expressibility and Entangling Capability of Parameterized Quantum Circuits for Hybrid Quantum-Classical Algorithms</w:t>
      </w:r>
      <w:r>
        <w:rPr>
          <w:rFonts w:ascii="Times New Roman" w:hAnsi="Times New Roman" w:cs="Times New Roman"/>
          <w:sz w:val="20"/>
          <w:szCs w:val="20"/>
          <w:lang w:val="pl-PL"/>
        </w:rPr>
        <w:t>, op. cit.</w:t>
      </w:r>
    </w:p>
  </w:footnote>
  <w:footnote w:id="34">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J. Preskill, </w:t>
      </w:r>
      <w:r>
        <w:rPr>
          <w:rFonts w:ascii="Times New Roman" w:hAnsi="Times New Roman" w:cs="Times New Roman"/>
          <w:sz w:val="20"/>
          <w:szCs w:val="20"/>
          <w:lang w:val="pl-PL"/>
          <w:i/>
          <w:iCs/>
        </w:rPr>
        <w:t>Quantum Computing in the NISQ era and beyond</w:t>
      </w:r>
      <w:r>
        <w:rPr>
          <w:rFonts w:ascii="Times New Roman" w:hAnsi="Times New Roman" w:cs="Times New Roman"/>
          <w:sz w:val="20"/>
          <w:szCs w:val="20"/>
          <w:lang w:val="pl-PL"/>
        </w:rPr>
        <w:t>, „Quantum” 2018, vol. 2, art. 79, DOI: 10.22331/q-2018-08-06-79.</w:t>
      </w:r>
    </w:p>
  </w:footnote>
  <w:footnote w:id="35">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M. Brink, J. Chow, </w:t>
      </w:r>
      <w:r>
        <w:rPr>
          <w:rFonts w:ascii="Times New Roman" w:hAnsi="Times New Roman" w:cs="Times New Roman"/>
          <w:sz w:val="20"/>
          <w:szCs w:val="20"/>
          <w:lang w:val="pl-PL"/>
          <w:i/>
          <w:iCs/>
        </w:rPr>
        <w:t>Bringing agile to quantum hardware</w:t>
      </w:r>
      <w:r>
        <w:rPr>
          <w:rFonts w:ascii="Times New Roman" w:hAnsi="Times New Roman" w:cs="Times New Roman"/>
          <w:sz w:val="20"/>
          <w:szCs w:val="20"/>
          <w:lang w:val="pl-PL"/>
        </w:rPr>
        <w:t xml:space="preserve">, IBM Quantum Blog, 14.03.2022, https://www.ibm.com/quantum/blog/agile-quantum-hardware-development; IBM, </w:t>
      </w:r>
      <w:r>
        <w:rPr>
          <w:rFonts w:ascii="Times New Roman" w:hAnsi="Times New Roman" w:cs="Times New Roman"/>
          <w:sz w:val="20"/>
          <w:szCs w:val="20"/>
          <w:lang w:val="pl-PL"/>
          <w:i/>
          <w:iCs/>
        </w:rPr>
        <w:t>IBM Unveils 400 Qubit-Plus Quantum Processor and Next-Generation IBM Quantum System Two</w:t>
      </w:r>
      <w:r>
        <w:rPr>
          <w:rFonts w:ascii="Times New Roman" w:hAnsi="Times New Roman" w:cs="Times New Roman"/>
          <w:sz w:val="20"/>
          <w:szCs w:val="20"/>
          <w:lang w:val="pl-PL"/>
        </w:rPr>
        <w:t xml:space="preserve">, IBM Newsroom, 9.11.2022, https://newsroom.ibm.com/2022-11-09-IBM-Unveils-400-Qubit-Plus-Quantum-Processor-and-Next-Generation-IBM-Quantum-System-Two; J. Gambetta, </w:t>
      </w:r>
      <w:r>
        <w:rPr>
          <w:rFonts w:ascii="Times New Roman" w:hAnsi="Times New Roman" w:cs="Times New Roman"/>
          <w:sz w:val="20"/>
          <w:szCs w:val="20"/>
          <w:lang w:val="pl-PL"/>
          <w:i/>
          <w:iCs/>
        </w:rPr>
        <w:t>The hardware and software for the era of quantum utility is here</w:t>
      </w:r>
      <w:r>
        <w:rPr>
          <w:rFonts w:ascii="Times New Roman" w:hAnsi="Times New Roman" w:cs="Times New Roman"/>
          <w:sz w:val="20"/>
          <w:szCs w:val="20"/>
          <w:lang w:val="pl-PL"/>
        </w:rPr>
        <w:t>, IBM Quantum Blog, 4.12.2023, https://www.ibm.com/quantum/blog/quantum-roadmap-2033 (dostęp: 28.05.2026).</w:t>
      </w:r>
    </w:p>
  </w:footnote>
  <w:footnote w:id="36">
    <w:p w14:paraId="40A73D7D" w14:textId="1C03F147" w:rsidR="00C33946" w:rsidRPr="00C33946" w:rsidRDefault="00C33946">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EC4E64" w:rsidRPr="00EC4E64">
        <w:rPr>
          <w:rFonts w:ascii="Times New Roman" w:hAnsi="Times New Roman" w:cs="Times New Roman"/>
          <w:sz w:val="20"/>
          <w:szCs w:val="20"/>
          <w:lang w:val="pl-PL"/>
        </w:rPr>
        <w:t>H.-Y. Huang</w:t>
      </w:r>
      <w:r w:rsidR="00EC4E64">
        <w:rPr>
          <w:rFonts w:ascii="Times New Roman" w:hAnsi="Times New Roman" w:cs="Times New Roman"/>
          <w:sz w:val="20"/>
          <w:szCs w:val="20"/>
          <w:lang w:val="pl-PL"/>
        </w:rPr>
        <w:t xml:space="preserve"> </w:t>
      </w:r>
      <w:proofErr w:type="spellStart"/>
      <w:r w:rsidR="00EC4E64">
        <w:rPr>
          <w:rFonts w:ascii="Times New Roman" w:hAnsi="Times New Roman" w:cs="Times New Roman"/>
          <w:sz w:val="20"/>
          <w:szCs w:val="20"/>
          <w:lang w:val="pl-PL"/>
        </w:rPr>
        <w:t>i</w:t>
      </w:r>
      <w:proofErr w:type="spellEnd"/>
      <w:r w:rsidR="00EC4E64">
        <w:rPr>
          <w:rFonts w:ascii="Times New Roman" w:hAnsi="Times New Roman" w:cs="Times New Roman"/>
          <w:sz w:val="20"/>
          <w:szCs w:val="20"/>
          <w:lang w:val="pl-PL"/>
        </w:rPr>
        <w:t xml:space="preserve"> in.</w:t>
      </w:r>
      <w:r w:rsidR="00EC4E64" w:rsidRPr="00EC4E64">
        <w:rPr>
          <w:rFonts w:ascii="Times New Roman" w:hAnsi="Times New Roman" w:cs="Times New Roman"/>
          <w:sz w:val="20"/>
          <w:szCs w:val="20"/>
          <w:lang w:val="pl-PL"/>
        </w:rPr>
        <w:t xml:space="preserve">, </w:t>
      </w:r>
      <w:r w:rsidR="00EC4E64" w:rsidRPr="00EC4E64">
        <w:rPr>
          <w:rFonts w:ascii="Times New Roman" w:hAnsi="Times New Roman" w:cs="Times New Roman"/>
          <w:sz w:val="20"/>
          <w:szCs w:val="20"/>
          <w:lang w:val="pl-PL"/>
          <w:i/>
          <w:iCs/>
        </w:rPr>
        <w:t>Power of data in quantum machine learning</w:t>
      </w:r>
      <w:r w:rsidR="00EC4E64" w:rsidRPr="00EC4E64">
        <w:rPr>
          <w:rFonts w:ascii="Times New Roman" w:hAnsi="Times New Roman" w:cs="Times New Roman"/>
          <w:sz w:val="20"/>
          <w:szCs w:val="20"/>
          <w:lang w:val="pl-PL"/>
        </w:rPr>
        <w:t xml:space="preserve">, </w:t>
      </w:r>
      <w:r w:rsidR="00EC4E64" w:rsidRPr="00FA48B4">
        <w:rPr>
          <w:rFonts w:ascii="Times New Roman" w:hAnsi="Times New Roman" w:cs="Times New Roman"/>
          <w:sz w:val="20"/>
          <w:szCs w:val="20"/>
          <w:lang w:val="pl-PL"/>
        </w:rPr>
        <w:t>„</w:t>
      </w:r>
      <w:r w:rsidR="00EC4E64" w:rsidRPr="00EC4E64">
        <w:rPr>
          <w:rFonts w:ascii="Times New Roman" w:hAnsi="Times New Roman" w:cs="Times New Roman"/>
          <w:sz w:val="20"/>
          <w:szCs w:val="20"/>
          <w:lang w:val="pl-PL"/>
        </w:rPr>
        <w:t>Nature Communications</w:t>
      </w:r>
      <w:r w:rsidR="00EC4E64">
        <w:rPr>
          <w:rFonts w:ascii="Times New Roman" w:hAnsi="Times New Roman" w:cs="Times New Roman"/>
          <w:sz w:val="20"/>
          <w:szCs w:val="20"/>
          <w:lang w:val="pl-PL"/>
        </w:rPr>
        <w:t>” 2021</w:t>
      </w:r>
      <w:r w:rsidR="00EC4E64" w:rsidRPr="00EC4E64">
        <w:rPr>
          <w:rFonts w:ascii="Times New Roman" w:hAnsi="Times New Roman" w:cs="Times New Roman"/>
          <w:sz w:val="20"/>
          <w:szCs w:val="20"/>
          <w:lang w:val="pl-PL"/>
        </w:rPr>
        <w:t>, vol. 12, art.</w:t>
      </w:r>
      <w:r w:rsidR="00EC4E64">
        <w:rPr>
          <w:rFonts w:ascii="Times New Roman" w:hAnsi="Times New Roman" w:cs="Times New Roman"/>
          <w:sz w:val="20"/>
          <w:szCs w:val="20"/>
          <w:lang w:val="pl-PL"/>
        </w:rPr>
        <w:t> </w:t>
      </w:r>
      <w:r w:rsidR="00EC4E64" w:rsidRPr="00EC4E64">
        <w:rPr>
          <w:rFonts w:ascii="Times New Roman" w:hAnsi="Times New Roman" w:cs="Times New Roman"/>
          <w:sz w:val="20"/>
          <w:szCs w:val="20"/>
          <w:lang w:val="pl-PL"/>
        </w:rPr>
        <w:t>2631</w:t>
      </w:r>
      <w:r w:rsidR="00EC4E64">
        <w:rPr>
          <w:rFonts w:ascii="Times New Roman" w:hAnsi="Times New Roman" w:cs="Times New Roman"/>
          <w:sz w:val="20"/>
          <w:szCs w:val="20"/>
          <w:lang w:val="pl-PL"/>
        </w:rPr>
        <w:t>.</w:t>
      </w:r>
    </w:p>
  </w:footnote>
  <w:footnote w:id="37">
    <w:p w14:paraId="56010CDE" w14:textId="4AC0F291" w:rsidR="00215322" w:rsidRPr="00215322" w:rsidRDefault="00215322">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EC4E64" w:rsidRPr="00EC4E64">
        <w:rPr>
          <w:rFonts w:ascii="Times New Roman" w:hAnsi="Times New Roman" w:cs="Times New Roman"/>
          <w:sz w:val="20"/>
          <w:szCs w:val="20"/>
          <w:lang w:val="pl-PL"/>
        </w:rPr>
        <w:t xml:space="preserve">M. </w:t>
      </w:r>
      <w:proofErr w:type="spellStart"/>
      <w:r w:rsidR="00EC4E64" w:rsidRPr="00EC4E64">
        <w:rPr>
          <w:rFonts w:ascii="Times New Roman" w:hAnsi="Times New Roman" w:cs="Times New Roman"/>
          <w:sz w:val="20"/>
          <w:szCs w:val="20"/>
          <w:lang w:val="pl-PL"/>
        </w:rPr>
        <w:t>Cerezo</w:t>
      </w:r>
      <w:proofErr w:type="spellEnd"/>
      <w:r w:rsidR="00EC4E64" w:rsidRPr="00EC4E64">
        <w:rPr>
          <w:rFonts w:ascii="Times New Roman" w:hAnsi="Times New Roman" w:cs="Times New Roman"/>
          <w:sz w:val="20"/>
          <w:szCs w:val="20"/>
          <w:lang w:val="pl-PL"/>
        </w:rPr>
        <w:t xml:space="preserve"> </w:t>
      </w:r>
      <w:proofErr w:type="spellStart"/>
      <w:r w:rsidR="00EC4E64" w:rsidRPr="00EC4E64">
        <w:rPr>
          <w:rFonts w:ascii="Times New Roman" w:hAnsi="Times New Roman" w:cs="Times New Roman"/>
          <w:sz w:val="20"/>
          <w:szCs w:val="20"/>
          <w:lang w:val="pl-PL"/>
        </w:rPr>
        <w:t>i</w:t>
      </w:r>
      <w:proofErr w:type="spellEnd"/>
      <w:r w:rsidR="00EC4E64" w:rsidRPr="00EC4E64">
        <w:rPr>
          <w:rFonts w:ascii="Times New Roman" w:hAnsi="Times New Roman" w:cs="Times New Roman"/>
          <w:sz w:val="20"/>
          <w:szCs w:val="20"/>
          <w:lang w:val="pl-PL"/>
        </w:rPr>
        <w:t xml:space="preserve"> in., </w:t>
      </w:r>
      <w:r w:rsidR="00EC4E64" w:rsidRPr="00EC4E64">
        <w:rPr>
          <w:rFonts w:ascii="Times New Roman" w:hAnsi="Times New Roman" w:cs="Times New Roman"/>
          <w:sz w:val="20"/>
          <w:szCs w:val="20"/>
          <w:lang w:val="pl-PL"/>
          <w:i/>
          <w:iCs/>
        </w:rPr>
        <w:t>Variational quantum algorithms</w:t>
      </w:r>
      <w:r w:rsidR="00845862">
        <w:rPr>
          <w:rFonts w:ascii="Times New Roman" w:hAnsi="Times New Roman" w:cs="Times New Roman"/>
          <w:sz w:val="20"/>
          <w:szCs w:val="20"/>
          <w:lang w:val="pl-PL"/>
        </w:rPr>
        <w:t>, op. cit.</w:t>
      </w:r>
    </w:p>
  </w:footnote>
  <w:footnote w:id="38">
    <w:p w14:paraId="20331341" w14:textId="2782EAA4" w:rsidR="00E940CB" w:rsidRPr="00E940CB" w:rsidRDefault="00E940CB">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C5380D">
        <w:rPr>
          <w:rFonts w:ascii="Times New Roman" w:hAnsi="Times New Roman" w:cs="Times New Roman"/>
          <w:sz w:val="20"/>
          <w:szCs w:val="20"/>
          <w:lang w:val="pl-PL"/>
        </w:rPr>
        <w:t xml:space="preserve">J. </w:t>
      </w:r>
      <w:proofErr w:type="spellStart"/>
      <w:r w:rsidRPr="00C5380D">
        <w:rPr>
          <w:rFonts w:ascii="Times New Roman" w:hAnsi="Times New Roman" w:cs="Times New Roman"/>
          <w:sz w:val="20"/>
          <w:szCs w:val="20"/>
          <w:lang w:val="pl-PL"/>
        </w:rPr>
        <w:t>Preskill</w:t>
      </w:r>
      <w:proofErr w:type="spellEnd"/>
      <w:r w:rsidRPr="00C5380D">
        <w:rPr>
          <w:rFonts w:ascii="Times New Roman" w:hAnsi="Times New Roman" w:cs="Times New Roman"/>
          <w:sz w:val="20"/>
          <w:szCs w:val="20"/>
          <w:lang w:val="pl-PL"/>
        </w:rPr>
        <w:t xml:space="preserve">, </w:t>
      </w:r>
      <w:r w:rsidRPr="00C5380D">
        <w:rPr>
          <w:rFonts w:ascii="Times New Roman" w:hAnsi="Times New Roman" w:cs="Times New Roman"/>
          <w:sz w:val="20"/>
          <w:szCs w:val="20"/>
          <w:lang w:val="pl-PL"/>
          <w:i/>
          <w:iCs/>
        </w:rPr>
        <w:t>Quantum Computing in the NISQ era and beyond</w:t>
      </w:r>
      <w:r>
        <w:rPr>
          <w:rFonts w:ascii="Times New Roman" w:hAnsi="Times New Roman" w:cs="Times New Roman"/>
          <w:sz w:val="20"/>
          <w:szCs w:val="20"/>
          <w:lang w:val="pl-PL"/>
          <w:i/>
          <w:iCs/>
        </w:rPr>
        <w:t xml:space="preserve">, </w:t>
      </w:r>
      <w:r>
        <w:rPr>
          <w:rFonts w:ascii="Times New Roman" w:hAnsi="Times New Roman" w:cs="Times New Roman"/>
          <w:sz w:val="20"/>
          <w:szCs w:val="20"/>
          <w:lang w:val="pl-PL"/>
        </w:rPr>
        <w:t>op. cit.</w:t>
      </w:r>
    </w:p>
  </w:footnote>
  <w:footnote w:id="39">
    <w:p w14:paraId="2A1C56A9" w14:textId="3F5C8374" w:rsidR="00E940CB" w:rsidRPr="00E940CB" w:rsidRDefault="00E940CB">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EC4E64">
        <w:rPr>
          <w:rFonts w:ascii="Times New Roman" w:hAnsi="Times New Roman" w:cs="Times New Roman"/>
          <w:sz w:val="20"/>
          <w:szCs w:val="20"/>
          <w:lang w:val="pl-PL"/>
        </w:rPr>
        <w:t xml:space="preserve">M. </w:t>
      </w:r>
      <w:proofErr w:type="spellStart"/>
      <w:r w:rsidRPr="00EC4E64">
        <w:rPr>
          <w:rFonts w:ascii="Times New Roman" w:hAnsi="Times New Roman" w:cs="Times New Roman"/>
          <w:sz w:val="20"/>
          <w:szCs w:val="20"/>
          <w:lang w:val="pl-PL"/>
        </w:rPr>
        <w:t>Cerezo</w:t>
      </w:r>
      <w:proofErr w:type="spellEnd"/>
      <w:r w:rsidRPr="00EC4E64">
        <w:rPr>
          <w:rFonts w:ascii="Times New Roman" w:hAnsi="Times New Roman" w:cs="Times New Roman"/>
          <w:sz w:val="20"/>
          <w:szCs w:val="20"/>
          <w:lang w:val="pl-PL"/>
        </w:rPr>
        <w:t xml:space="preserve"> </w:t>
      </w:r>
      <w:proofErr w:type="spellStart"/>
      <w:r w:rsidRPr="00EC4E64">
        <w:rPr>
          <w:rFonts w:ascii="Times New Roman" w:hAnsi="Times New Roman" w:cs="Times New Roman"/>
          <w:sz w:val="20"/>
          <w:szCs w:val="20"/>
          <w:lang w:val="pl-PL"/>
        </w:rPr>
        <w:t>i</w:t>
      </w:r>
      <w:proofErr w:type="spellEnd"/>
      <w:r w:rsidRPr="00EC4E64">
        <w:rPr>
          <w:rFonts w:ascii="Times New Roman" w:hAnsi="Times New Roman" w:cs="Times New Roman"/>
          <w:sz w:val="20"/>
          <w:szCs w:val="20"/>
          <w:lang w:val="pl-PL"/>
        </w:rPr>
        <w:t xml:space="preserve"> in., </w:t>
      </w:r>
      <w:r w:rsidRPr="00EC4E64">
        <w:rPr>
          <w:rFonts w:ascii="Times New Roman" w:hAnsi="Times New Roman" w:cs="Times New Roman"/>
          <w:sz w:val="20"/>
          <w:szCs w:val="20"/>
          <w:lang w:val="pl-PL"/>
          <w:i/>
          <w:iCs/>
        </w:rPr>
        <w:t>Variational quantum algorithms</w:t>
      </w:r>
      <w:r>
        <w:rPr>
          <w:rFonts w:ascii="Times New Roman" w:hAnsi="Times New Roman" w:cs="Times New Roman"/>
          <w:sz w:val="20"/>
          <w:szCs w:val="20"/>
          <w:lang w:val="pl-PL"/>
        </w:rPr>
        <w:t>, op. cit.</w:t>
      </w:r>
    </w:p>
  </w:footnote>
  <w:footnote w:id="40">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S. Wang i in., </w:t>
      </w:r>
      <w:r>
        <w:rPr>
          <w:rFonts w:ascii="Times New Roman" w:hAnsi="Times New Roman" w:cs="Times New Roman"/>
          <w:sz w:val="20"/>
          <w:szCs w:val="20"/>
          <w:lang w:val="pl-PL"/>
          <w:i/>
          <w:iCs/>
        </w:rPr>
        <w:t>Noise-induced barren plateaus in variational quantum algorithms</w:t>
      </w:r>
      <w:r>
        <w:rPr>
          <w:rFonts w:ascii="Times New Roman" w:hAnsi="Times New Roman" w:cs="Times New Roman"/>
          <w:sz w:val="20"/>
          <w:szCs w:val="20"/>
          <w:lang w:val="pl-PL"/>
        </w:rPr>
        <w:t>, „Nature Communications” 2021, vol. 12, art. 6961, DOI: 10.1038/s41467-021-27045-6.</w:t>
      </w:r>
    </w:p>
  </w:footnote>
  <w:footnote w:id="41">
    <w:p w14:paraId="754021AD" w14:textId="4B6C5EE4" w:rsidR="00F4588D" w:rsidRPr="00F4588D" w:rsidRDefault="00F4588D">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F4588D">
        <w:rPr>
          <w:rFonts w:ascii="Times New Roman" w:hAnsi="Times New Roman" w:cs="Times New Roman"/>
          <w:sz w:val="20"/>
          <w:szCs w:val="20"/>
          <w:lang w:val="pl-PL"/>
        </w:rPr>
        <w:t xml:space="preserve">M. </w:t>
      </w:r>
      <w:proofErr w:type="spellStart"/>
      <w:r w:rsidRPr="00F4588D">
        <w:rPr>
          <w:rFonts w:ascii="Times New Roman" w:hAnsi="Times New Roman" w:cs="Times New Roman"/>
          <w:sz w:val="20"/>
          <w:szCs w:val="20"/>
          <w:lang w:val="pl-PL"/>
        </w:rPr>
        <w:t>Cerezo</w:t>
      </w:r>
      <w:proofErr w:type="spellEnd"/>
      <w:r w:rsidRPr="00F4588D">
        <w:rPr>
          <w:rFonts w:ascii="Times New Roman" w:hAnsi="Times New Roman" w:cs="Times New Roman"/>
          <w:sz w:val="20"/>
          <w:szCs w:val="20"/>
          <w:lang w:val="pl-PL"/>
        </w:rPr>
        <w:t xml:space="preserve"> </w:t>
      </w:r>
      <w:proofErr w:type="spellStart"/>
      <w:r w:rsidRPr="00F4588D">
        <w:rPr>
          <w:rFonts w:ascii="Times New Roman" w:hAnsi="Times New Roman" w:cs="Times New Roman"/>
          <w:sz w:val="20"/>
          <w:szCs w:val="20"/>
          <w:lang w:val="pl-PL"/>
        </w:rPr>
        <w:t>i</w:t>
      </w:r>
      <w:proofErr w:type="spellEnd"/>
      <w:r w:rsidRPr="00F4588D">
        <w:rPr>
          <w:rFonts w:ascii="Times New Roman" w:hAnsi="Times New Roman" w:cs="Times New Roman"/>
          <w:sz w:val="20"/>
          <w:szCs w:val="20"/>
          <w:lang w:val="pl-PL"/>
        </w:rPr>
        <w:t xml:space="preserve"> in., </w:t>
      </w:r>
      <w:r w:rsidRPr="00F4588D">
        <w:rPr>
          <w:rFonts w:ascii="Times New Roman" w:hAnsi="Times New Roman" w:cs="Times New Roman"/>
          <w:sz w:val="20"/>
          <w:szCs w:val="20"/>
          <w:lang w:val="pl-PL"/>
          <w:i/>
          <w:iCs/>
        </w:rPr>
        <w:t>Variational quantum algorithms</w:t>
      </w:r>
      <w:r w:rsidRPr="00F4588D">
        <w:rPr>
          <w:rFonts w:ascii="Times New Roman" w:hAnsi="Times New Roman" w:cs="Times New Roman"/>
          <w:sz w:val="20"/>
          <w:szCs w:val="20"/>
          <w:lang w:val="pl-PL"/>
        </w:rPr>
        <w:t>, op. cit.</w:t>
      </w:r>
    </w:p>
  </w:footnote>
  <w:footnote w:id="42">
    <w:p w14:paraId="2E1477E9" w14:textId="5796DE18" w:rsidR="00410EDC" w:rsidRPr="00410EDC" w:rsidRDefault="00410EDC">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410EDC">
        <w:rPr>
          <w:rFonts w:ascii="Times New Roman" w:hAnsi="Times New Roman" w:cs="Times New Roman"/>
          <w:sz w:val="20"/>
          <w:szCs w:val="20"/>
          <w:lang w:val="pl-PL"/>
        </w:rPr>
        <w:t>J.R. McClean</w:t>
      </w:r>
      <w:r>
        <w:rPr>
          <w:rFonts w:ascii="Times New Roman" w:hAnsi="Times New Roman" w:cs="Times New Roman"/>
          <w:sz w:val="20"/>
          <w:szCs w:val="20"/>
          <w:lang w:val="pl-PL"/>
        </w:rPr>
        <w:t xml:space="preserve"> </w:t>
      </w:r>
      <w:proofErr w:type="spellStart"/>
      <w:r>
        <w:rPr>
          <w:rFonts w:ascii="Times New Roman" w:hAnsi="Times New Roman" w:cs="Times New Roman"/>
          <w:sz w:val="20"/>
          <w:szCs w:val="20"/>
          <w:lang w:val="pl-PL"/>
        </w:rPr>
        <w:t>i</w:t>
      </w:r>
      <w:proofErr w:type="spellEnd"/>
      <w:r>
        <w:rPr>
          <w:rFonts w:ascii="Times New Roman" w:hAnsi="Times New Roman" w:cs="Times New Roman"/>
          <w:sz w:val="20"/>
          <w:szCs w:val="20"/>
          <w:lang w:val="pl-PL"/>
        </w:rPr>
        <w:t xml:space="preserve"> in.</w:t>
      </w:r>
      <w:r w:rsidRPr="00410EDC">
        <w:rPr>
          <w:rFonts w:ascii="Times New Roman" w:hAnsi="Times New Roman" w:cs="Times New Roman"/>
          <w:sz w:val="20"/>
          <w:szCs w:val="20"/>
          <w:lang w:val="pl-PL"/>
        </w:rPr>
        <w:t xml:space="preserve">, </w:t>
      </w:r>
      <w:r w:rsidRPr="00410EDC">
        <w:rPr>
          <w:rFonts w:ascii="Times New Roman" w:hAnsi="Times New Roman" w:cs="Times New Roman"/>
          <w:sz w:val="20"/>
          <w:szCs w:val="20"/>
          <w:lang w:val="pl-PL"/>
          <w:i/>
          <w:iCs/>
        </w:rPr>
        <w:t>Barren plateaus in quantum neural network training landscapes</w:t>
      </w:r>
      <w:r w:rsidRPr="00410EDC">
        <w:rPr>
          <w:rFonts w:ascii="Times New Roman" w:hAnsi="Times New Roman" w:cs="Times New Roman"/>
          <w:sz w:val="20"/>
          <w:szCs w:val="20"/>
          <w:lang w:val="pl-PL"/>
        </w:rPr>
        <w:t>, „Nature</w:t>
      </w:r>
      <w:r>
        <w:rPr>
          <w:rFonts w:ascii="Times New Roman" w:hAnsi="Times New Roman" w:cs="Times New Roman"/>
          <w:sz w:val="20"/>
          <w:szCs w:val="20"/>
          <w:lang w:val="pl-PL"/>
        </w:rPr>
        <w:t xml:space="preserve"> </w:t>
      </w:r>
      <w:r w:rsidRPr="00410EDC">
        <w:rPr>
          <w:rFonts w:ascii="Times New Roman" w:hAnsi="Times New Roman" w:cs="Times New Roman"/>
          <w:sz w:val="20"/>
          <w:szCs w:val="20"/>
          <w:lang w:val="pl-PL"/>
        </w:rPr>
        <w:t>Communication</w:t>
      </w:r>
      <w:r w:rsidR="003B1DD6">
        <w:rPr>
          <w:rFonts w:ascii="Times New Roman" w:hAnsi="Times New Roman" w:cs="Times New Roman"/>
          <w:sz w:val="20"/>
          <w:szCs w:val="20"/>
          <w:lang w:val="pl-PL"/>
        </w:rPr>
        <w:t>s</w:t>
      </w:r>
      <w:r w:rsidRPr="00410EDC">
        <w:rPr>
          <w:rFonts w:ascii="Times New Roman" w:hAnsi="Times New Roman" w:cs="Times New Roman"/>
          <w:sz w:val="20"/>
          <w:szCs w:val="20"/>
          <w:lang w:val="pl-PL"/>
        </w:rPr>
        <w:t>” 2018, vol. 9, art. 4812.</w:t>
      </w:r>
    </w:p>
  </w:footnote>
  <w:footnote w:id="43">
    <w:p w14:paraId="32A1C238" w14:textId="156B85EE" w:rsidR="00410EDC" w:rsidRPr="00410EDC" w:rsidRDefault="00410EDC">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410EDC">
        <w:rPr>
          <w:rFonts w:ascii="Times New Roman" w:hAnsi="Times New Roman" w:cs="Times New Roman"/>
          <w:sz w:val="20"/>
          <w:szCs w:val="20"/>
          <w:lang w:val="pl-PL"/>
        </w:rPr>
        <w:t>Z. Holmes</w:t>
      </w:r>
      <w:r w:rsidR="004F2190">
        <w:rPr>
          <w:rFonts w:ascii="Times New Roman" w:hAnsi="Times New Roman" w:cs="Times New Roman"/>
          <w:sz w:val="20"/>
          <w:szCs w:val="20"/>
          <w:lang w:val="pl-PL"/>
        </w:rPr>
        <w:t xml:space="preserve"> </w:t>
      </w:r>
      <w:proofErr w:type="spellStart"/>
      <w:r w:rsidR="004F2190">
        <w:rPr>
          <w:rFonts w:ascii="Times New Roman" w:hAnsi="Times New Roman" w:cs="Times New Roman"/>
          <w:sz w:val="20"/>
          <w:szCs w:val="20"/>
          <w:lang w:val="pl-PL"/>
        </w:rPr>
        <w:t>i</w:t>
      </w:r>
      <w:proofErr w:type="spellEnd"/>
      <w:r w:rsidR="004F2190">
        <w:rPr>
          <w:rFonts w:ascii="Times New Roman" w:hAnsi="Times New Roman" w:cs="Times New Roman"/>
          <w:sz w:val="20"/>
          <w:szCs w:val="20"/>
          <w:lang w:val="pl-PL"/>
        </w:rPr>
        <w:t xml:space="preserve"> in.</w:t>
      </w:r>
      <w:r w:rsidRPr="00410EDC">
        <w:rPr>
          <w:rFonts w:ascii="Times New Roman" w:hAnsi="Times New Roman" w:cs="Times New Roman"/>
          <w:sz w:val="20"/>
          <w:szCs w:val="20"/>
          <w:lang w:val="pl-PL"/>
        </w:rPr>
        <w:t xml:space="preserve">, </w:t>
      </w:r>
      <w:r w:rsidRPr="00410EDC">
        <w:rPr>
          <w:rFonts w:ascii="Times New Roman" w:hAnsi="Times New Roman" w:cs="Times New Roman"/>
          <w:sz w:val="20"/>
          <w:szCs w:val="20"/>
          <w:lang w:val="pl-PL"/>
          <w:i/>
          <w:iCs/>
        </w:rPr>
        <w:t xml:space="preserve">Connecting ansatz </w:t>
      </w:r>
      <w:proofErr w:type="spellStart"/>
      <w:r w:rsidRPr="00410EDC">
        <w:rPr>
          <w:rFonts w:ascii="Times New Roman" w:hAnsi="Times New Roman" w:cs="Times New Roman"/>
          <w:sz w:val="20"/>
          <w:szCs w:val="20"/>
          <w:lang w:val="pl-PL"/>
          <w:i/>
          <w:iCs/>
        </w:rPr>
        <w:t>expressibility</w:t>
      </w:r>
      <w:proofErr w:type="spellEnd"/>
      <w:r w:rsidRPr="00410EDC">
        <w:rPr>
          <w:rFonts w:ascii="Times New Roman" w:hAnsi="Times New Roman" w:cs="Times New Roman"/>
          <w:sz w:val="20"/>
          <w:szCs w:val="20"/>
          <w:lang w:val="pl-PL"/>
          <w:i/>
          <w:iCs/>
        </w:rPr>
        <w:t xml:space="preserve"> to gradient magnitudes and barren plateaus</w:t>
      </w:r>
      <w:r w:rsidRPr="00410EDC">
        <w:rPr>
          <w:rFonts w:ascii="Times New Roman" w:hAnsi="Times New Roman" w:cs="Times New Roman"/>
          <w:sz w:val="20"/>
          <w:szCs w:val="20"/>
          <w:lang w:val="pl-PL"/>
        </w:rPr>
        <w:t>, „PRX</w:t>
      </w:r>
      <w:r w:rsidR="0082440B">
        <w:rPr>
          <w:rFonts w:ascii="Times New Roman" w:hAnsi="Times New Roman" w:cs="Times New Roman"/>
          <w:sz w:val="20"/>
          <w:szCs w:val="20"/>
          <w:lang w:val="pl-PL"/>
        </w:rPr>
        <w:t> </w:t>
      </w:r>
      <w:r w:rsidRPr="00410EDC">
        <w:rPr>
          <w:rFonts w:ascii="Times New Roman" w:hAnsi="Times New Roman" w:cs="Times New Roman"/>
          <w:sz w:val="20"/>
          <w:szCs w:val="20"/>
          <w:lang w:val="pl-PL"/>
        </w:rPr>
        <w:t>Quantum” 2022, vol. 3, art. 010313.</w:t>
      </w:r>
    </w:p>
  </w:footnote>
  <w:footnote w:id="44">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J.R. McClean i in., </w:t>
      </w:r>
      <w:r>
        <w:rPr>
          <w:rFonts w:ascii="Times New Roman" w:hAnsi="Times New Roman" w:cs="Times New Roman"/>
          <w:sz w:val="20"/>
          <w:szCs w:val="20"/>
          <w:lang w:val="pl-PL"/>
          <w:i/>
          <w:iCs/>
        </w:rPr>
        <w:t>Barren plateaus in quantum neural network training landscapes</w:t>
      </w:r>
      <w:r>
        <w:rPr>
          <w:rFonts w:ascii="Times New Roman" w:hAnsi="Times New Roman" w:cs="Times New Roman"/>
          <w:sz w:val="20"/>
          <w:szCs w:val="20"/>
          <w:lang w:val="pl-PL"/>
        </w:rPr>
        <w:t>, op. cit.</w:t>
      </w:r>
    </w:p>
  </w:footnote>
  <w:footnote w:id="45">
    <w:p w14:paraId="28CD5DE5" w14:textId="2CC92F27" w:rsidR="00970B99" w:rsidRPr="00970B99" w:rsidRDefault="00970B99">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00B42E1F" w:rsidRPr="00B42E1F">
        <w:rPr>
          <w:rFonts w:ascii="Times New Roman" w:hAnsi="Times New Roman" w:cs="Times New Roman"/>
          <w:sz w:val="20"/>
          <w:szCs w:val="20"/>
          <w:lang w:val="pl-PL"/>
        </w:rPr>
        <w:t xml:space="preserve">M. </w:t>
      </w:r>
      <w:proofErr w:type="spellStart"/>
      <w:r w:rsidR="00B42E1F" w:rsidRPr="00B42E1F">
        <w:rPr>
          <w:rFonts w:ascii="Times New Roman" w:hAnsi="Times New Roman" w:cs="Times New Roman"/>
          <w:sz w:val="20"/>
          <w:szCs w:val="20"/>
          <w:lang w:val="pl-PL"/>
        </w:rPr>
        <w:t>Cerezo</w:t>
      </w:r>
      <w:proofErr w:type="spellEnd"/>
      <w:r w:rsidR="00B42E1F" w:rsidRPr="00B42E1F">
        <w:rPr>
          <w:rFonts w:ascii="Times New Roman" w:hAnsi="Times New Roman" w:cs="Times New Roman"/>
          <w:sz w:val="20"/>
          <w:szCs w:val="20"/>
          <w:lang w:val="pl-PL"/>
        </w:rPr>
        <w:t xml:space="preserve"> </w:t>
      </w:r>
      <w:proofErr w:type="spellStart"/>
      <w:r w:rsidR="00B42E1F" w:rsidRPr="00B42E1F">
        <w:rPr>
          <w:rFonts w:ascii="Times New Roman" w:hAnsi="Times New Roman" w:cs="Times New Roman"/>
          <w:sz w:val="20"/>
          <w:szCs w:val="20"/>
          <w:lang w:val="pl-PL"/>
        </w:rPr>
        <w:t>i</w:t>
      </w:r>
      <w:proofErr w:type="spellEnd"/>
      <w:r w:rsidR="00B42E1F" w:rsidRPr="00B42E1F">
        <w:rPr>
          <w:rFonts w:ascii="Times New Roman" w:hAnsi="Times New Roman" w:cs="Times New Roman"/>
          <w:sz w:val="20"/>
          <w:szCs w:val="20"/>
          <w:lang w:val="pl-PL"/>
        </w:rPr>
        <w:t xml:space="preserve"> in., </w:t>
      </w:r>
      <w:r w:rsidR="00B42E1F" w:rsidRPr="00B42E1F">
        <w:rPr>
          <w:rFonts w:ascii="Times New Roman" w:hAnsi="Times New Roman" w:cs="Times New Roman"/>
          <w:sz w:val="20"/>
          <w:szCs w:val="20"/>
          <w:lang w:val="pl-PL"/>
          <w:i/>
          <w:iCs/>
        </w:rPr>
        <w:t>Cost function dependent barren plateaus in shallow parametrized quantum circuits</w:t>
      </w:r>
      <w:r w:rsidR="00B42E1F" w:rsidRPr="00B42E1F">
        <w:rPr>
          <w:rFonts w:ascii="Times New Roman" w:hAnsi="Times New Roman" w:cs="Times New Roman"/>
          <w:sz w:val="20"/>
          <w:szCs w:val="20"/>
          <w:lang w:val="pl-PL"/>
        </w:rPr>
        <w:t>, „Nature Communications” 2021, vol. 12, art. 1791.</w:t>
      </w:r>
    </w:p>
  </w:footnote>
  <w:footnote w:id="46">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M. Doosti, P. Wallden, C.B. Hamill, R. Hankache, O. Brown, C. Heunen, </w:t>
      </w:r>
      <w:r>
        <w:rPr>
          <w:rFonts w:ascii="Times New Roman" w:hAnsi="Times New Roman" w:cs="Times New Roman"/>
          <w:sz w:val="20"/>
          <w:szCs w:val="20"/>
          <w:lang w:val="pl-PL"/>
          <w:i/>
          <w:iCs/>
        </w:rPr>
        <w:t>A brief review of quantum machine learning techniques for financial services</w:t>
      </w:r>
      <w:r>
        <w:rPr>
          <w:rFonts w:ascii="Times New Roman" w:hAnsi="Times New Roman" w:cs="Times New Roman"/>
          <w:sz w:val="20"/>
          <w:szCs w:val="20"/>
          <w:lang w:val="pl-PL"/>
        </w:rPr>
        <w:t>, „Machine Learning: Science and Technology” 2026, vol. 7, nr 2, art. 021002, DOI: 10.1088/2632-2153/ae51df.</w:t>
      </w:r>
    </w:p>
  </w:footnote>
  <w:footnote w:id="47">
    <w:p w14:paraId="7F352044" w14:textId="4BA48667" w:rsidR="0094448D" w:rsidRPr="0094448D" w:rsidRDefault="0094448D">
      <w:pPr>
        <w:pStyle w:val="FootnoteText"/>
        <w:ind w:left="0" w:firstLine="0"/>
        <w:jc w:val="both"/>
        <w:spacing w:before="0" w:after="0" w:line="240" w:lineRule="auto"/>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sidRPr="0094448D">
        <w:rPr>
          <w:rFonts w:ascii="Times New Roman" w:hAnsi="Times New Roman" w:cs="Times New Roman"/>
          <w:sz w:val="20"/>
          <w:szCs w:val="20"/>
          <w:lang w:val="pl-PL"/>
        </w:rPr>
        <w:t xml:space="preserve">J. Bowles, S. Ahmed, M. </w:t>
      </w:r>
      <w:proofErr w:type="spellStart"/>
      <w:r w:rsidRPr="0094448D">
        <w:rPr>
          <w:rFonts w:ascii="Times New Roman" w:hAnsi="Times New Roman" w:cs="Times New Roman"/>
          <w:sz w:val="20"/>
          <w:szCs w:val="20"/>
          <w:lang w:val="pl-PL"/>
        </w:rPr>
        <w:t>Schuld</w:t>
      </w:r>
      <w:proofErr w:type="spellEnd"/>
      <w:r w:rsidRPr="0094448D">
        <w:rPr>
          <w:rFonts w:ascii="Times New Roman" w:hAnsi="Times New Roman" w:cs="Times New Roman"/>
          <w:sz w:val="20"/>
          <w:szCs w:val="20"/>
          <w:lang w:val="pl-PL"/>
        </w:rPr>
        <w:t xml:space="preserve">, </w:t>
      </w:r>
      <w:r w:rsidRPr="0094448D">
        <w:rPr>
          <w:rFonts w:ascii="Times New Roman" w:hAnsi="Times New Roman" w:cs="Times New Roman"/>
          <w:sz w:val="20"/>
          <w:szCs w:val="20"/>
          <w:lang w:val="pl-PL"/>
          <w:i/>
          <w:iCs/>
        </w:rPr>
        <w:t>Better than classical? The subtle art of benchmarking quantum machine learning models</w:t>
      </w:r>
      <w:r w:rsidRPr="0094448D">
        <w:rPr>
          <w:rFonts w:ascii="Times New Roman" w:hAnsi="Times New Roman" w:cs="Times New Roman"/>
          <w:sz w:val="20"/>
          <w:szCs w:val="20"/>
          <w:lang w:val="pl-PL"/>
        </w:rPr>
        <w:t>, arXiv:2403.07059 [quant-</w:t>
      </w:r>
      <w:proofErr w:type="spellStart"/>
      <w:r w:rsidRPr="0094448D">
        <w:rPr>
          <w:rFonts w:ascii="Times New Roman" w:hAnsi="Times New Roman" w:cs="Times New Roman"/>
          <w:sz w:val="20"/>
          <w:szCs w:val="20"/>
          <w:lang w:val="pl-PL"/>
        </w:rPr>
        <w:t>ph</w:t>
      </w:r>
      <w:proofErr w:type="spellEnd"/>
      <w:r w:rsidRPr="0094448D">
        <w:rPr>
          <w:rFonts w:ascii="Times New Roman" w:hAnsi="Times New Roman" w:cs="Times New Roman"/>
          <w:sz w:val="20"/>
          <w:szCs w:val="20"/>
          <w:lang w:val="pl-PL"/>
        </w:rPr>
        <w:t>], 2024.</w:t>
      </w:r>
    </w:p>
  </w:footnote>
  <w:footnote w:id="13">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J.C. Platt, </w:t>
      </w:r>
      <w:r>
        <w:rPr>
          <w:rFonts w:ascii="Times New Roman" w:hAnsi="Times New Roman" w:cs="Times New Roman"/>
          <w:sz w:val="20"/>
          <w:szCs w:val="20"/>
          <w:lang w:val="pl-PL"/>
          <w:i/>
          <w:iCs/>
        </w:rPr>
        <w:t>Probabilistic Outputs for Support Vector Machines and Comparisons to Regularized Likelihood Methods</w:t>
      </w:r>
      <w:r>
        <w:rPr>
          <w:rFonts w:ascii="Times New Roman" w:hAnsi="Times New Roman" w:cs="Times New Roman"/>
          <w:sz w:val="20"/>
          <w:szCs w:val="20"/>
          <w:lang w:val="pl-PL"/>
        </w:rPr>
        <w:t xml:space="preserve">, [w:] A.J. Smola i in. (red.), </w:t>
      </w:r>
      <w:r>
        <w:rPr>
          <w:rFonts w:ascii="Times New Roman" w:hAnsi="Times New Roman" w:cs="Times New Roman"/>
          <w:sz w:val="20"/>
          <w:szCs w:val="20"/>
          <w:lang w:val="pl-PL"/>
          <w:i/>
          <w:iCs/>
        </w:rPr>
        <w:t>Advances in Large Margin Classifiers</w:t>
      </w:r>
      <w:r>
        <w:rPr>
          <w:rFonts w:ascii="Times New Roman" w:hAnsi="Times New Roman" w:cs="Times New Roman"/>
          <w:sz w:val="20"/>
          <w:szCs w:val="20"/>
          <w:lang w:val="pl-PL"/>
        </w:rPr>
        <w:t xml:space="preserve">, MIT Press, Cambridge 2000, s. 61–74; A. Niculescu-Mizil, R. Caruana, </w:t>
      </w:r>
      <w:r>
        <w:rPr>
          <w:rFonts w:ascii="Times New Roman" w:hAnsi="Times New Roman" w:cs="Times New Roman"/>
          <w:sz w:val="20"/>
          <w:szCs w:val="20"/>
          <w:lang w:val="pl-PL"/>
          <w:i/>
          <w:iCs/>
        </w:rPr>
        <w:t>Predicting Good Probabilities with Supervised Learning</w:t>
      </w:r>
      <w:r>
        <w:rPr>
          <w:rFonts w:ascii="Times New Roman" w:hAnsi="Times New Roman" w:cs="Times New Roman"/>
          <w:sz w:val="20"/>
          <w:szCs w:val="20"/>
          <w:lang w:val="pl-PL"/>
        </w:rPr>
        <w:t xml:space="preserve">, [w:] </w:t>
      </w:r>
      <w:r>
        <w:rPr>
          <w:rFonts w:ascii="Times New Roman" w:hAnsi="Times New Roman" w:cs="Times New Roman"/>
          <w:sz w:val="20"/>
          <w:szCs w:val="20"/>
          <w:lang w:val="pl-PL"/>
          <w:i/>
          <w:iCs/>
        </w:rPr>
        <w:t>Proceedings of the 22nd International Conference on Machine Learning</w:t>
      </w:r>
      <w:r>
        <w:rPr>
          <w:rFonts w:ascii="Times New Roman" w:hAnsi="Times New Roman" w:cs="Times New Roman"/>
          <w:sz w:val="20"/>
          <w:szCs w:val="20"/>
          <w:lang w:val="pl-PL"/>
        </w:rPr>
        <w:t>, ACM, New York 2005, s. 625–632.</w:t>
      </w:r>
    </w:p>
  </w:footnote>
  <w:footnote w:id="19">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M. Schuld, V. Bergholm, C. Gogolin, J. Izaac, N. Killoran, </w:t>
      </w:r>
      <w:r>
        <w:rPr>
          <w:rFonts w:ascii="Times New Roman" w:hAnsi="Times New Roman" w:cs="Times New Roman"/>
          <w:sz w:val="20"/>
          <w:szCs w:val="20"/>
          <w:lang w:val="pl-PL"/>
          <w:i/>
          <w:iCs/>
        </w:rPr>
        <w:t>Evaluating analytic gradients on quantum hardware</w:t>
      </w:r>
      <w:r>
        <w:rPr>
          <w:rFonts w:ascii="Times New Roman" w:hAnsi="Times New Roman" w:cs="Times New Roman"/>
          <w:sz w:val="20"/>
          <w:szCs w:val="20"/>
          <w:lang w:val="pl-PL"/>
        </w:rPr>
        <w:t>, „Physical Review A” 2019, vol. 99, art. 032331, DOI: 10.1103/PhysRevA.99.032331.</w:t>
      </w:r>
    </w:p>
  </w:footnote>
  <w:footnote w:id="20">
    <w:p>
      <w:pPr>
        <w:pStyle w:val="FootnoteText"/>
        <w:ind w:left="0" w:firstLine="0"/>
        <w:spacing w:before="0" w:after="0" w:line="240" w:lineRule="auto"/>
        <w:jc w:val="both"/>
      </w:pPr>
      <w:r>
        <w:rPr>
          <w:rStyle w:val="FootnoteReference"/>
          <w:rFonts w:ascii="Times New Roman" w:hAnsi="Times New Roman" w:cs="Times New Roman"/>
          <w:sz w:val="20"/>
          <w:szCs w:val="20"/>
          <w:lang w:val="pl-PL"/>
        </w:rPr>
        <w:footnoteRef/>
      </w:r>
      <w:r>
        <w:rPr>
          <w:rFonts w:ascii="Times New Roman" w:hAnsi="Times New Roman" w:cs="Times New Roman"/>
          <w:sz w:val="20"/>
          <w:szCs w:val="20"/>
          <w:lang w:val="pl-PL"/>
        </w:rPr>
        <w:t xml:space="preserve"> </w:t>
      </w:r>
      <w:r>
        <w:rPr>
          <w:rFonts w:ascii="Times New Roman" w:hAnsi="Times New Roman" w:cs="Times New Roman"/>
          <w:sz w:val="20"/>
          <w:szCs w:val="20"/>
          <w:lang w:val="pl-PL"/>
        </w:rPr>
        <w:t xml:space="preserve">T. Jones, J. Gacon, </w:t>
      </w:r>
      <w:r>
        <w:rPr>
          <w:rFonts w:ascii="Times New Roman" w:hAnsi="Times New Roman" w:cs="Times New Roman"/>
          <w:sz w:val="20"/>
          <w:szCs w:val="20"/>
          <w:lang w:val="pl-PL"/>
          <w:i/>
          <w:iCs/>
        </w:rPr>
        <w:t>Efficient calculation of gradients in classical simulations of variational quantum algorithms</w:t>
      </w:r>
      <w:r>
        <w:rPr>
          <w:rFonts w:ascii="Times New Roman" w:hAnsi="Times New Roman" w:cs="Times New Roman"/>
          <w:sz w:val="20"/>
          <w:szCs w:val="20"/>
          <w:lang w:val="pl-PL"/>
        </w:rPr>
        <w:t>, arXiv:2009.02823 [quant-ph], 2020, DOI: 10.48550/arXiv.2009.02823.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B530F5"/>
    <w:multiLevelType w:val="hybridMultilevel"/>
    <w:tmpl w:val="D784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D95D6B"/>
    <w:multiLevelType w:val="multilevel"/>
    <w:tmpl w:val="1CA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A21CA"/>
    <w:multiLevelType w:val="hybridMultilevel"/>
    <w:tmpl w:val="0CFECA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21441179">
    <w:abstractNumId w:val="8"/>
  </w:num>
  <w:num w:numId="2" w16cid:durableId="289364409">
    <w:abstractNumId w:val="6"/>
  </w:num>
  <w:num w:numId="3" w16cid:durableId="1210536600">
    <w:abstractNumId w:val="5"/>
  </w:num>
  <w:num w:numId="4" w16cid:durableId="1846162785">
    <w:abstractNumId w:val="4"/>
  </w:num>
  <w:num w:numId="5" w16cid:durableId="362556704">
    <w:abstractNumId w:val="7"/>
  </w:num>
  <w:num w:numId="6" w16cid:durableId="951128569">
    <w:abstractNumId w:val="3"/>
  </w:num>
  <w:num w:numId="7" w16cid:durableId="884490430">
    <w:abstractNumId w:val="2"/>
  </w:num>
  <w:num w:numId="8" w16cid:durableId="893275862">
    <w:abstractNumId w:val="1"/>
  </w:num>
  <w:num w:numId="9" w16cid:durableId="626622264">
    <w:abstractNumId w:val="0"/>
  </w:num>
  <w:num w:numId="10" w16cid:durableId="635332166">
    <w:abstractNumId w:val="11"/>
  </w:num>
  <w:num w:numId="11" w16cid:durableId="623385886">
    <w:abstractNumId w:val="9"/>
  </w:num>
  <w:num w:numId="12" w16cid:durableId="881209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FC1"/>
    <w:rsid w:val="00034616"/>
    <w:rsid w:val="00041C26"/>
    <w:rsid w:val="00042E16"/>
    <w:rsid w:val="00055646"/>
    <w:rsid w:val="0006063C"/>
    <w:rsid w:val="000720AA"/>
    <w:rsid w:val="000830E9"/>
    <w:rsid w:val="00094D48"/>
    <w:rsid w:val="00096888"/>
    <w:rsid w:val="000A0DF0"/>
    <w:rsid w:val="000A1FBC"/>
    <w:rsid w:val="000B7007"/>
    <w:rsid w:val="000D0ACC"/>
    <w:rsid w:val="00113D97"/>
    <w:rsid w:val="00121F04"/>
    <w:rsid w:val="00122268"/>
    <w:rsid w:val="00134481"/>
    <w:rsid w:val="001426CE"/>
    <w:rsid w:val="0015074B"/>
    <w:rsid w:val="001612B4"/>
    <w:rsid w:val="001A59C0"/>
    <w:rsid w:val="001B4E0E"/>
    <w:rsid w:val="001B67D2"/>
    <w:rsid w:val="001C3551"/>
    <w:rsid w:val="001E18A4"/>
    <w:rsid w:val="001F0AEC"/>
    <w:rsid w:val="00215322"/>
    <w:rsid w:val="00245AA3"/>
    <w:rsid w:val="00252C58"/>
    <w:rsid w:val="002578CA"/>
    <w:rsid w:val="002730FB"/>
    <w:rsid w:val="002740CF"/>
    <w:rsid w:val="002861A1"/>
    <w:rsid w:val="0029534E"/>
    <w:rsid w:val="0029639D"/>
    <w:rsid w:val="002A3ECD"/>
    <w:rsid w:val="002E372C"/>
    <w:rsid w:val="002F680F"/>
    <w:rsid w:val="003205AC"/>
    <w:rsid w:val="00323AC2"/>
    <w:rsid w:val="00326F90"/>
    <w:rsid w:val="00330C70"/>
    <w:rsid w:val="00336E1F"/>
    <w:rsid w:val="0034196F"/>
    <w:rsid w:val="00344444"/>
    <w:rsid w:val="00350380"/>
    <w:rsid w:val="003601DB"/>
    <w:rsid w:val="00364E71"/>
    <w:rsid w:val="00365D85"/>
    <w:rsid w:val="003677B0"/>
    <w:rsid w:val="00367FAD"/>
    <w:rsid w:val="00392B88"/>
    <w:rsid w:val="003942B7"/>
    <w:rsid w:val="003A1772"/>
    <w:rsid w:val="003B1DD6"/>
    <w:rsid w:val="003E27D3"/>
    <w:rsid w:val="003E7069"/>
    <w:rsid w:val="003E7108"/>
    <w:rsid w:val="003F7B2F"/>
    <w:rsid w:val="0041005B"/>
    <w:rsid w:val="00410EDC"/>
    <w:rsid w:val="004233BD"/>
    <w:rsid w:val="00426F57"/>
    <w:rsid w:val="00435F0B"/>
    <w:rsid w:val="004363E0"/>
    <w:rsid w:val="00446B79"/>
    <w:rsid w:val="004523AE"/>
    <w:rsid w:val="00462ED8"/>
    <w:rsid w:val="00465F34"/>
    <w:rsid w:val="00466F20"/>
    <w:rsid w:val="004755E8"/>
    <w:rsid w:val="004776DD"/>
    <w:rsid w:val="00494D7F"/>
    <w:rsid w:val="004A723F"/>
    <w:rsid w:val="004B5693"/>
    <w:rsid w:val="004C4863"/>
    <w:rsid w:val="004D27CC"/>
    <w:rsid w:val="004F2190"/>
    <w:rsid w:val="004F47F9"/>
    <w:rsid w:val="005011A0"/>
    <w:rsid w:val="00527E94"/>
    <w:rsid w:val="00531DDE"/>
    <w:rsid w:val="00534AF7"/>
    <w:rsid w:val="00575DCB"/>
    <w:rsid w:val="00577F11"/>
    <w:rsid w:val="00584243"/>
    <w:rsid w:val="00591265"/>
    <w:rsid w:val="005A1C3D"/>
    <w:rsid w:val="005E7AE9"/>
    <w:rsid w:val="005F0B27"/>
    <w:rsid w:val="005F2FEB"/>
    <w:rsid w:val="0060670C"/>
    <w:rsid w:val="00626F62"/>
    <w:rsid w:val="0063117F"/>
    <w:rsid w:val="00640510"/>
    <w:rsid w:val="00653F20"/>
    <w:rsid w:val="00674ACF"/>
    <w:rsid w:val="00676B5E"/>
    <w:rsid w:val="00680300"/>
    <w:rsid w:val="00693EA5"/>
    <w:rsid w:val="006B2AA1"/>
    <w:rsid w:val="006C2D4A"/>
    <w:rsid w:val="006C4858"/>
    <w:rsid w:val="006E257C"/>
    <w:rsid w:val="006F0A89"/>
    <w:rsid w:val="006F2133"/>
    <w:rsid w:val="00705CBC"/>
    <w:rsid w:val="00706734"/>
    <w:rsid w:val="00720187"/>
    <w:rsid w:val="0072094F"/>
    <w:rsid w:val="00723B69"/>
    <w:rsid w:val="00755503"/>
    <w:rsid w:val="00766BAA"/>
    <w:rsid w:val="00786938"/>
    <w:rsid w:val="007926A1"/>
    <w:rsid w:val="007B76E5"/>
    <w:rsid w:val="007C3B5F"/>
    <w:rsid w:val="007C440B"/>
    <w:rsid w:val="007D430A"/>
    <w:rsid w:val="007E3138"/>
    <w:rsid w:val="007E3A58"/>
    <w:rsid w:val="007F244F"/>
    <w:rsid w:val="007F2557"/>
    <w:rsid w:val="0082440B"/>
    <w:rsid w:val="00825A6F"/>
    <w:rsid w:val="00845862"/>
    <w:rsid w:val="00861EE9"/>
    <w:rsid w:val="00864A9E"/>
    <w:rsid w:val="00871610"/>
    <w:rsid w:val="00871DB2"/>
    <w:rsid w:val="0087526D"/>
    <w:rsid w:val="008956F5"/>
    <w:rsid w:val="008A63AB"/>
    <w:rsid w:val="008B6AAE"/>
    <w:rsid w:val="008D020A"/>
    <w:rsid w:val="008D1231"/>
    <w:rsid w:val="008E5674"/>
    <w:rsid w:val="00902C04"/>
    <w:rsid w:val="009038ED"/>
    <w:rsid w:val="00911912"/>
    <w:rsid w:val="0094448D"/>
    <w:rsid w:val="009567B2"/>
    <w:rsid w:val="00957AB6"/>
    <w:rsid w:val="00970B99"/>
    <w:rsid w:val="009751F3"/>
    <w:rsid w:val="009755EB"/>
    <w:rsid w:val="00977476"/>
    <w:rsid w:val="00980C8F"/>
    <w:rsid w:val="00983CF7"/>
    <w:rsid w:val="009874E8"/>
    <w:rsid w:val="00992F8F"/>
    <w:rsid w:val="009A03B6"/>
    <w:rsid w:val="009B254C"/>
    <w:rsid w:val="009B5067"/>
    <w:rsid w:val="009C556B"/>
    <w:rsid w:val="00A047BB"/>
    <w:rsid w:val="00A05D0B"/>
    <w:rsid w:val="00A31F13"/>
    <w:rsid w:val="00A436E1"/>
    <w:rsid w:val="00A43754"/>
    <w:rsid w:val="00A46EE8"/>
    <w:rsid w:val="00A64900"/>
    <w:rsid w:val="00A66AA3"/>
    <w:rsid w:val="00A724CA"/>
    <w:rsid w:val="00AA1D8D"/>
    <w:rsid w:val="00AA23B4"/>
    <w:rsid w:val="00AA5F61"/>
    <w:rsid w:val="00AE6F5C"/>
    <w:rsid w:val="00AF5E32"/>
    <w:rsid w:val="00AF60F4"/>
    <w:rsid w:val="00AF640B"/>
    <w:rsid w:val="00B13684"/>
    <w:rsid w:val="00B30D54"/>
    <w:rsid w:val="00B348E5"/>
    <w:rsid w:val="00B40120"/>
    <w:rsid w:val="00B42E1F"/>
    <w:rsid w:val="00B4582B"/>
    <w:rsid w:val="00B47730"/>
    <w:rsid w:val="00B513BF"/>
    <w:rsid w:val="00B63687"/>
    <w:rsid w:val="00B95E0C"/>
    <w:rsid w:val="00BA27B5"/>
    <w:rsid w:val="00BA39D1"/>
    <w:rsid w:val="00BD043A"/>
    <w:rsid w:val="00C0207E"/>
    <w:rsid w:val="00C13787"/>
    <w:rsid w:val="00C154A9"/>
    <w:rsid w:val="00C25D31"/>
    <w:rsid w:val="00C33946"/>
    <w:rsid w:val="00C400E4"/>
    <w:rsid w:val="00C5380D"/>
    <w:rsid w:val="00C84F74"/>
    <w:rsid w:val="00CA3AAE"/>
    <w:rsid w:val="00CB0664"/>
    <w:rsid w:val="00CB087E"/>
    <w:rsid w:val="00CF0659"/>
    <w:rsid w:val="00CF3B7C"/>
    <w:rsid w:val="00CF4781"/>
    <w:rsid w:val="00D31849"/>
    <w:rsid w:val="00D5415C"/>
    <w:rsid w:val="00D5735E"/>
    <w:rsid w:val="00D727A1"/>
    <w:rsid w:val="00D92F0A"/>
    <w:rsid w:val="00DB638D"/>
    <w:rsid w:val="00DB7E10"/>
    <w:rsid w:val="00DD382C"/>
    <w:rsid w:val="00E020E9"/>
    <w:rsid w:val="00E256BB"/>
    <w:rsid w:val="00E37556"/>
    <w:rsid w:val="00E56C71"/>
    <w:rsid w:val="00E72870"/>
    <w:rsid w:val="00E940CB"/>
    <w:rsid w:val="00EC419F"/>
    <w:rsid w:val="00EC4E64"/>
    <w:rsid w:val="00ED78CE"/>
    <w:rsid w:val="00EE245C"/>
    <w:rsid w:val="00EE36AF"/>
    <w:rsid w:val="00EF23F4"/>
    <w:rsid w:val="00F20981"/>
    <w:rsid w:val="00F4588D"/>
    <w:rsid w:val="00F4744E"/>
    <w:rsid w:val="00F63523"/>
    <w:rsid w:val="00F64338"/>
    <w:rsid w:val="00F84540"/>
    <w:rsid w:val="00F91138"/>
    <w:rsid w:val="00FA48B4"/>
    <w:rsid w:val="00FA60D6"/>
    <w:rsid w:val="00FB5894"/>
    <w:rsid w:val="00FB761E"/>
    <w:rsid w:val="00FC2891"/>
    <w:rsid w:val="00FC693F"/>
    <w:rsid w:val="00FC7865"/>
    <w:rsid w:val="00FD4551"/>
    <w:rsid w:val="00FD756B"/>
    <w:rsid w:val="00FE3DE0"/>
    <w:rsid w:val="00FF45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00085"/>
  <w14:defaultImageDpi w14:val="300"/>
  <w15:docId w15:val="{CB66756C-01A9-9142-A809-8B05F376343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pl-P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sz w:val="24"/>
      <w:szCs w:val="24"/>
      <w:lang w:val="pl-PL"/>
    </w:rPr>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b/>
      <w:bCs/>
      <w:color w:val="000000"/>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b/>
      <w:bCs/>
      <w:color w:val="000000"/>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cs="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3138"/>
    <w:rPr>
      <w:color w:val="0000FF" w:themeColor="hyperlink"/>
      <w:u w:val="single"/>
    </w:rPr>
  </w:style>
  <w:style w:type="character" w:styleId="UnresolvedMention">
    <w:name w:val="Unresolved Mention"/>
    <w:basedOn w:val="DefaultParagraphFont"/>
    <w:uiPriority w:val="99"/>
    <w:semiHidden/>
    <w:unhideWhenUsed/>
    <w:rsid w:val="007E3138"/>
    <w:rPr>
      <w:color w:val="605E5C"/>
      <w:shd w:val="clear" w:color="auto" w:fill="E1DFDD"/>
    </w:rPr>
  </w:style>
  <w:style w:type="paragraph" w:styleId="NormalWeb">
    <w:name w:val="Normal (Web)"/>
    <w:basedOn w:val="Normal"/>
    <w:uiPriority w:val="99"/>
    <w:semiHidden/>
    <w:unhideWhenUsed/>
    <w:rsid w:val="0034196F"/>
    <w:rPr>
      <w:rFonts w:cs="Times New Roman"/>
      <w:szCs w:val="24"/>
    </w:rPr>
  </w:style>
  <w:style w:type="paragraph" w:styleId="FootnoteText">
    <w:name w:val="footnote text"/>
    <w:basedOn w:val="Normal"/>
    <w:link w:val="FootnoteTextChar"/>
    <w:uiPriority w:val="99"/>
    <w:semiHidden/>
    <w:unhideWhenUsed/>
    <w:rsid w:val="006803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80300"/>
    <w:rPr>
      <w:rFonts w:ascii="Times New Roman" w:eastAsia="Times New Roman" w:hAnsi="Times New Roman"/>
      <w:sz w:val="20"/>
      <w:szCs w:val="20"/>
    </w:rPr>
  </w:style>
  <w:style w:type="character" w:styleId="FootnoteReference">
    <w:name w:val="footnote reference"/>
    <w:basedOn w:val="DefaultParagraphFont"/>
    <w:uiPriority w:val="99"/>
    <w:semiHidden/>
    <w:unhideWhenUsed/>
    <w:rsid w:val="00680300"/>
    <w:rPr>
      <w:vertAlign w:val="superscript"/>
    </w:rPr>
  </w:style>
  <w:style w:type="character" w:styleId="CommentReference">
    <w:name w:val="annotation reference"/>
    <w:basedOn w:val="DefaultParagraphFont"/>
    <w:uiPriority w:val="99"/>
    <w:semiHidden/>
    <w:unhideWhenUsed/>
    <w:rsid w:val="00C400E4"/>
    <w:rPr>
      <w:sz w:val="16"/>
      <w:szCs w:val="16"/>
    </w:rPr>
  </w:style>
  <w:style w:type="paragraph" w:styleId="CommentText">
    <w:name w:val="annotation text"/>
    <w:basedOn w:val="Normal"/>
    <w:link w:val="CommentTextChar"/>
    <w:uiPriority w:val="99"/>
    <w:semiHidden/>
    <w:unhideWhenUsed/>
    <w:rsid w:val="00C400E4"/>
    <w:pPr>
      <w:spacing w:line="240" w:lineRule="auto"/>
    </w:pPr>
    <w:rPr>
      <w:sz w:val="20"/>
      <w:szCs w:val="20"/>
    </w:rPr>
  </w:style>
  <w:style w:type="character" w:customStyle="1" w:styleId="CommentTextChar">
    <w:name w:val="Comment Text Char"/>
    <w:basedOn w:val="DefaultParagraphFont"/>
    <w:link w:val="CommentText"/>
    <w:uiPriority w:val="99"/>
    <w:semiHidden/>
    <w:rsid w:val="00C400E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400E4"/>
    <w:rPr>
      <w:b/>
      <w:bCs/>
    </w:rPr>
  </w:style>
  <w:style w:type="character" w:customStyle="1" w:styleId="CommentSubjectChar">
    <w:name w:val="Comment Subject Char"/>
    <w:basedOn w:val="CommentTextChar"/>
    <w:link w:val="CommentSubject"/>
    <w:uiPriority w:val="99"/>
    <w:semiHidden/>
    <w:rsid w:val="00C400E4"/>
    <w:rPr>
      <w:rFonts w:ascii="Times New Roman" w:eastAsia="Times New Roman" w:hAnsi="Times New Roman"/>
      <w:b/>
      <w:bCs/>
      <w:sz w:val="20"/>
      <w:szCs w:val="20"/>
    </w:rPr>
  </w:style>
  <w:style w:type="character" w:styleId="PlaceholderText">
    <w:name w:val="Placeholder Text"/>
    <w:basedOn w:val="DefaultParagraphFont"/>
    <w:uiPriority w:val="99"/>
    <w:semiHidden/>
    <w:rsid w:val="00B63687"/>
    <w:rPr>
      <w:color w:val="666666"/>
    </w:rPr>
  </w:style>
  <w:style w:type="table" w:styleId="PlainTable1">
    <w:name w:val="Plain Table 1"/>
    <w:basedOn w:val="TableNormal"/>
    <w:uiPriority w:val="99"/>
    <w:rsid w:val="00121F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21F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mpact">
    <w:name w:val="Compact"/>
    <w:basedOn w:val="BodyText"/>
    <w:qFormat/>
    <w:rsid w:val="00871DB2"/>
    <w:pPr>
      <w:spacing w:before="36" w:after="36"/>
      <w:ind w:firstLine="709"/>
      <w:jc w:val="both"/>
    </w:pPr>
    <w:rPr>
      <w:szCs w:val="24"/>
    </w:rPr>
  </w:style>
  <w:style w:type="table" w:customStyle="1" w:styleId="Table">
    <w:name w:val="Table"/>
    <w:semiHidden/>
    <w:unhideWhenUsed/>
    <w:qFormat/>
    <w:rsid w:val="00871DB2"/>
    <w:pPr>
      <w:spacing w:line="240" w:lineRule="auto"/>
    </w:pPr>
    <w:rPr>
      <w:rFonts w:eastAsiaTheme="minorHAnsi"/>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77451">
      <w:bodyDiv w:val="1"/>
      <w:marLeft w:val="0"/>
      <w:marRight w:val="0"/>
      <w:marTop w:val="0"/>
      <w:marBottom w:val="0"/>
      <w:divBdr>
        <w:top w:val="none" w:sz="0" w:space="0" w:color="auto"/>
        <w:left w:val="none" w:sz="0" w:space="0" w:color="auto"/>
        <w:bottom w:val="none" w:sz="0" w:space="0" w:color="auto"/>
        <w:right w:val="none" w:sz="0" w:space="0" w:color="auto"/>
      </w:divBdr>
    </w:div>
    <w:div w:id="27067702">
      <w:bodyDiv w:val="1"/>
      <w:marLeft w:val="0"/>
      <w:marRight w:val="0"/>
      <w:marTop w:val="0"/>
      <w:marBottom w:val="0"/>
      <w:divBdr>
        <w:top w:val="none" w:sz="0" w:space="0" w:color="auto"/>
        <w:left w:val="none" w:sz="0" w:space="0" w:color="auto"/>
        <w:bottom w:val="none" w:sz="0" w:space="0" w:color="auto"/>
        <w:right w:val="none" w:sz="0" w:space="0" w:color="auto"/>
      </w:divBdr>
    </w:div>
    <w:div w:id="34545076">
      <w:bodyDiv w:val="1"/>
      <w:marLeft w:val="0"/>
      <w:marRight w:val="0"/>
      <w:marTop w:val="0"/>
      <w:marBottom w:val="0"/>
      <w:divBdr>
        <w:top w:val="none" w:sz="0" w:space="0" w:color="auto"/>
        <w:left w:val="none" w:sz="0" w:space="0" w:color="auto"/>
        <w:bottom w:val="none" w:sz="0" w:space="0" w:color="auto"/>
        <w:right w:val="none" w:sz="0" w:space="0" w:color="auto"/>
      </w:divBdr>
    </w:div>
    <w:div w:id="49497024">
      <w:bodyDiv w:val="1"/>
      <w:marLeft w:val="0"/>
      <w:marRight w:val="0"/>
      <w:marTop w:val="0"/>
      <w:marBottom w:val="0"/>
      <w:divBdr>
        <w:top w:val="none" w:sz="0" w:space="0" w:color="auto"/>
        <w:left w:val="none" w:sz="0" w:space="0" w:color="auto"/>
        <w:bottom w:val="none" w:sz="0" w:space="0" w:color="auto"/>
        <w:right w:val="none" w:sz="0" w:space="0" w:color="auto"/>
      </w:divBdr>
      <w:divsChild>
        <w:div w:id="2109958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45724">
      <w:bodyDiv w:val="1"/>
      <w:marLeft w:val="0"/>
      <w:marRight w:val="0"/>
      <w:marTop w:val="0"/>
      <w:marBottom w:val="0"/>
      <w:divBdr>
        <w:top w:val="none" w:sz="0" w:space="0" w:color="auto"/>
        <w:left w:val="none" w:sz="0" w:space="0" w:color="auto"/>
        <w:bottom w:val="none" w:sz="0" w:space="0" w:color="auto"/>
        <w:right w:val="none" w:sz="0" w:space="0" w:color="auto"/>
      </w:divBdr>
    </w:div>
    <w:div w:id="67657971">
      <w:bodyDiv w:val="1"/>
      <w:marLeft w:val="0"/>
      <w:marRight w:val="0"/>
      <w:marTop w:val="0"/>
      <w:marBottom w:val="0"/>
      <w:divBdr>
        <w:top w:val="none" w:sz="0" w:space="0" w:color="auto"/>
        <w:left w:val="none" w:sz="0" w:space="0" w:color="auto"/>
        <w:bottom w:val="none" w:sz="0" w:space="0" w:color="auto"/>
        <w:right w:val="none" w:sz="0" w:space="0" w:color="auto"/>
      </w:divBdr>
      <w:divsChild>
        <w:div w:id="183987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0682">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sChild>
        <w:div w:id="1423647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33076">
      <w:bodyDiv w:val="1"/>
      <w:marLeft w:val="0"/>
      <w:marRight w:val="0"/>
      <w:marTop w:val="0"/>
      <w:marBottom w:val="0"/>
      <w:divBdr>
        <w:top w:val="none" w:sz="0" w:space="0" w:color="auto"/>
        <w:left w:val="none" w:sz="0" w:space="0" w:color="auto"/>
        <w:bottom w:val="none" w:sz="0" w:space="0" w:color="auto"/>
        <w:right w:val="none" w:sz="0" w:space="0" w:color="auto"/>
      </w:divBdr>
    </w:div>
    <w:div w:id="328213885">
      <w:bodyDiv w:val="1"/>
      <w:marLeft w:val="0"/>
      <w:marRight w:val="0"/>
      <w:marTop w:val="0"/>
      <w:marBottom w:val="0"/>
      <w:divBdr>
        <w:top w:val="none" w:sz="0" w:space="0" w:color="auto"/>
        <w:left w:val="none" w:sz="0" w:space="0" w:color="auto"/>
        <w:bottom w:val="none" w:sz="0" w:space="0" w:color="auto"/>
        <w:right w:val="none" w:sz="0" w:space="0" w:color="auto"/>
      </w:divBdr>
    </w:div>
    <w:div w:id="334189932">
      <w:bodyDiv w:val="1"/>
      <w:marLeft w:val="0"/>
      <w:marRight w:val="0"/>
      <w:marTop w:val="0"/>
      <w:marBottom w:val="0"/>
      <w:divBdr>
        <w:top w:val="none" w:sz="0" w:space="0" w:color="auto"/>
        <w:left w:val="none" w:sz="0" w:space="0" w:color="auto"/>
        <w:bottom w:val="none" w:sz="0" w:space="0" w:color="auto"/>
        <w:right w:val="none" w:sz="0" w:space="0" w:color="auto"/>
      </w:divBdr>
    </w:div>
    <w:div w:id="369427486">
      <w:bodyDiv w:val="1"/>
      <w:marLeft w:val="0"/>
      <w:marRight w:val="0"/>
      <w:marTop w:val="0"/>
      <w:marBottom w:val="0"/>
      <w:divBdr>
        <w:top w:val="none" w:sz="0" w:space="0" w:color="auto"/>
        <w:left w:val="none" w:sz="0" w:space="0" w:color="auto"/>
        <w:bottom w:val="none" w:sz="0" w:space="0" w:color="auto"/>
        <w:right w:val="none" w:sz="0" w:space="0" w:color="auto"/>
      </w:divBdr>
    </w:div>
    <w:div w:id="458844449">
      <w:bodyDiv w:val="1"/>
      <w:marLeft w:val="0"/>
      <w:marRight w:val="0"/>
      <w:marTop w:val="0"/>
      <w:marBottom w:val="0"/>
      <w:divBdr>
        <w:top w:val="none" w:sz="0" w:space="0" w:color="auto"/>
        <w:left w:val="none" w:sz="0" w:space="0" w:color="auto"/>
        <w:bottom w:val="none" w:sz="0" w:space="0" w:color="auto"/>
        <w:right w:val="none" w:sz="0" w:space="0" w:color="auto"/>
      </w:divBdr>
    </w:div>
    <w:div w:id="547491441">
      <w:bodyDiv w:val="1"/>
      <w:marLeft w:val="0"/>
      <w:marRight w:val="0"/>
      <w:marTop w:val="0"/>
      <w:marBottom w:val="0"/>
      <w:divBdr>
        <w:top w:val="none" w:sz="0" w:space="0" w:color="auto"/>
        <w:left w:val="none" w:sz="0" w:space="0" w:color="auto"/>
        <w:bottom w:val="none" w:sz="0" w:space="0" w:color="auto"/>
        <w:right w:val="none" w:sz="0" w:space="0" w:color="auto"/>
      </w:divBdr>
    </w:div>
    <w:div w:id="560291514">
      <w:bodyDiv w:val="1"/>
      <w:marLeft w:val="0"/>
      <w:marRight w:val="0"/>
      <w:marTop w:val="0"/>
      <w:marBottom w:val="0"/>
      <w:divBdr>
        <w:top w:val="none" w:sz="0" w:space="0" w:color="auto"/>
        <w:left w:val="none" w:sz="0" w:space="0" w:color="auto"/>
        <w:bottom w:val="none" w:sz="0" w:space="0" w:color="auto"/>
        <w:right w:val="none" w:sz="0" w:space="0" w:color="auto"/>
      </w:divBdr>
    </w:div>
    <w:div w:id="561793824">
      <w:bodyDiv w:val="1"/>
      <w:marLeft w:val="0"/>
      <w:marRight w:val="0"/>
      <w:marTop w:val="0"/>
      <w:marBottom w:val="0"/>
      <w:divBdr>
        <w:top w:val="none" w:sz="0" w:space="0" w:color="auto"/>
        <w:left w:val="none" w:sz="0" w:space="0" w:color="auto"/>
        <w:bottom w:val="none" w:sz="0" w:space="0" w:color="auto"/>
        <w:right w:val="none" w:sz="0" w:space="0" w:color="auto"/>
      </w:divBdr>
    </w:div>
    <w:div w:id="590507793">
      <w:bodyDiv w:val="1"/>
      <w:marLeft w:val="0"/>
      <w:marRight w:val="0"/>
      <w:marTop w:val="0"/>
      <w:marBottom w:val="0"/>
      <w:divBdr>
        <w:top w:val="none" w:sz="0" w:space="0" w:color="auto"/>
        <w:left w:val="none" w:sz="0" w:space="0" w:color="auto"/>
        <w:bottom w:val="none" w:sz="0" w:space="0" w:color="auto"/>
        <w:right w:val="none" w:sz="0" w:space="0" w:color="auto"/>
      </w:divBdr>
    </w:div>
    <w:div w:id="654914186">
      <w:bodyDiv w:val="1"/>
      <w:marLeft w:val="0"/>
      <w:marRight w:val="0"/>
      <w:marTop w:val="0"/>
      <w:marBottom w:val="0"/>
      <w:divBdr>
        <w:top w:val="none" w:sz="0" w:space="0" w:color="auto"/>
        <w:left w:val="none" w:sz="0" w:space="0" w:color="auto"/>
        <w:bottom w:val="none" w:sz="0" w:space="0" w:color="auto"/>
        <w:right w:val="none" w:sz="0" w:space="0" w:color="auto"/>
      </w:divBdr>
      <w:divsChild>
        <w:div w:id="166673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418349">
      <w:bodyDiv w:val="1"/>
      <w:marLeft w:val="0"/>
      <w:marRight w:val="0"/>
      <w:marTop w:val="0"/>
      <w:marBottom w:val="0"/>
      <w:divBdr>
        <w:top w:val="none" w:sz="0" w:space="0" w:color="auto"/>
        <w:left w:val="none" w:sz="0" w:space="0" w:color="auto"/>
        <w:bottom w:val="none" w:sz="0" w:space="0" w:color="auto"/>
        <w:right w:val="none" w:sz="0" w:space="0" w:color="auto"/>
      </w:divBdr>
    </w:div>
    <w:div w:id="759448301">
      <w:bodyDiv w:val="1"/>
      <w:marLeft w:val="0"/>
      <w:marRight w:val="0"/>
      <w:marTop w:val="0"/>
      <w:marBottom w:val="0"/>
      <w:divBdr>
        <w:top w:val="none" w:sz="0" w:space="0" w:color="auto"/>
        <w:left w:val="none" w:sz="0" w:space="0" w:color="auto"/>
        <w:bottom w:val="none" w:sz="0" w:space="0" w:color="auto"/>
        <w:right w:val="none" w:sz="0" w:space="0" w:color="auto"/>
      </w:divBdr>
    </w:div>
    <w:div w:id="760833982">
      <w:bodyDiv w:val="1"/>
      <w:marLeft w:val="0"/>
      <w:marRight w:val="0"/>
      <w:marTop w:val="0"/>
      <w:marBottom w:val="0"/>
      <w:divBdr>
        <w:top w:val="none" w:sz="0" w:space="0" w:color="auto"/>
        <w:left w:val="none" w:sz="0" w:space="0" w:color="auto"/>
        <w:bottom w:val="none" w:sz="0" w:space="0" w:color="auto"/>
        <w:right w:val="none" w:sz="0" w:space="0" w:color="auto"/>
      </w:divBdr>
    </w:div>
    <w:div w:id="909921355">
      <w:bodyDiv w:val="1"/>
      <w:marLeft w:val="0"/>
      <w:marRight w:val="0"/>
      <w:marTop w:val="0"/>
      <w:marBottom w:val="0"/>
      <w:divBdr>
        <w:top w:val="none" w:sz="0" w:space="0" w:color="auto"/>
        <w:left w:val="none" w:sz="0" w:space="0" w:color="auto"/>
        <w:bottom w:val="none" w:sz="0" w:space="0" w:color="auto"/>
        <w:right w:val="none" w:sz="0" w:space="0" w:color="auto"/>
      </w:divBdr>
    </w:div>
    <w:div w:id="979458721">
      <w:bodyDiv w:val="1"/>
      <w:marLeft w:val="0"/>
      <w:marRight w:val="0"/>
      <w:marTop w:val="0"/>
      <w:marBottom w:val="0"/>
      <w:divBdr>
        <w:top w:val="none" w:sz="0" w:space="0" w:color="auto"/>
        <w:left w:val="none" w:sz="0" w:space="0" w:color="auto"/>
        <w:bottom w:val="none" w:sz="0" w:space="0" w:color="auto"/>
        <w:right w:val="none" w:sz="0" w:space="0" w:color="auto"/>
      </w:divBdr>
    </w:div>
    <w:div w:id="1001351459">
      <w:bodyDiv w:val="1"/>
      <w:marLeft w:val="0"/>
      <w:marRight w:val="0"/>
      <w:marTop w:val="0"/>
      <w:marBottom w:val="0"/>
      <w:divBdr>
        <w:top w:val="none" w:sz="0" w:space="0" w:color="auto"/>
        <w:left w:val="none" w:sz="0" w:space="0" w:color="auto"/>
        <w:bottom w:val="none" w:sz="0" w:space="0" w:color="auto"/>
        <w:right w:val="none" w:sz="0" w:space="0" w:color="auto"/>
      </w:divBdr>
    </w:div>
    <w:div w:id="1036156701">
      <w:bodyDiv w:val="1"/>
      <w:marLeft w:val="0"/>
      <w:marRight w:val="0"/>
      <w:marTop w:val="0"/>
      <w:marBottom w:val="0"/>
      <w:divBdr>
        <w:top w:val="none" w:sz="0" w:space="0" w:color="auto"/>
        <w:left w:val="none" w:sz="0" w:space="0" w:color="auto"/>
        <w:bottom w:val="none" w:sz="0" w:space="0" w:color="auto"/>
        <w:right w:val="none" w:sz="0" w:space="0" w:color="auto"/>
      </w:divBdr>
      <w:divsChild>
        <w:div w:id="896860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907118">
      <w:bodyDiv w:val="1"/>
      <w:marLeft w:val="0"/>
      <w:marRight w:val="0"/>
      <w:marTop w:val="0"/>
      <w:marBottom w:val="0"/>
      <w:divBdr>
        <w:top w:val="none" w:sz="0" w:space="0" w:color="auto"/>
        <w:left w:val="none" w:sz="0" w:space="0" w:color="auto"/>
        <w:bottom w:val="none" w:sz="0" w:space="0" w:color="auto"/>
        <w:right w:val="none" w:sz="0" w:space="0" w:color="auto"/>
      </w:divBdr>
      <w:divsChild>
        <w:div w:id="950555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006561">
      <w:bodyDiv w:val="1"/>
      <w:marLeft w:val="0"/>
      <w:marRight w:val="0"/>
      <w:marTop w:val="0"/>
      <w:marBottom w:val="0"/>
      <w:divBdr>
        <w:top w:val="none" w:sz="0" w:space="0" w:color="auto"/>
        <w:left w:val="none" w:sz="0" w:space="0" w:color="auto"/>
        <w:bottom w:val="none" w:sz="0" w:space="0" w:color="auto"/>
        <w:right w:val="none" w:sz="0" w:space="0" w:color="auto"/>
      </w:divBdr>
    </w:div>
    <w:div w:id="1148668971">
      <w:bodyDiv w:val="1"/>
      <w:marLeft w:val="0"/>
      <w:marRight w:val="0"/>
      <w:marTop w:val="0"/>
      <w:marBottom w:val="0"/>
      <w:divBdr>
        <w:top w:val="none" w:sz="0" w:space="0" w:color="auto"/>
        <w:left w:val="none" w:sz="0" w:space="0" w:color="auto"/>
        <w:bottom w:val="none" w:sz="0" w:space="0" w:color="auto"/>
        <w:right w:val="none" w:sz="0" w:space="0" w:color="auto"/>
      </w:divBdr>
    </w:div>
    <w:div w:id="1171914878">
      <w:bodyDiv w:val="1"/>
      <w:marLeft w:val="0"/>
      <w:marRight w:val="0"/>
      <w:marTop w:val="0"/>
      <w:marBottom w:val="0"/>
      <w:divBdr>
        <w:top w:val="none" w:sz="0" w:space="0" w:color="auto"/>
        <w:left w:val="none" w:sz="0" w:space="0" w:color="auto"/>
        <w:bottom w:val="none" w:sz="0" w:space="0" w:color="auto"/>
        <w:right w:val="none" w:sz="0" w:space="0" w:color="auto"/>
      </w:divBdr>
      <w:divsChild>
        <w:div w:id="21163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020591">
      <w:bodyDiv w:val="1"/>
      <w:marLeft w:val="0"/>
      <w:marRight w:val="0"/>
      <w:marTop w:val="0"/>
      <w:marBottom w:val="0"/>
      <w:divBdr>
        <w:top w:val="none" w:sz="0" w:space="0" w:color="auto"/>
        <w:left w:val="none" w:sz="0" w:space="0" w:color="auto"/>
        <w:bottom w:val="none" w:sz="0" w:space="0" w:color="auto"/>
        <w:right w:val="none" w:sz="0" w:space="0" w:color="auto"/>
      </w:divBdr>
    </w:div>
    <w:div w:id="1204293283">
      <w:bodyDiv w:val="1"/>
      <w:marLeft w:val="0"/>
      <w:marRight w:val="0"/>
      <w:marTop w:val="0"/>
      <w:marBottom w:val="0"/>
      <w:divBdr>
        <w:top w:val="none" w:sz="0" w:space="0" w:color="auto"/>
        <w:left w:val="none" w:sz="0" w:space="0" w:color="auto"/>
        <w:bottom w:val="none" w:sz="0" w:space="0" w:color="auto"/>
        <w:right w:val="none" w:sz="0" w:space="0" w:color="auto"/>
      </w:divBdr>
      <w:divsChild>
        <w:div w:id="1055276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3288815">
      <w:bodyDiv w:val="1"/>
      <w:marLeft w:val="0"/>
      <w:marRight w:val="0"/>
      <w:marTop w:val="0"/>
      <w:marBottom w:val="0"/>
      <w:divBdr>
        <w:top w:val="none" w:sz="0" w:space="0" w:color="auto"/>
        <w:left w:val="none" w:sz="0" w:space="0" w:color="auto"/>
        <w:bottom w:val="none" w:sz="0" w:space="0" w:color="auto"/>
        <w:right w:val="none" w:sz="0" w:space="0" w:color="auto"/>
      </w:divBdr>
    </w:div>
    <w:div w:id="1347899320">
      <w:bodyDiv w:val="1"/>
      <w:marLeft w:val="0"/>
      <w:marRight w:val="0"/>
      <w:marTop w:val="0"/>
      <w:marBottom w:val="0"/>
      <w:divBdr>
        <w:top w:val="none" w:sz="0" w:space="0" w:color="auto"/>
        <w:left w:val="none" w:sz="0" w:space="0" w:color="auto"/>
        <w:bottom w:val="none" w:sz="0" w:space="0" w:color="auto"/>
        <w:right w:val="none" w:sz="0" w:space="0" w:color="auto"/>
      </w:divBdr>
    </w:div>
    <w:div w:id="1364476645">
      <w:bodyDiv w:val="1"/>
      <w:marLeft w:val="0"/>
      <w:marRight w:val="0"/>
      <w:marTop w:val="0"/>
      <w:marBottom w:val="0"/>
      <w:divBdr>
        <w:top w:val="none" w:sz="0" w:space="0" w:color="auto"/>
        <w:left w:val="none" w:sz="0" w:space="0" w:color="auto"/>
        <w:bottom w:val="none" w:sz="0" w:space="0" w:color="auto"/>
        <w:right w:val="none" w:sz="0" w:space="0" w:color="auto"/>
      </w:divBdr>
    </w:div>
    <w:div w:id="1379671953">
      <w:bodyDiv w:val="1"/>
      <w:marLeft w:val="0"/>
      <w:marRight w:val="0"/>
      <w:marTop w:val="0"/>
      <w:marBottom w:val="0"/>
      <w:divBdr>
        <w:top w:val="none" w:sz="0" w:space="0" w:color="auto"/>
        <w:left w:val="none" w:sz="0" w:space="0" w:color="auto"/>
        <w:bottom w:val="none" w:sz="0" w:space="0" w:color="auto"/>
        <w:right w:val="none" w:sz="0" w:space="0" w:color="auto"/>
      </w:divBdr>
    </w:div>
    <w:div w:id="1412774036">
      <w:bodyDiv w:val="1"/>
      <w:marLeft w:val="0"/>
      <w:marRight w:val="0"/>
      <w:marTop w:val="0"/>
      <w:marBottom w:val="0"/>
      <w:divBdr>
        <w:top w:val="none" w:sz="0" w:space="0" w:color="auto"/>
        <w:left w:val="none" w:sz="0" w:space="0" w:color="auto"/>
        <w:bottom w:val="none" w:sz="0" w:space="0" w:color="auto"/>
        <w:right w:val="none" w:sz="0" w:space="0" w:color="auto"/>
      </w:divBdr>
      <w:divsChild>
        <w:div w:id="309598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36501">
      <w:bodyDiv w:val="1"/>
      <w:marLeft w:val="0"/>
      <w:marRight w:val="0"/>
      <w:marTop w:val="0"/>
      <w:marBottom w:val="0"/>
      <w:divBdr>
        <w:top w:val="none" w:sz="0" w:space="0" w:color="auto"/>
        <w:left w:val="none" w:sz="0" w:space="0" w:color="auto"/>
        <w:bottom w:val="none" w:sz="0" w:space="0" w:color="auto"/>
        <w:right w:val="none" w:sz="0" w:space="0" w:color="auto"/>
      </w:divBdr>
    </w:div>
    <w:div w:id="1502115054">
      <w:bodyDiv w:val="1"/>
      <w:marLeft w:val="0"/>
      <w:marRight w:val="0"/>
      <w:marTop w:val="0"/>
      <w:marBottom w:val="0"/>
      <w:divBdr>
        <w:top w:val="none" w:sz="0" w:space="0" w:color="auto"/>
        <w:left w:val="none" w:sz="0" w:space="0" w:color="auto"/>
        <w:bottom w:val="none" w:sz="0" w:space="0" w:color="auto"/>
        <w:right w:val="none" w:sz="0" w:space="0" w:color="auto"/>
      </w:divBdr>
    </w:div>
    <w:div w:id="1523132885">
      <w:bodyDiv w:val="1"/>
      <w:marLeft w:val="0"/>
      <w:marRight w:val="0"/>
      <w:marTop w:val="0"/>
      <w:marBottom w:val="0"/>
      <w:divBdr>
        <w:top w:val="none" w:sz="0" w:space="0" w:color="auto"/>
        <w:left w:val="none" w:sz="0" w:space="0" w:color="auto"/>
        <w:bottom w:val="none" w:sz="0" w:space="0" w:color="auto"/>
        <w:right w:val="none" w:sz="0" w:space="0" w:color="auto"/>
      </w:divBdr>
      <w:divsChild>
        <w:div w:id="1079987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6623544">
      <w:bodyDiv w:val="1"/>
      <w:marLeft w:val="0"/>
      <w:marRight w:val="0"/>
      <w:marTop w:val="0"/>
      <w:marBottom w:val="0"/>
      <w:divBdr>
        <w:top w:val="none" w:sz="0" w:space="0" w:color="auto"/>
        <w:left w:val="none" w:sz="0" w:space="0" w:color="auto"/>
        <w:bottom w:val="none" w:sz="0" w:space="0" w:color="auto"/>
        <w:right w:val="none" w:sz="0" w:space="0" w:color="auto"/>
      </w:divBdr>
      <w:divsChild>
        <w:div w:id="78449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34203">
      <w:bodyDiv w:val="1"/>
      <w:marLeft w:val="0"/>
      <w:marRight w:val="0"/>
      <w:marTop w:val="0"/>
      <w:marBottom w:val="0"/>
      <w:divBdr>
        <w:top w:val="none" w:sz="0" w:space="0" w:color="auto"/>
        <w:left w:val="none" w:sz="0" w:space="0" w:color="auto"/>
        <w:bottom w:val="none" w:sz="0" w:space="0" w:color="auto"/>
        <w:right w:val="none" w:sz="0" w:space="0" w:color="auto"/>
      </w:divBdr>
      <w:divsChild>
        <w:div w:id="1237128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667306">
      <w:bodyDiv w:val="1"/>
      <w:marLeft w:val="0"/>
      <w:marRight w:val="0"/>
      <w:marTop w:val="0"/>
      <w:marBottom w:val="0"/>
      <w:divBdr>
        <w:top w:val="none" w:sz="0" w:space="0" w:color="auto"/>
        <w:left w:val="none" w:sz="0" w:space="0" w:color="auto"/>
        <w:bottom w:val="none" w:sz="0" w:space="0" w:color="auto"/>
        <w:right w:val="none" w:sz="0" w:space="0" w:color="auto"/>
      </w:divBdr>
      <w:divsChild>
        <w:div w:id="721292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377726">
      <w:bodyDiv w:val="1"/>
      <w:marLeft w:val="0"/>
      <w:marRight w:val="0"/>
      <w:marTop w:val="0"/>
      <w:marBottom w:val="0"/>
      <w:divBdr>
        <w:top w:val="none" w:sz="0" w:space="0" w:color="auto"/>
        <w:left w:val="none" w:sz="0" w:space="0" w:color="auto"/>
        <w:bottom w:val="none" w:sz="0" w:space="0" w:color="auto"/>
        <w:right w:val="none" w:sz="0" w:space="0" w:color="auto"/>
      </w:divBdr>
      <w:divsChild>
        <w:div w:id="997726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8115312">
      <w:bodyDiv w:val="1"/>
      <w:marLeft w:val="0"/>
      <w:marRight w:val="0"/>
      <w:marTop w:val="0"/>
      <w:marBottom w:val="0"/>
      <w:divBdr>
        <w:top w:val="none" w:sz="0" w:space="0" w:color="auto"/>
        <w:left w:val="none" w:sz="0" w:space="0" w:color="auto"/>
        <w:bottom w:val="none" w:sz="0" w:space="0" w:color="auto"/>
        <w:right w:val="none" w:sz="0" w:space="0" w:color="auto"/>
      </w:divBdr>
    </w:div>
    <w:div w:id="1691102312">
      <w:bodyDiv w:val="1"/>
      <w:marLeft w:val="0"/>
      <w:marRight w:val="0"/>
      <w:marTop w:val="0"/>
      <w:marBottom w:val="0"/>
      <w:divBdr>
        <w:top w:val="none" w:sz="0" w:space="0" w:color="auto"/>
        <w:left w:val="none" w:sz="0" w:space="0" w:color="auto"/>
        <w:bottom w:val="none" w:sz="0" w:space="0" w:color="auto"/>
        <w:right w:val="none" w:sz="0" w:space="0" w:color="auto"/>
      </w:divBdr>
      <w:divsChild>
        <w:div w:id="1602178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324833">
      <w:bodyDiv w:val="1"/>
      <w:marLeft w:val="0"/>
      <w:marRight w:val="0"/>
      <w:marTop w:val="0"/>
      <w:marBottom w:val="0"/>
      <w:divBdr>
        <w:top w:val="none" w:sz="0" w:space="0" w:color="auto"/>
        <w:left w:val="none" w:sz="0" w:space="0" w:color="auto"/>
        <w:bottom w:val="none" w:sz="0" w:space="0" w:color="auto"/>
        <w:right w:val="none" w:sz="0" w:space="0" w:color="auto"/>
      </w:divBdr>
      <w:divsChild>
        <w:div w:id="975722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461054">
      <w:bodyDiv w:val="1"/>
      <w:marLeft w:val="0"/>
      <w:marRight w:val="0"/>
      <w:marTop w:val="0"/>
      <w:marBottom w:val="0"/>
      <w:divBdr>
        <w:top w:val="none" w:sz="0" w:space="0" w:color="auto"/>
        <w:left w:val="none" w:sz="0" w:space="0" w:color="auto"/>
        <w:bottom w:val="none" w:sz="0" w:space="0" w:color="auto"/>
        <w:right w:val="none" w:sz="0" w:space="0" w:color="auto"/>
      </w:divBdr>
    </w:div>
    <w:div w:id="1807772139">
      <w:bodyDiv w:val="1"/>
      <w:marLeft w:val="0"/>
      <w:marRight w:val="0"/>
      <w:marTop w:val="0"/>
      <w:marBottom w:val="0"/>
      <w:divBdr>
        <w:top w:val="none" w:sz="0" w:space="0" w:color="auto"/>
        <w:left w:val="none" w:sz="0" w:space="0" w:color="auto"/>
        <w:bottom w:val="none" w:sz="0" w:space="0" w:color="auto"/>
        <w:right w:val="none" w:sz="0" w:space="0" w:color="auto"/>
      </w:divBdr>
      <w:divsChild>
        <w:div w:id="107905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292825">
      <w:bodyDiv w:val="1"/>
      <w:marLeft w:val="0"/>
      <w:marRight w:val="0"/>
      <w:marTop w:val="0"/>
      <w:marBottom w:val="0"/>
      <w:divBdr>
        <w:top w:val="none" w:sz="0" w:space="0" w:color="auto"/>
        <w:left w:val="none" w:sz="0" w:space="0" w:color="auto"/>
        <w:bottom w:val="none" w:sz="0" w:space="0" w:color="auto"/>
        <w:right w:val="none" w:sz="0" w:space="0" w:color="auto"/>
      </w:divBdr>
      <w:divsChild>
        <w:div w:id="37808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525219">
      <w:bodyDiv w:val="1"/>
      <w:marLeft w:val="0"/>
      <w:marRight w:val="0"/>
      <w:marTop w:val="0"/>
      <w:marBottom w:val="0"/>
      <w:divBdr>
        <w:top w:val="none" w:sz="0" w:space="0" w:color="auto"/>
        <w:left w:val="none" w:sz="0" w:space="0" w:color="auto"/>
        <w:bottom w:val="none" w:sz="0" w:space="0" w:color="auto"/>
        <w:right w:val="none" w:sz="0" w:space="0" w:color="auto"/>
      </w:divBdr>
    </w:div>
    <w:div w:id="1838888117">
      <w:bodyDiv w:val="1"/>
      <w:marLeft w:val="0"/>
      <w:marRight w:val="0"/>
      <w:marTop w:val="0"/>
      <w:marBottom w:val="0"/>
      <w:divBdr>
        <w:top w:val="none" w:sz="0" w:space="0" w:color="auto"/>
        <w:left w:val="none" w:sz="0" w:space="0" w:color="auto"/>
        <w:bottom w:val="none" w:sz="0" w:space="0" w:color="auto"/>
        <w:right w:val="none" w:sz="0" w:space="0" w:color="auto"/>
      </w:divBdr>
      <w:divsChild>
        <w:div w:id="461657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288535">
      <w:bodyDiv w:val="1"/>
      <w:marLeft w:val="0"/>
      <w:marRight w:val="0"/>
      <w:marTop w:val="0"/>
      <w:marBottom w:val="0"/>
      <w:divBdr>
        <w:top w:val="none" w:sz="0" w:space="0" w:color="auto"/>
        <w:left w:val="none" w:sz="0" w:space="0" w:color="auto"/>
        <w:bottom w:val="none" w:sz="0" w:space="0" w:color="auto"/>
        <w:right w:val="none" w:sz="0" w:space="0" w:color="auto"/>
      </w:divBdr>
    </w:div>
    <w:div w:id="1924072047">
      <w:bodyDiv w:val="1"/>
      <w:marLeft w:val="0"/>
      <w:marRight w:val="0"/>
      <w:marTop w:val="0"/>
      <w:marBottom w:val="0"/>
      <w:divBdr>
        <w:top w:val="none" w:sz="0" w:space="0" w:color="auto"/>
        <w:left w:val="none" w:sz="0" w:space="0" w:color="auto"/>
        <w:bottom w:val="none" w:sz="0" w:space="0" w:color="auto"/>
        <w:right w:val="none" w:sz="0" w:space="0" w:color="auto"/>
      </w:divBdr>
    </w:div>
    <w:div w:id="1937052035">
      <w:bodyDiv w:val="1"/>
      <w:marLeft w:val="0"/>
      <w:marRight w:val="0"/>
      <w:marTop w:val="0"/>
      <w:marBottom w:val="0"/>
      <w:divBdr>
        <w:top w:val="none" w:sz="0" w:space="0" w:color="auto"/>
        <w:left w:val="none" w:sz="0" w:space="0" w:color="auto"/>
        <w:bottom w:val="none" w:sz="0" w:space="0" w:color="auto"/>
        <w:right w:val="none" w:sz="0" w:space="0" w:color="auto"/>
      </w:divBdr>
    </w:div>
    <w:div w:id="2067752624">
      <w:bodyDiv w:val="1"/>
      <w:marLeft w:val="0"/>
      <w:marRight w:val="0"/>
      <w:marTop w:val="0"/>
      <w:marBottom w:val="0"/>
      <w:divBdr>
        <w:top w:val="none" w:sz="0" w:space="0" w:color="auto"/>
        <w:left w:val="none" w:sz="0" w:space="0" w:color="auto"/>
        <w:bottom w:val="none" w:sz="0" w:space="0" w:color="auto"/>
        <w:right w:val="none" w:sz="0" w:space="0" w:color="auto"/>
      </w:divBdr>
    </w:div>
    <w:div w:id="2086799555">
      <w:bodyDiv w:val="1"/>
      <w:marLeft w:val="0"/>
      <w:marRight w:val="0"/>
      <w:marTop w:val="0"/>
      <w:marBottom w:val="0"/>
      <w:divBdr>
        <w:top w:val="none" w:sz="0" w:space="0" w:color="auto"/>
        <w:left w:val="none" w:sz="0" w:space="0" w:color="auto"/>
        <w:bottom w:val="none" w:sz="0" w:space="0" w:color="auto"/>
        <w:right w:val="none" w:sz="0" w:space="0" w:color="auto"/>
      </w:divBdr>
    </w:div>
    <w:div w:id="2106613958">
      <w:bodyDiv w:val="1"/>
      <w:marLeft w:val="0"/>
      <w:marRight w:val="0"/>
      <w:marTop w:val="0"/>
      <w:marBottom w:val="0"/>
      <w:divBdr>
        <w:top w:val="none" w:sz="0" w:space="0" w:color="auto"/>
        <w:left w:val="none" w:sz="0" w:space="0" w:color="auto"/>
        <w:bottom w:val="none" w:sz="0" w:space="0" w:color="auto"/>
        <w:right w:val="none" w:sz="0" w:space="0" w:color="auto"/>
      </w:divBdr>
    </w:div>
    <w:div w:id="2128087942">
      <w:bodyDiv w:val="1"/>
      <w:marLeft w:val="0"/>
      <w:marRight w:val="0"/>
      <w:marTop w:val="0"/>
      <w:marBottom w:val="0"/>
      <w:divBdr>
        <w:top w:val="none" w:sz="0" w:space="0" w:color="auto"/>
        <w:left w:val="none" w:sz="0" w:space="0" w:color="auto"/>
        <w:bottom w:val="none" w:sz="0" w:space="0" w:color="auto"/>
        <w:right w:val="none" w:sz="0" w:space="0" w:color="auto"/>
      </w:divBdr>
    </w:div>
    <w:div w:id="2142918283">
      <w:bodyDiv w:val="1"/>
      <w:marLeft w:val="0"/>
      <w:marRight w:val="0"/>
      <w:marTop w:val="0"/>
      <w:marBottom w:val="0"/>
      <w:divBdr>
        <w:top w:val="none" w:sz="0" w:space="0" w:color="auto"/>
        <w:left w:val="none" w:sz="0" w:space="0" w:color="auto"/>
        <w:bottom w:val="none" w:sz="0" w:space="0" w:color="auto"/>
        <w:right w:val="none" w:sz="0" w:space="0" w:color="auto"/>
      </w:divBdr>
      <w:divsChild>
        <w:div w:id="17781396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13</Pages>
  <Words>3224</Words>
  <Characters>20867</Characters>
  <Application>Microsoft Office Word</Application>
  <DocSecurity>0</DocSecurity>
  <Lines>220</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Rozdział 3. Kwantowe uczenie maszynowe i hybrydowe kwantowe sieci neuronowe</dc:title>
  <dc:subject/>
  <dc:creator>Oskar Stachowski</dc:creator>
  <cp:keywords/>
  <cp:lastModifiedBy>Oskar Stachowski</cp:lastModifiedBy>
  <cp:revision>94</cp:revision>
  <dcterms:created xsi:type="dcterms:W3CDTF">2026-08-25T14:19:17Z</dcterms:created>
  <dcterms:modified xsi:type="dcterms:W3CDTF">2026-08-25T14:19:17Z</dcterms:modified>
  <cp:category/>
</cp:coreProperties>
</file>