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293531" w14:textId="77777777" w:rsidR="00554BF7" w:rsidRDefault="00000000">
      <w:pPr>
        <w:keepNext/>
        <w:spacing w:after="240"/>
        <w:ind w:firstLine="0"/>
        <w:jc w:val="center"/>
      </w:pPr>
      <w:r>
        <w:rPr>
          <w:b/>
          <w:sz w:val="28"/>
        </w:rPr>
        <w:t>Rozdział 2. Klasyczne metody uczenia maszynowego w analizie danych finansowych</w:t>
      </w:r>
    </w:p>
    <w:p w14:paraId="59EA5FC2" w14:textId="77777777" w:rsidR="00554BF7" w:rsidRDefault="00000000">
      <w:pPr>
        <w:pStyle w:val="BodyText"/>
      </w:pPr>
      <w:r>
        <w:t>Rozdział przedstawia teorię klasycznych metod uczenia maszynowego potrzebną do analizy tabelarycznych danych finansowych i porównania modeli. Punktem wyjścia jest nadzorowana klasyfikacja binarna, w której informacje dostępne w chwili prognozy służą do porządkowania obserwacji według ryzyka przyszłego zdarzenia</w:t>
      </w:r>
      <w:r>
        <w:rPr>
          <w:rStyle w:val="FootnoteReference"/>
        </w:rPr>
        <w:footnoteReference w:id="1"/>
      </w:r>
      <w:r>
        <w:t>. Ekonomiczne znaczenie zdarzenia omówiono w rozdziale pierwszym; tutaj przedmiotem analizy są właściwości danych, mechanizmy uczenia, kryteria oceny i sposoby objaśniania predykcji.</w:t>
      </w:r>
    </w:p>
    <w:p w14:paraId="0F686FD8" w14:textId="77777777" w:rsidR="00554BF7" w:rsidRDefault="00000000">
      <w:pPr>
        <w:pStyle w:val="BodyText"/>
      </w:pPr>
      <w:r>
        <w:t>Klasyczne uczenie maszynowe obejmuje modele liniowe, metodę jądrową, zespoły drzew i perceptron wielowarstwowy. Rodziny te różnią się nieliniowością, regularyzacją, wrażliwością na skalę i interpretowalnością, lecz wspólnie tworzą punkty odniesienia dla bardziej złożonych rozwiązań</w:t>
      </w:r>
      <w:r>
        <w:rPr>
          <w:rStyle w:val="FootnoteReference"/>
        </w:rPr>
        <w:footnoteReference w:id="2"/>
      </w:r>
      <w:r>
        <w:t>. Dalsza teoria obejmuje przygotowanie danych bez wycieku, selekcję cech, PCA, czasową ocenę, kalibrację, niepewność i interpretowalność — wyłącznie w zakresie potrzebnym późniejszemu eksperymentowi.</w:t>
      </w:r>
    </w:p>
    <w:p w14:paraId="34976732" w14:textId="77777777" w:rsidR="00554BF7" w:rsidRDefault="00000000">
      <w:pPr>
        <w:pStyle w:val="Heading1"/>
      </w:pPr>
      <w:r>
        <w:t>2.1. Specyfika tabelarycznych danych finansowych</w:t>
      </w:r>
    </w:p>
    <w:p w14:paraId="2F5EA5B5" w14:textId="77777777" w:rsidR="00554BF7" w:rsidRDefault="00000000">
      <w:pPr>
        <w:pStyle w:val="BodyText"/>
      </w:pPr>
      <w:r>
        <w:t>Dane finansowe mają zwykle postać panelu: wiersz opisuje jednostkę w określonym czasie, kolumny jej cechy, a zmienna objaśniana przyszły stan. Wielokrotne obserwacje tego samego podmiotu są zależne, a relacje między wskaźnikami mogą zmieniać się wraz z branżą i warunkami gospodarczymi. Losowy podział wierszy może zatem umieścić blisko powiązane obserwacje po obu stronach granicy uczenia i oceny. Wynik mierzy wtedy częściowo rozpoznawanie wcześniej widzianej struktury zamiast prognozowania przyszłości</w:t>
      </w:r>
      <w:r>
        <w:rPr>
          <w:rStyle w:val="FootnoteReference"/>
        </w:rPr>
        <w:footnoteReference w:id="3"/>
      </w:r>
      <w:r>
        <w:t>. Porządek czasu i identyfikator jednostki są więc składnikami struktury danych, których nie można pomijać przy ocenie modelu.</w:t>
      </w:r>
    </w:p>
    <w:p w14:paraId="5D07E19A" w14:textId="77777777" w:rsidR="00554BF7" w:rsidRDefault="00000000">
      <w:pPr>
        <w:pStyle w:val="BodyText"/>
      </w:pPr>
      <w:r>
        <w:t>Finansowe zmienne tabelaryczne są heterogeniczne pod względem jednostek, zakresów i rozkładów. Nawet wskaźniki bywają asymetryczne, gruboogonowe i podatne na wartości skrajne</w:t>
      </w:r>
      <w:r>
        <w:rPr>
          <w:rStyle w:val="FootnoteReference"/>
        </w:rPr>
        <w:footnoteReference w:id="4"/>
      </w:r>
      <w:r>
        <w:t xml:space="preserve">, które mogą odzwierciedlać zarówno rzeczywisty stan ekonomiczny, jak i mały </w:t>
      </w:r>
      <w:r>
        <w:lastRenderedPageBreak/>
        <w:t>mianownik, nieporównywalność pozycji lub błąd raportowania. Automatyczne odrzucanie takich obserwacji grozi utratą przypadków istotnych dla rozpoznawania pogorszenia kondycji. Winsoryzacja ogranicza ten problem przez zastąpienie wartości poza ustalonymi kwantylami wartościami granicznymi. Zachowuje liczbę obserwacji i kierunek ekstremum, zmniejszając jego wpływ na model; jest zatem transformacją odpornościową, a nie korektą ekonomicznej treści danych.</w:t>
      </w:r>
    </w:p>
    <w:p w14:paraId="1266AA6A" w14:textId="77777777" w:rsidR="00554BF7" w:rsidRDefault="00000000">
      <w:pPr>
        <w:pStyle w:val="BodyText"/>
      </w:pPr>
      <w:r>
        <w:t>Braki danych mogą mieć przyczynę techniczną, ale mogą też sygnalizować profil działalności, zakres sprawozdawczości lub niestabilność raportowania. Na podstawie samej macierzy zwykle nie można rozstrzygnąć, czy brak jest losowy czy informacyjny, dlatego sposób jego obsługi stanowi założenie modelowe</w:t>
      </w:r>
      <w:r>
        <w:rPr>
          <w:rStyle w:val="FootnoteReference"/>
        </w:rPr>
        <w:footnoteReference w:id="5"/>
      </w:r>
      <w:r>
        <w:t>. Imputacja medianą jest prosta i odporna na asymetrię oraz obserwacje skrajne, lecz skupia wartości uzupełnione w jednym punkcie rozkładu. Dołączenie binarnego wskaźnika braku pozwala odróżnić imputację od wartości rzeczywiście zaobserwowanej: cecha przekazuje poziom po uzupełnieniu, a wskaźnik informuje o nieobserwowalności wartości pierwotnej.</w:t>
      </w:r>
    </w:p>
    <w:p w14:paraId="07A45357" w14:textId="77777777" w:rsidR="00554BF7" w:rsidRDefault="00000000">
      <w:pPr>
        <w:pStyle w:val="BodyText"/>
        <w:keepNext/>
      </w:pPr>
      <w:r>
        <w:t>Modele liniowe, maszyny wektorów nośnych i sieci neuronowe są wrażliwe na skalę wejść. Standaryzacja typu z-score odejmuje średnią i dzieli wynik przez odchylenie standardowe</w:t>
      </w:r>
      <w:r>
        <w:rPr>
          <w:rStyle w:val="FootnoteReference"/>
        </w:rPr>
        <w:footnoteReference w:id="6"/>
      </w:r>
      <w:r>
        <w:t>, ograniczając dominację zmiennych o dużej skali, ułatwiając optymalizację i zapewniając porównywalne działanie regularyzacji:</w:t>
      </w:r>
    </w:p>
    <w:p w14:paraId="461DF83D" w14:textId="77777777" w:rsidR="00554BF7" w:rsidRDefault="00000000">
      <w:pPr>
        <w:keepLines/>
        <w:spacing w:before="100" w:after="100"/>
        <w:ind w:firstLine="0"/>
        <w:jc w:val="center"/>
      </w:pPr>
      <w:r>
        <w:rPr>
          <w:rFonts w:ascii="Cambria Math" w:eastAsia="Cambria Math" w:hAnsi="Cambria Math"/>
          <w:sz w:val="22"/>
        </w:rPr>
        <w:t>zᵢⱼ = (xᵢⱼ − μⱼ) / σⱼ</w:t>
      </w:r>
    </w:p>
    <w:p w14:paraId="06C90884" w14:textId="77777777" w:rsidR="00554BF7" w:rsidRDefault="00000000">
      <w:pPr>
        <w:pStyle w:val="BodyText"/>
      </w:pPr>
      <w:r>
        <w:t>Wskaźniki braków zachowują skalę zero–jeden, ponieważ ich średnia ma znaczenie częstości braku. Zespoły drzew są znacznie mniej wrażliwe na monotoniczne przeskalowanie, gdyż wykorzystują progi podziału. Wspólna baza informacyjna nadal jest jednak potrzebna, aby różnice wyników odzwierciedlały mechanizm uczenia, a nie przypadkowo odmienne przygotowanie danych.</w:t>
      </w:r>
    </w:p>
    <w:p w14:paraId="695866F3" w14:textId="77777777" w:rsidR="00554BF7" w:rsidRDefault="00000000">
      <w:pPr>
        <w:pStyle w:val="BodyText"/>
      </w:pPr>
      <w:r>
        <w:t>W klasyfikacji pogorszenia kondycji finansowej klasa dodatnia jest zwykle rzadsza. Trafność ogólna może być wtedy wysoka mimo niemal stałego przewidywania klasy większościowej, a nieważona funkcja straty pozostaje zdominowana przez obserwacje ujemne</w:t>
      </w:r>
      <w:r>
        <w:rPr>
          <w:rStyle w:val="FootnoteReference"/>
        </w:rPr>
        <w:footnoteReference w:id="7"/>
      </w:r>
      <w:r>
        <w:t xml:space="preserve">. Ważenie klas lub obserwacji zwiększa udział klasy dodatniej w uczeniu bez tworzenia sztucznych przykładów. Nie zastępuje jednak miary właściwej dla nierównowagi i może zmienić kalibrację prawdopodobieństw. Wagi należy więc traktować jako element kompromisu </w:t>
      </w:r>
      <w:r>
        <w:lastRenderedPageBreak/>
        <w:t>między czułością a precyzją, oddzielając ich wpływ na uczenie od oceny rankingu i wyboru progu.</w:t>
      </w:r>
    </w:p>
    <w:p w14:paraId="7F725E8D" w14:textId="77777777" w:rsidR="00554BF7" w:rsidRDefault="00000000">
      <w:pPr>
        <w:pStyle w:val="BodyText"/>
      </w:pPr>
      <w:r>
        <w:t>Rozkład danych finansowych podlega dryfowi wskutek zmian warunków gospodarczych, standardów raportowania, struktury populacji i znaczenia wskaźników. Walidacja czasowa powinna zatem odtwarzać kierunek prognozy: model korzysta z wcześniejszych danych i jest oceniany w późniejszym okresie</w:t>
      </w:r>
      <w:r>
        <w:rPr>
          <w:rStyle w:val="FootnoteReference"/>
        </w:rPr>
        <w:footnoteReference w:id="8"/>
      </w:r>
      <w:r>
        <w:t>. Rozwijające się okno uczące zachowuje ten porządek i pozwala oceniać stabilność jakości w kolejnych okresach.</w:t>
      </w:r>
    </w:p>
    <w:p w14:paraId="61A2451A" w14:textId="77777777" w:rsidR="00554BF7" w:rsidRDefault="00000000">
      <w:pPr>
        <w:pStyle w:val="BodyText"/>
      </w:pPr>
      <w:r>
        <w:t>Między końcem próby uczącej a początkiem walidacji może być potrzebne embargo, które ogranicza nakładanie się horyzontów informacyjnych, gdy etykieta zależy od zdarzeń następujących po dacie cech. Zasada point-in-time wymaga ponadto używania wyłącznie informacji faktycznie dostępnej w chwili prognozy. Data okresu sprawozdawczego nie musi być datą publikacji; utożsamienie tych momentów może stworzyć sygnał silny pozornie, lecz niemożliwy do odtworzenia.</w:t>
      </w:r>
    </w:p>
    <w:p w14:paraId="2941D648" w14:textId="77777777" w:rsidR="00554BF7" w:rsidRDefault="00000000">
      <w:pPr>
        <w:pStyle w:val="BodyText"/>
      </w:pPr>
      <w:r>
        <w:t>Wyciek informacji powstaje nie tylko przez użycie przyszłej etykiety. Każdy element uczony z danych — granice winsoryzacji, mediany imputacji, parametry skalowania, główne składowe, wybór cech i hiperparametry — jest częścią modelu. Musi być dopasowany wyłącznie wewnątrz właściwej próby uczącej i rekonstruowany w każdym podziale walidacyjnym</w:t>
      </w:r>
      <w:r>
        <w:rPr>
          <w:rStyle w:val="FootnoteReference"/>
        </w:rPr>
        <w:footnoteReference w:id="9"/>
      </w:r>
      <w:r>
        <w:t>. Użycie informacji z okresu oceny nawet w pozornie technicznej transformacji zawyża wiarygodność wyniku.</w:t>
      </w:r>
    </w:p>
    <w:p w14:paraId="5DC647D8" w14:textId="77777777" w:rsidR="00554BF7" w:rsidRDefault="00000000">
      <w:pPr>
        <w:pStyle w:val="BodyText"/>
      </w:pPr>
      <w:r>
        <w:t>Specyfika danych finansowych wymaga zatem odporności na asymetrię i braki, kontrolowanego skalowania, uwzględnienia nierównowagi, zachowania struktury panelowej oraz ścisłej separacji informacji w czasie. Warunki te pozwalają porównywać modele bez utożsamiania jakości algorytmu z jakością przygotowania danych.</w:t>
      </w:r>
    </w:p>
    <w:p w14:paraId="1ABF1272" w14:textId="77777777" w:rsidR="00554BF7" w:rsidRDefault="00000000">
      <w:pPr>
        <w:pStyle w:val="Heading1"/>
      </w:pPr>
      <w:r>
        <w:t>2.2. Klasyczne modele uczenia maszynowego jako modele referencyjne</w:t>
      </w:r>
    </w:p>
    <w:p w14:paraId="2F336540" w14:textId="77777777" w:rsidR="00554BF7" w:rsidRDefault="00000000">
      <w:pPr>
        <w:pStyle w:val="BodyText"/>
      </w:pPr>
      <w:r>
        <w:t>Zestaw modeli referencyjnych powinien obejmować regułę pozbawioną informacji o cechach oraz modele liniowe, jądrowe, drzewiaste i neuronowe. Tworzą go: klasyfikator stały oparty na częstości klasy dodatniej, regresje logistyczne L2 i Elastic Net, SVM z jądrem RBF, las losowy, histogramowy gradient boosting, XGBoost oraz perceptron wielowarstwowy. Zestaw pozwala porównać różne kompromisy między prostotą, elastycznością i interpretowalnością.</w:t>
      </w:r>
    </w:p>
    <w:p w14:paraId="61C006D0" w14:textId="77777777" w:rsidR="00554BF7" w:rsidRDefault="00000000">
      <w:pPr>
        <w:pStyle w:val="BodyText"/>
      </w:pPr>
      <w:r>
        <w:lastRenderedPageBreak/>
        <w:t>Klasyfikator stały przypisuje każdej obserwacji wynik równy udziałowi klasy dodatniej w próbie uczącej. Nie wykorzystuje cech ani nie porządkuje obserwacji według ryzyka. Wyznacza jednak poziom osiągalny bez informacji objaśniającej, kontroluje poprawność potoku i stanowi linię bazową średniej precyzji. Brak przewagi nad nim oznacza, że model nie wydobywa użytecznego sygnału predykcyjnego.</w:t>
      </w:r>
    </w:p>
    <w:p w14:paraId="1ED24D1B" w14:textId="77777777" w:rsidR="00554BF7" w:rsidRDefault="00000000">
      <w:pPr>
        <w:pStyle w:val="BodyText"/>
        <w:keepNext/>
      </w:pPr>
      <w:r>
        <w:t>Regresja logistyczna zakłada liniową zależność między cechami a logarytmem ilorazu szans</w:t>
      </w:r>
      <w:r>
        <w:rPr>
          <w:rStyle w:val="FootnoteReference"/>
        </w:rPr>
        <w:footnoteReference w:id="10"/>
      </w:r>
      <w:r>
        <w:t>. Dla wektora wejść x i współczynników β prawdopodobieństwo klasy dodatniej ma postać:</w:t>
      </w:r>
    </w:p>
    <w:p w14:paraId="04E4BBBC" w14:textId="77777777" w:rsidR="00554BF7" w:rsidRDefault="00000000">
      <w:pPr>
        <w:keepLines/>
        <w:spacing w:before="100" w:after="100"/>
        <w:ind w:firstLine="0"/>
        <w:jc w:val="center"/>
      </w:pPr>
      <w:r>
        <w:rPr>
          <w:rFonts w:ascii="Cambria Math" w:eastAsia="Cambria Math" w:hAnsi="Cambria Math"/>
          <w:sz w:val="22"/>
        </w:rPr>
        <w:t>p(y = 1 | x) = 1 / [1 + exp(−(β₀ + xᵀβ))].</w:t>
      </w:r>
    </w:p>
    <w:p w14:paraId="5602D43E" w14:textId="77777777" w:rsidR="00554BF7" w:rsidRDefault="00000000">
      <w:pPr>
        <w:pStyle w:val="BodyText"/>
      </w:pPr>
      <w:r>
        <w:t>Wzrost standaryzowanej cechy o jednostkę, przy pozostałych cechach stałych, mnoży iloraz szans przez exp(βⱼ). Współczynniki opisują związek warunkowy, nie przyczynowy, i mogą być niestabilne przy współliniowości. Kara L2 kurczy parametry, ogranicza wariancję i stabilizuje rozwiązanie dla cech skorelowanych. Zwykle nie zeruje współczynników, dlatego zachowuje pełny zestaw wejść i tworzy regularny liniowy punkt odniesienia. Model pozostaje jednak liniowy w skali logitu i bez transformacji nie opisuje progów ani interakcji.</w:t>
      </w:r>
    </w:p>
    <w:p w14:paraId="45952A29" w14:textId="77777777" w:rsidR="00554BF7" w:rsidRDefault="00000000">
      <w:pPr>
        <w:pStyle w:val="BodyText"/>
        <w:keepNext/>
      </w:pPr>
      <w:r>
        <w:t>Elastic Net łączy karę L1, sprzyjającą zerowaniu współczynników, z karą L2, stabilizującą rozwiązanie w grupach skorelowanych cech</w:t>
      </w:r>
      <w:r>
        <w:rPr>
          <w:rStyle w:val="FootnoteReference"/>
        </w:rPr>
        <w:footnoteReference w:id="11"/>
      </w:r>
      <w:r>
        <w:t>. Dla parametru mieszania α i siły regularyzacji λ kara wynosi:</w:t>
      </w:r>
    </w:p>
    <w:p w14:paraId="067F465B" w14:textId="77777777" w:rsidR="00554BF7" w:rsidRDefault="00000000">
      <w:pPr>
        <w:keepLines/>
        <w:spacing w:before="100" w:after="100"/>
        <w:ind w:firstLine="0"/>
        <w:jc w:val="center"/>
      </w:pPr>
      <w:r>
        <w:rPr>
          <w:rFonts w:ascii="Cambria Math" w:eastAsia="Cambria Math" w:hAnsi="Cambria Math"/>
          <w:sz w:val="22"/>
        </w:rPr>
        <w:t>λ [ α‖β‖₁ + (1 − α)‖β‖²₂ / 2 ].</w:t>
      </w:r>
    </w:p>
    <w:p w14:paraId="5BBAD445" w14:textId="77777777" w:rsidR="00554BF7" w:rsidRDefault="00000000">
      <w:pPr>
        <w:pStyle w:val="BodyText"/>
      </w:pPr>
      <w:r>
        <w:t>Model pełni również funkcję osadzonej selekcji cech. Współczynnik równy zeru oznacza brak wkładu warunkowego przy danej karze, nie ekonomiczną nieistotność zmiennej. Przy silnej korelacji waga może przenosić się między cechami zastępowalnymi, dlatego interpretacja wymaga oceny stabilności wyboru, znaków i wartości współczynników między próbami.</w:t>
      </w:r>
    </w:p>
    <w:p w14:paraId="296E3249" w14:textId="77777777" w:rsidR="00554BF7" w:rsidRDefault="00000000">
      <w:pPr>
        <w:pStyle w:val="BodyText"/>
      </w:pPr>
      <w:r>
        <w:t>SVM wyznacza granicę o możliwie szerokim marginesie, a margines miękki równoważy szerokość separacji z karą za błędy. Rozwiązanie określają obserwacje położone przy granicy, czyli wektory nośne.</w:t>
      </w:r>
    </w:p>
    <w:p w14:paraId="038BDE7C" w14:textId="77777777" w:rsidR="00554BF7" w:rsidRDefault="00000000">
      <w:pPr>
        <w:pStyle w:val="BodyText"/>
        <w:keepNext/>
      </w:pPr>
      <w:r>
        <w:lastRenderedPageBreak/>
        <w:t>Jądro RBF wprowadza nieliniowość przez miarę podobieństwa malejącą wraz z kwadratową odległością</w:t>
      </w:r>
      <w:r>
        <w:rPr>
          <w:rStyle w:val="FootnoteReference"/>
        </w:rPr>
        <w:footnoteReference w:id="12"/>
      </w:r>
      <w:r>
        <w:t>:</w:t>
      </w:r>
    </w:p>
    <w:p w14:paraId="27E2E4DC" w14:textId="77777777" w:rsidR="00554BF7" w:rsidRDefault="00000000">
      <w:pPr>
        <w:keepLines/>
        <w:spacing w:before="100" w:after="100"/>
        <w:ind w:firstLine="0"/>
        <w:jc w:val="center"/>
      </w:pPr>
      <w:r>
        <w:rPr>
          <w:rFonts w:ascii="Cambria Math" w:eastAsia="Cambria Math" w:hAnsi="Cambria Math"/>
          <w:sz w:val="22"/>
        </w:rPr>
        <w:t>K(x, x′) = exp(−γ‖x − x′‖²).</w:t>
      </w:r>
    </w:p>
    <w:p w14:paraId="46728D09" w14:textId="77777777" w:rsidR="00554BF7" w:rsidRDefault="00000000">
      <w:pPr>
        <w:pStyle w:val="BodyText"/>
      </w:pPr>
      <w:r>
        <w:t>Parametr γ kontroluje lokalność oddziaływania, a C — koszt naruszeń marginesu; wysokie wartości mogą zwiększać wariancję. Ponieważ odległość zależy od jednostek, SVM RBF wymaga standaryzacji. Wynik modelu jest odległością od granicy, a nie prawdopodobieństwem</w:t>
      </w:r>
      <w:r>
        <w:rPr>
          <w:rStyle w:val="FootnoteReference"/>
        </w:rPr>
        <w:footnoteReference w:id="13"/>
      </w:r>
      <w:r>
        <w:t>, dlatego zastosowanie probabilistyczne wymaga odrębnej kalibracji.</w:t>
      </w:r>
    </w:p>
    <w:p w14:paraId="33996631" w14:textId="77777777" w:rsidR="00554BF7" w:rsidRDefault="00000000">
      <w:pPr>
        <w:pStyle w:val="BodyText"/>
      </w:pPr>
      <w:r>
        <w:t>Drzewa odwzorowują progi i interakcje, lecz pojedyncze estymatory mają dużą wariancję. Las losowy ogranicza ją przez uśrednianie drzew uczonych na próbach bootstrapowych i losowych podzbiorach cech</w:t>
      </w:r>
      <w:r>
        <w:rPr>
          <w:rStyle w:val="FootnoteReference"/>
        </w:rPr>
        <w:footnoteReference w:id="14"/>
      </w:r>
      <w:r>
        <w:t>. Dekorelacja drzew wzmacnia efekt agregacji, a model nie wymaga liniowości ani standaryzacji. Ograniczeniami są rozproszona interpretacja, niepełne usunięcie wariancji przy zbyt podobnych lub głębokich drzewach oraz możliwość słabszego wykrywania subtelnego sygnału klasy rzadkiej.</w:t>
      </w:r>
    </w:p>
    <w:p w14:paraId="1EF22A10" w14:textId="77777777" w:rsidR="00554BF7" w:rsidRDefault="00000000">
      <w:pPr>
        <w:pStyle w:val="BodyText"/>
      </w:pPr>
      <w:r>
        <w:t>Gradient boosting tworzy model addytywny, w którym kolejne drzewa zmniejszają funkcję straty zgodnie z jej ujemnym gradientem</w:t>
      </w:r>
      <w:r>
        <w:rPr>
          <w:rStyle w:val="FootnoteReference"/>
        </w:rPr>
        <w:footnoteReference w:id="15"/>
      </w:r>
      <w:r>
        <w:t>. Współczynnik uczenia określa wkład kolejnego drzewa, a jego głębokość — złożoność interakcji. Sekwencyjne ograniczanie obciążenia daje dużą elastyczność, ale bez odpowiedniej regularyzacji sprzyja dopasowaniu do szumu.</w:t>
      </w:r>
    </w:p>
    <w:p w14:paraId="4B446D7F" w14:textId="77777777" w:rsidR="00554BF7" w:rsidRDefault="00000000">
      <w:pPr>
        <w:pStyle w:val="BodyText"/>
      </w:pPr>
      <w:r>
        <w:t>Histogramowy gradient boosting grupuje wartości ciągłe w przedziały i wyszukuje podziały na reprezentacji zdyskretyzowanej. Przyspiesza to uczenie i może działać regularizująco, zachowując nieliniowość, interakcje i małą wrażliwość na skalę, kosztem przybliżenia położenia podziału. XGBoost wykorzystuje gradient i krzywiznę straty, a złożoność ogranicza karą za liczbę liści i ich wagi, współczynnikiem uczenia oraz podpróbkowaniem wierszy i kolumn</w:t>
      </w:r>
      <w:r>
        <w:rPr>
          <w:rStyle w:val="FootnoteReference"/>
        </w:rPr>
        <w:footnoteReference w:id="16"/>
      </w:r>
      <w:r>
        <w:t>. Jego siła predykcyjna wiąże się z rozbudowaną przestrzenią współzależnych hiperparametrów i ryzykiem przypadkowego dopasowania konfiguracji do walidacji.</w:t>
      </w:r>
    </w:p>
    <w:p w14:paraId="1B297822" w14:textId="77777777" w:rsidR="00554BF7" w:rsidRDefault="00000000">
      <w:pPr>
        <w:pStyle w:val="BodyText"/>
      </w:pPr>
      <w:r>
        <w:lastRenderedPageBreak/>
        <w:t>MLP składa się z warstw przekształceń afinicznych i nieliniowych funkcji aktywacji. Warstwy ukryte reprezentują interakcje i gładkie nieliniowości, a wyjściowy logit jest przekształcany funkcją sigmoidalną.</w:t>
      </w:r>
    </w:p>
    <w:p w14:paraId="20F25F69" w14:textId="77777777" w:rsidR="00554BF7" w:rsidRDefault="00000000">
      <w:pPr>
        <w:pStyle w:val="BodyText"/>
        <w:keepNext/>
      </w:pPr>
      <w:r>
        <w:t>Parametry uczy się gradientowo przez minimalizację ważonej entropii krzyżowej</w:t>
      </w:r>
      <w:r>
        <w:rPr>
          <w:rStyle w:val="FootnoteReference"/>
        </w:rPr>
        <w:footnoteReference w:id="17"/>
      </w:r>
      <w:r>
        <w:t>:</w:t>
      </w:r>
    </w:p>
    <w:p w14:paraId="0D42F552" w14:textId="77777777" w:rsidR="00554BF7" w:rsidRDefault="00000000">
      <w:pPr>
        <w:keepLines/>
        <w:spacing w:before="100" w:after="100"/>
        <w:ind w:firstLine="0"/>
        <w:jc w:val="center"/>
      </w:pPr>
      <w:r>
        <w:rPr>
          <w:rFonts w:ascii="Cambria Math" w:eastAsia="Cambria Math" w:hAnsi="Cambria Math"/>
          <w:sz w:val="22"/>
        </w:rPr>
        <w:t>ℒ = − Σᵢ wᵢ [ yᵢ log pᵢ + (1 − yᵢ) log(1 − pᵢ) ].</w:t>
      </w:r>
    </w:p>
    <w:p w14:paraId="5CCA0AC7" w14:textId="77777777" w:rsidR="00554BF7" w:rsidRDefault="00000000">
      <w:pPr>
        <w:pStyle w:val="BodyText"/>
      </w:pPr>
      <w:r>
        <w:t>Wagi wᵢ mogą zwiększać znaczenie obserwacji klasy rzadkiej. Elastyczność sieci nie gwarantuje przewagi na umiarkowanie licznych danych tabelarycznych</w:t>
      </w:r>
      <w:r>
        <w:rPr>
          <w:rStyle w:val="FootnoteReference"/>
        </w:rPr>
        <w:footnoteReference w:id="18"/>
      </w:r>
      <w:r>
        <w:t>: wynik zależy od inicjalizacji, architektury, tempa uczenia i regularyzacji wag. Kara wag ogranicza złożoność rozwiązania, a powtarzanie uczenia dla różnych ziaren</w:t>
      </w:r>
      <w:r>
        <w:rPr>
          <w:rStyle w:val="FootnoteReference"/>
        </w:rPr>
        <w:footnoteReference w:id="19"/>
      </w:r>
      <w:r>
        <w:t xml:space="preserve"> pozwala oddzielić jakość modelu od korzystnej inicjalizacji.</w:t>
      </w:r>
    </w:p>
    <w:p w14:paraId="4E0C52C7" w14:textId="77777777" w:rsidR="00554BF7" w:rsidRDefault="00000000">
      <w:pPr>
        <w:keepNext/>
        <w:spacing w:before="120" w:after="80"/>
        <w:ind w:firstLine="0"/>
        <w:jc w:val="center"/>
      </w:pPr>
      <w:r>
        <w:rPr>
          <w:b/>
          <w:sz w:val="22"/>
        </w:rPr>
        <w:t>Tabela 2.1. Klasyczne modele referencyjne i ich role teoretyczne</w:t>
      </w:r>
    </w:p>
    <w:tbl>
      <w:tblPr>
        <w:tblStyle w:val="TableGrid"/>
        <w:tblW w:w="8997" w:type="dxa"/>
        <w:tblInd w:w="75" w:type="dxa"/>
        <w:tblBorders>
          <w:top w:val="single" w:sz="6" w:space="0" w:color="7A8793"/>
          <w:left w:val="single" w:sz="6" w:space="0" w:color="7A8793"/>
          <w:bottom w:val="single" w:sz="6" w:space="0" w:color="7A8793"/>
          <w:right w:val="single" w:sz="6" w:space="0" w:color="7A8793"/>
          <w:insideH w:val="single" w:sz="4" w:space="0" w:color="9AA4AE"/>
          <w:insideV w:val="single" w:sz="4" w:space="0" w:color="9AA4AE"/>
        </w:tblBorders>
        <w:tblLayout w:type="fixed"/>
        <w:tblLook w:val="04A0" w:firstRow="1" w:lastRow="0" w:firstColumn="1" w:lastColumn="0" w:noHBand="0" w:noVBand="1"/>
      </w:tblPr>
      <w:tblGrid>
        <w:gridCol w:w="1856"/>
        <w:gridCol w:w="2249"/>
        <w:gridCol w:w="2193"/>
        <w:gridCol w:w="2699"/>
      </w:tblGrid>
      <w:tr w:rsidR="00554BF7" w14:paraId="6E0176AE" w14:textId="77777777">
        <w:trPr>
          <w:cantSplit/>
          <w:tblHeader/>
        </w:trPr>
        <w:tc>
          <w:tcPr>
            <w:tcW w:w="1856" w:type="dxa"/>
            <w:shd w:val="clear" w:color="auto" w:fill="DCE6F1"/>
            <w:tcMar>
              <w:top w:w="55" w:type="dxa"/>
              <w:left w:w="75" w:type="dxa"/>
              <w:bottom w:w="55" w:type="dxa"/>
              <w:right w:w="75" w:type="dxa"/>
            </w:tcMar>
            <w:vAlign w:val="center"/>
          </w:tcPr>
          <w:p w14:paraId="49D07801" w14:textId="77777777" w:rsidR="00554BF7" w:rsidRDefault="00000000">
            <w:pPr>
              <w:keepNext/>
              <w:keepLines/>
              <w:spacing w:line="240" w:lineRule="auto"/>
              <w:ind w:firstLine="0"/>
              <w:jc w:val="center"/>
            </w:pPr>
            <w:r>
              <w:rPr>
                <w:b/>
                <w:sz w:val="18"/>
              </w:rPr>
              <w:t>Model</w:t>
            </w:r>
          </w:p>
        </w:tc>
        <w:tc>
          <w:tcPr>
            <w:tcW w:w="2249" w:type="dxa"/>
            <w:shd w:val="clear" w:color="auto" w:fill="DCE6F1"/>
            <w:tcMar>
              <w:top w:w="55" w:type="dxa"/>
              <w:left w:w="75" w:type="dxa"/>
              <w:bottom w:w="55" w:type="dxa"/>
              <w:right w:w="75" w:type="dxa"/>
            </w:tcMar>
            <w:vAlign w:val="center"/>
          </w:tcPr>
          <w:p w14:paraId="5D98A4CA" w14:textId="77777777" w:rsidR="00554BF7" w:rsidRDefault="00000000">
            <w:pPr>
              <w:keepNext/>
              <w:keepLines/>
              <w:spacing w:line="240" w:lineRule="auto"/>
              <w:ind w:firstLine="0"/>
              <w:jc w:val="center"/>
            </w:pPr>
            <w:r>
              <w:rPr>
                <w:b/>
                <w:sz w:val="18"/>
              </w:rPr>
              <w:t>Główna idea</w:t>
            </w:r>
          </w:p>
        </w:tc>
        <w:tc>
          <w:tcPr>
            <w:tcW w:w="2193" w:type="dxa"/>
            <w:shd w:val="clear" w:color="auto" w:fill="DCE6F1"/>
            <w:tcMar>
              <w:top w:w="55" w:type="dxa"/>
              <w:left w:w="75" w:type="dxa"/>
              <w:bottom w:w="55" w:type="dxa"/>
              <w:right w:w="75" w:type="dxa"/>
            </w:tcMar>
            <w:vAlign w:val="center"/>
          </w:tcPr>
          <w:p w14:paraId="43F6BED6" w14:textId="77777777" w:rsidR="00554BF7" w:rsidRDefault="00000000">
            <w:pPr>
              <w:keepNext/>
              <w:keepLines/>
              <w:spacing w:line="240" w:lineRule="auto"/>
              <w:ind w:firstLine="0"/>
              <w:jc w:val="center"/>
            </w:pPr>
            <w:r>
              <w:rPr>
                <w:b/>
                <w:sz w:val="18"/>
              </w:rPr>
              <w:t>Rola porównawcza</w:t>
            </w:r>
          </w:p>
        </w:tc>
        <w:tc>
          <w:tcPr>
            <w:tcW w:w="2699" w:type="dxa"/>
            <w:shd w:val="clear" w:color="auto" w:fill="DCE6F1"/>
            <w:tcMar>
              <w:top w:w="55" w:type="dxa"/>
              <w:left w:w="75" w:type="dxa"/>
              <w:bottom w:w="55" w:type="dxa"/>
              <w:right w:w="75" w:type="dxa"/>
            </w:tcMar>
            <w:vAlign w:val="center"/>
          </w:tcPr>
          <w:p w14:paraId="6C03EF55" w14:textId="77777777" w:rsidR="00554BF7" w:rsidRDefault="00000000">
            <w:pPr>
              <w:keepNext/>
              <w:keepLines/>
              <w:spacing w:line="240" w:lineRule="auto"/>
              <w:ind w:firstLine="0"/>
              <w:jc w:val="center"/>
            </w:pPr>
            <w:r>
              <w:rPr>
                <w:b/>
                <w:sz w:val="18"/>
              </w:rPr>
              <w:t>Najważniejsze ograniczenie</w:t>
            </w:r>
          </w:p>
        </w:tc>
      </w:tr>
      <w:tr w:rsidR="00554BF7" w14:paraId="41C57B5E" w14:textId="77777777">
        <w:trPr>
          <w:cantSplit/>
        </w:trPr>
        <w:tc>
          <w:tcPr>
            <w:tcW w:w="1856" w:type="dxa"/>
            <w:tcMar>
              <w:top w:w="55" w:type="dxa"/>
              <w:left w:w="75" w:type="dxa"/>
              <w:bottom w:w="55" w:type="dxa"/>
              <w:right w:w="75" w:type="dxa"/>
            </w:tcMar>
          </w:tcPr>
          <w:p w14:paraId="4932D324" w14:textId="77777777" w:rsidR="00554BF7" w:rsidRDefault="00000000">
            <w:pPr>
              <w:keepNext/>
              <w:keepLines/>
              <w:spacing w:line="240" w:lineRule="auto"/>
              <w:ind w:firstLine="0"/>
              <w:jc w:val="left"/>
            </w:pPr>
            <w:r>
              <w:rPr>
                <w:b/>
                <w:sz w:val="18"/>
              </w:rPr>
              <w:t>Dummy prior</w:t>
            </w:r>
          </w:p>
        </w:tc>
        <w:tc>
          <w:tcPr>
            <w:tcW w:w="2249" w:type="dxa"/>
            <w:tcMar>
              <w:top w:w="55" w:type="dxa"/>
              <w:left w:w="75" w:type="dxa"/>
              <w:bottom w:w="55" w:type="dxa"/>
              <w:right w:w="75" w:type="dxa"/>
            </w:tcMar>
          </w:tcPr>
          <w:p w14:paraId="3DDAF581" w14:textId="77777777" w:rsidR="00554BF7" w:rsidRDefault="00000000">
            <w:pPr>
              <w:keepNext/>
              <w:keepLines/>
              <w:spacing w:line="240" w:lineRule="auto"/>
              <w:ind w:firstLine="0"/>
              <w:jc w:val="left"/>
            </w:pPr>
            <w:r>
              <w:rPr>
                <w:sz w:val="18"/>
              </w:rPr>
              <w:t>Stały wynik równy częstości klasy dodatniej</w:t>
            </w:r>
          </w:p>
        </w:tc>
        <w:tc>
          <w:tcPr>
            <w:tcW w:w="2193" w:type="dxa"/>
            <w:tcMar>
              <w:top w:w="55" w:type="dxa"/>
              <w:left w:w="75" w:type="dxa"/>
              <w:bottom w:w="55" w:type="dxa"/>
              <w:right w:w="75" w:type="dxa"/>
            </w:tcMar>
          </w:tcPr>
          <w:p w14:paraId="14091F25" w14:textId="77777777" w:rsidR="00554BF7" w:rsidRDefault="00000000">
            <w:pPr>
              <w:keepNext/>
              <w:keepLines/>
              <w:spacing w:line="240" w:lineRule="auto"/>
              <w:ind w:firstLine="0"/>
              <w:jc w:val="left"/>
            </w:pPr>
            <w:r>
              <w:rPr>
                <w:sz w:val="18"/>
              </w:rPr>
              <w:t>Kontrola wartości informacji zawartej w cechach</w:t>
            </w:r>
          </w:p>
        </w:tc>
        <w:tc>
          <w:tcPr>
            <w:tcW w:w="2699" w:type="dxa"/>
            <w:tcMar>
              <w:top w:w="55" w:type="dxa"/>
              <w:left w:w="75" w:type="dxa"/>
              <w:bottom w:w="55" w:type="dxa"/>
              <w:right w:w="75" w:type="dxa"/>
            </w:tcMar>
          </w:tcPr>
          <w:p w14:paraId="3CFC9AA5" w14:textId="77777777" w:rsidR="00554BF7" w:rsidRDefault="00000000">
            <w:pPr>
              <w:keepNext/>
              <w:keepLines/>
              <w:spacing w:line="240" w:lineRule="auto"/>
              <w:ind w:firstLine="0"/>
              <w:jc w:val="left"/>
            </w:pPr>
            <w:r>
              <w:rPr>
                <w:sz w:val="18"/>
              </w:rPr>
              <w:t>Brak zdolności rankingowej</w:t>
            </w:r>
          </w:p>
        </w:tc>
      </w:tr>
      <w:tr w:rsidR="00554BF7" w14:paraId="35E15B2B" w14:textId="77777777">
        <w:trPr>
          <w:cantSplit/>
        </w:trPr>
        <w:tc>
          <w:tcPr>
            <w:tcW w:w="1856" w:type="dxa"/>
            <w:shd w:val="clear" w:color="auto" w:fill="F5F7FA"/>
            <w:tcMar>
              <w:top w:w="55" w:type="dxa"/>
              <w:left w:w="75" w:type="dxa"/>
              <w:bottom w:w="55" w:type="dxa"/>
              <w:right w:w="75" w:type="dxa"/>
            </w:tcMar>
          </w:tcPr>
          <w:p w14:paraId="501A8D4E" w14:textId="77777777" w:rsidR="00554BF7" w:rsidRDefault="00000000">
            <w:pPr>
              <w:keepNext/>
              <w:keepLines/>
              <w:spacing w:line="240" w:lineRule="auto"/>
              <w:ind w:firstLine="0"/>
              <w:jc w:val="left"/>
            </w:pPr>
            <w:r>
              <w:rPr>
                <w:b/>
                <w:sz w:val="18"/>
              </w:rPr>
              <w:t>Regresja logistyczna L2</w:t>
            </w:r>
          </w:p>
        </w:tc>
        <w:tc>
          <w:tcPr>
            <w:tcW w:w="2249" w:type="dxa"/>
            <w:shd w:val="clear" w:color="auto" w:fill="F5F7FA"/>
            <w:tcMar>
              <w:top w:w="55" w:type="dxa"/>
              <w:left w:w="75" w:type="dxa"/>
              <w:bottom w:w="55" w:type="dxa"/>
              <w:right w:w="75" w:type="dxa"/>
            </w:tcMar>
          </w:tcPr>
          <w:p w14:paraId="25ABC01B" w14:textId="77777777" w:rsidR="00554BF7" w:rsidRDefault="00000000">
            <w:pPr>
              <w:keepNext/>
              <w:keepLines/>
              <w:spacing w:line="240" w:lineRule="auto"/>
              <w:ind w:firstLine="0"/>
              <w:jc w:val="left"/>
            </w:pPr>
            <w:r>
              <w:rPr>
                <w:sz w:val="18"/>
              </w:rPr>
              <w:t>Liniowy logit z kurczeniem współczynników</w:t>
            </w:r>
          </w:p>
        </w:tc>
        <w:tc>
          <w:tcPr>
            <w:tcW w:w="2193" w:type="dxa"/>
            <w:shd w:val="clear" w:color="auto" w:fill="F5F7FA"/>
            <w:tcMar>
              <w:top w:w="55" w:type="dxa"/>
              <w:left w:w="75" w:type="dxa"/>
              <w:bottom w:w="55" w:type="dxa"/>
              <w:right w:w="75" w:type="dxa"/>
            </w:tcMar>
          </w:tcPr>
          <w:p w14:paraId="48F58C52" w14:textId="77777777" w:rsidR="00554BF7" w:rsidRDefault="00000000">
            <w:pPr>
              <w:keepNext/>
              <w:keepLines/>
              <w:spacing w:line="240" w:lineRule="auto"/>
              <w:ind w:firstLine="0"/>
              <w:jc w:val="left"/>
            </w:pPr>
            <w:r>
              <w:rPr>
                <w:sz w:val="18"/>
              </w:rPr>
              <w:t>Stabilny i przejrzysty punkt odniesienia</w:t>
            </w:r>
          </w:p>
        </w:tc>
        <w:tc>
          <w:tcPr>
            <w:tcW w:w="2699" w:type="dxa"/>
            <w:shd w:val="clear" w:color="auto" w:fill="F5F7FA"/>
            <w:tcMar>
              <w:top w:w="55" w:type="dxa"/>
              <w:left w:w="75" w:type="dxa"/>
              <w:bottom w:w="55" w:type="dxa"/>
              <w:right w:w="75" w:type="dxa"/>
            </w:tcMar>
          </w:tcPr>
          <w:p w14:paraId="0F150EB1" w14:textId="77777777" w:rsidR="00554BF7" w:rsidRDefault="00000000">
            <w:pPr>
              <w:keepNext/>
              <w:keepLines/>
              <w:spacing w:line="240" w:lineRule="auto"/>
              <w:ind w:firstLine="0"/>
              <w:jc w:val="left"/>
            </w:pPr>
            <w:r>
              <w:rPr>
                <w:sz w:val="18"/>
              </w:rPr>
              <w:t>Brak automatycznych nieliniowości i interakcji</w:t>
            </w:r>
          </w:p>
        </w:tc>
      </w:tr>
      <w:tr w:rsidR="00554BF7" w14:paraId="7282AE16" w14:textId="77777777">
        <w:trPr>
          <w:cantSplit/>
        </w:trPr>
        <w:tc>
          <w:tcPr>
            <w:tcW w:w="1856" w:type="dxa"/>
            <w:tcMar>
              <w:top w:w="55" w:type="dxa"/>
              <w:left w:w="75" w:type="dxa"/>
              <w:bottom w:w="55" w:type="dxa"/>
              <w:right w:w="75" w:type="dxa"/>
            </w:tcMar>
          </w:tcPr>
          <w:p w14:paraId="2173434F" w14:textId="77777777" w:rsidR="00554BF7" w:rsidRDefault="00000000">
            <w:pPr>
              <w:keepNext/>
              <w:keepLines/>
              <w:spacing w:line="240" w:lineRule="auto"/>
              <w:ind w:firstLine="0"/>
              <w:jc w:val="left"/>
            </w:pPr>
            <w:r>
              <w:rPr>
                <w:b/>
                <w:sz w:val="18"/>
              </w:rPr>
              <w:t>Regresja logistyczna Elastic Net</w:t>
            </w:r>
          </w:p>
        </w:tc>
        <w:tc>
          <w:tcPr>
            <w:tcW w:w="2249" w:type="dxa"/>
            <w:tcMar>
              <w:top w:w="55" w:type="dxa"/>
              <w:left w:w="75" w:type="dxa"/>
              <w:bottom w:w="55" w:type="dxa"/>
              <w:right w:w="75" w:type="dxa"/>
            </w:tcMar>
          </w:tcPr>
          <w:p w14:paraId="5DE9FA80" w14:textId="77777777" w:rsidR="00554BF7" w:rsidRDefault="00000000">
            <w:pPr>
              <w:keepNext/>
              <w:keepLines/>
              <w:spacing w:line="240" w:lineRule="auto"/>
              <w:ind w:firstLine="0"/>
              <w:jc w:val="left"/>
            </w:pPr>
            <w:r>
              <w:rPr>
                <w:sz w:val="18"/>
              </w:rPr>
              <w:t>Połączenie kar L1 i L2</w:t>
            </w:r>
          </w:p>
        </w:tc>
        <w:tc>
          <w:tcPr>
            <w:tcW w:w="2193" w:type="dxa"/>
            <w:tcMar>
              <w:top w:w="55" w:type="dxa"/>
              <w:left w:w="75" w:type="dxa"/>
              <w:bottom w:w="55" w:type="dxa"/>
              <w:right w:w="75" w:type="dxa"/>
            </w:tcMar>
          </w:tcPr>
          <w:p w14:paraId="743BE14E" w14:textId="77777777" w:rsidR="00554BF7" w:rsidRDefault="00000000">
            <w:pPr>
              <w:keepNext/>
              <w:keepLines/>
              <w:spacing w:line="240" w:lineRule="auto"/>
              <w:ind w:firstLine="0"/>
              <w:jc w:val="left"/>
            </w:pPr>
            <w:r>
              <w:rPr>
                <w:sz w:val="18"/>
              </w:rPr>
              <w:t>Model liniowy z osadzoną selekcją cech</w:t>
            </w:r>
          </w:p>
        </w:tc>
        <w:tc>
          <w:tcPr>
            <w:tcW w:w="2699" w:type="dxa"/>
            <w:tcMar>
              <w:top w:w="55" w:type="dxa"/>
              <w:left w:w="75" w:type="dxa"/>
              <w:bottom w:w="55" w:type="dxa"/>
              <w:right w:w="75" w:type="dxa"/>
            </w:tcMar>
          </w:tcPr>
          <w:p w14:paraId="383F6140" w14:textId="77777777" w:rsidR="00554BF7" w:rsidRDefault="00000000">
            <w:pPr>
              <w:keepNext/>
              <w:keepLines/>
              <w:spacing w:line="240" w:lineRule="auto"/>
              <w:ind w:firstLine="0"/>
              <w:jc w:val="left"/>
            </w:pPr>
            <w:r>
              <w:rPr>
                <w:sz w:val="18"/>
              </w:rPr>
              <w:t>Niestabilność wyboru w grupach skorelowanych cech</w:t>
            </w:r>
          </w:p>
        </w:tc>
      </w:tr>
      <w:tr w:rsidR="00554BF7" w14:paraId="02D2044D" w14:textId="77777777">
        <w:trPr>
          <w:cantSplit/>
        </w:trPr>
        <w:tc>
          <w:tcPr>
            <w:tcW w:w="1856" w:type="dxa"/>
            <w:shd w:val="clear" w:color="auto" w:fill="F5F7FA"/>
            <w:tcMar>
              <w:top w:w="55" w:type="dxa"/>
              <w:left w:w="75" w:type="dxa"/>
              <w:bottom w:w="55" w:type="dxa"/>
              <w:right w:w="75" w:type="dxa"/>
            </w:tcMar>
          </w:tcPr>
          <w:p w14:paraId="1A5D7A08" w14:textId="77777777" w:rsidR="00554BF7" w:rsidRDefault="00000000">
            <w:pPr>
              <w:keepNext/>
              <w:keepLines/>
              <w:spacing w:line="240" w:lineRule="auto"/>
              <w:ind w:firstLine="0"/>
              <w:jc w:val="left"/>
            </w:pPr>
            <w:r>
              <w:rPr>
                <w:b/>
                <w:sz w:val="18"/>
              </w:rPr>
              <w:t>SVM RBF</w:t>
            </w:r>
          </w:p>
        </w:tc>
        <w:tc>
          <w:tcPr>
            <w:tcW w:w="2249" w:type="dxa"/>
            <w:shd w:val="clear" w:color="auto" w:fill="F5F7FA"/>
            <w:tcMar>
              <w:top w:w="55" w:type="dxa"/>
              <w:left w:w="75" w:type="dxa"/>
              <w:bottom w:w="55" w:type="dxa"/>
              <w:right w:w="75" w:type="dxa"/>
            </w:tcMar>
          </w:tcPr>
          <w:p w14:paraId="0F1F37F0" w14:textId="77777777" w:rsidR="00554BF7" w:rsidRDefault="00000000">
            <w:pPr>
              <w:keepNext/>
              <w:keepLines/>
              <w:spacing w:line="240" w:lineRule="auto"/>
              <w:ind w:firstLine="0"/>
              <w:jc w:val="left"/>
            </w:pPr>
            <w:r>
              <w:rPr>
                <w:sz w:val="18"/>
              </w:rPr>
              <w:t>Maksymalizacja marginesu w przestrzeni jądrowej</w:t>
            </w:r>
          </w:p>
        </w:tc>
        <w:tc>
          <w:tcPr>
            <w:tcW w:w="2193" w:type="dxa"/>
            <w:shd w:val="clear" w:color="auto" w:fill="F5F7FA"/>
            <w:tcMar>
              <w:top w:w="55" w:type="dxa"/>
              <w:left w:w="75" w:type="dxa"/>
              <w:bottom w:w="55" w:type="dxa"/>
              <w:right w:w="75" w:type="dxa"/>
            </w:tcMar>
          </w:tcPr>
          <w:p w14:paraId="3BB19A0D" w14:textId="77777777" w:rsidR="00554BF7" w:rsidRDefault="00000000">
            <w:pPr>
              <w:keepNext/>
              <w:keepLines/>
              <w:spacing w:line="240" w:lineRule="auto"/>
              <w:ind w:firstLine="0"/>
              <w:jc w:val="left"/>
            </w:pPr>
            <w:r>
              <w:rPr>
                <w:sz w:val="18"/>
              </w:rPr>
              <w:t>Elastyczna nieliniowa granica decyzyjna</w:t>
            </w:r>
          </w:p>
        </w:tc>
        <w:tc>
          <w:tcPr>
            <w:tcW w:w="2699" w:type="dxa"/>
            <w:shd w:val="clear" w:color="auto" w:fill="F5F7FA"/>
            <w:tcMar>
              <w:top w:w="55" w:type="dxa"/>
              <w:left w:w="75" w:type="dxa"/>
              <w:bottom w:w="55" w:type="dxa"/>
              <w:right w:w="75" w:type="dxa"/>
            </w:tcMar>
          </w:tcPr>
          <w:p w14:paraId="276FB07A" w14:textId="77777777" w:rsidR="00554BF7" w:rsidRDefault="00000000">
            <w:pPr>
              <w:keepNext/>
              <w:keepLines/>
              <w:spacing w:line="240" w:lineRule="auto"/>
              <w:ind w:firstLine="0"/>
              <w:jc w:val="left"/>
            </w:pPr>
            <w:r>
              <w:rPr>
                <w:sz w:val="18"/>
              </w:rPr>
              <w:t>Silna zależność od skali i hiperparametrów; brak natywnej probabilistyki</w:t>
            </w:r>
          </w:p>
        </w:tc>
      </w:tr>
      <w:tr w:rsidR="00554BF7" w14:paraId="6C9583B4" w14:textId="77777777">
        <w:trPr>
          <w:cantSplit/>
        </w:trPr>
        <w:tc>
          <w:tcPr>
            <w:tcW w:w="1856" w:type="dxa"/>
            <w:tcMar>
              <w:top w:w="55" w:type="dxa"/>
              <w:left w:w="75" w:type="dxa"/>
              <w:bottom w:w="55" w:type="dxa"/>
              <w:right w:w="75" w:type="dxa"/>
            </w:tcMar>
          </w:tcPr>
          <w:p w14:paraId="4DFBB87E" w14:textId="77777777" w:rsidR="00554BF7" w:rsidRDefault="00000000">
            <w:pPr>
              <w:keepNext/>
              <w:keepLines/>
              <w:spacing w:line="240" w:lineRule="auto"/>
              <w:ind w:firstLine="0"/>
              <w:jc w:val="left"/>
            </w:pPr>
            <w:r>
              <w:rPr>
                <w:b/>
                <w:sz w:val="18"/>
              </w:rPr>
              <w:t>Random Forest</w:t>
            </w:r>
          </w:p>
        </w:tc>
        <w:tc>
          <w:tcPr>
            <w:tcW w:w="2249" w:type="dxa"/>
            <w:tcMar>
              <w:top w:w="55" w:type="dxa"/>
              <w:left w:w="75" w:type="dxa"/>
              <w:bottom w:w="55" w:type="dxa"/>
              <w:right w:w="75" w:type="dxa"/>
            </w:tcMar>
          </w:tcPr>
          <w:p w14:paraId="4CE18E4B" w14:textId="77777777" w:rsidR="00554BF7" w:rsidRDefault="00000000">
            <w:pPr>
              <w:keepNext/>
              <w:keepLines/>
              <w:spacing w:line="240" w:lineRule="auto"/>
              <w:ind w:firstLine="0"/>
              <w:jc w:val="left"/>
            </w:pPr>
            <w:r>
              <w:rPr>
                <w:sz w:val="18"/>
              </w:rPr>
              <w:t>Agregacja zrandomizowanych drzew</w:t>
            </w:r>
          </w:p>
        </w:tc>
        <w:tc>
          <w:tcPr>
            <w:tcW w:w="2193" w:type="dxa"/>
            <w:tcMar>
              <w:top w:w="55" w:type="dxa"/>
              <w:left w:w="75" w:type="dxa"/>
              <w:bottom w:w="55" w:type="dxa"/>
              <w:right w:w="75" w:type="dxa"/>
            </w:tcMar>
          </w:tcPr>
          <w:p w14:paraId="041CBFE5" w14:textId="77777777" w:rsidR="00554BF7" w:rsidRDefault="00000000">
            <w:pPr>
              <w:keepNext/>
              <w:keepLines/>
              <w:spacing w:line="240" w:lineRule="auto"/>
              <w:ind w:firstLine="0"/>
              <w:jc w:val="left"/>
            </w:pPr>
            <w:r>
              <w:rPr>
                <w:sz w:val="18"/>
              </w:rPr>
              <w:t>Nieliniowy model o ograniczonej wariancji</w:t>
            </w:r>
          </w:p>
        </w:tc>
        <w:tc>
          <w:tcPr>
            <w:tcW w:w="2699" w:type="dxa"/>
            <w:tcMar>
              <w:top w:w="55" w:type="dxa"/>
              <w:left w:w="75" w:type="dxa"/>
              <w:bottom w:w="55" w:type="dxa"/>
              <w:right w:w="75" w:type="dxa"/>
            </w:tcMar>
          </w:tcPr>
          <w:p w14:paraId="5DFA7634" w14:textId="77777777" w:rsidR="00554BF7" w:rsidRDefault="00000000">
            <w:pPr>
              <w:keepNext/>
              <w:keepLines/>
              <w:spacing w:line="240" w:lineRule="auto"/>
              <w:ind w:firstLine="0"/>
              <w:jc w:val="left"/>
            </w:pPr>
            <w:r>
              <w:rPr>
                <w:sz w:val="18"/>
              </w:rPr>
              <w:t>Rozproszona interpretacja i możliwa utrata czułości na rzadką klasę</w:t>
            </w:r>
          </w:p>
        </w:tc>
      </w:tr>
      <w:tr w:rsidR="00554BF7" w14:paraId="365F0630" w14:textId="77777777">
        <w:trPr>
          <w:cantSplit/>
        </w:trPr>
        <w:tc>
          <w:tcPr>
            <w:tcW w:w="1856" w:type="dxa"/>
            <w:shd w:val="clear" w:color="auto" w:fill="F5F7FA"/>
            <w:tcMar>
              <w:top w:w="55" w:type="dxa"/>
              <w:left w:w="75" w:type="dxa"/>
              <w:bottom w:w="55" w:type="dxa"/>
              <w:right w:w="75" w:type="dxa"/>
            </w:tcMar>
          </w:tcPr>
          <w:p w14:paraId="3EEA6FED" w14:textId="77777777" w:rsidR="00554BF7" w:rsidRDefault="00000000">
            <w:pPr>
              <w:keepNext/>
              <w:keepLines/>
              <w:spacing w:line="240" w:lineRule="auto"/>
              <w:ind w:firstLine="0"/>
              <w:jc w:val="left"/>
            </w:pPr>
            <w:r>
              <w:rPr>
                <w:b/>
                <w:sz w:val="18"/>
              </w:rPr>
              <w:t>HistGradientBoosting</w:t>
            </w:r>
          </w:p>
        </w:tc>
        <w:tc>
          <w:tcPr>
            <w:tcW w:w="2249" w:type="dxa"/>
            <w:shd w:val="clear" w:color="auto" w:fill="F5F7FA"/>
            <w:tcMar>
              <w:top w:w="55" w:type="dxa"/>
              <w:left w:w="75" w:type="dxa"/>
              <w:bottom w:w="55" w:type="dxa"/>
              <w:right w:w="75" w:type="dxa"/>
            </w:tcMar>
          </w:tcPr>
          <w:p w14:paraId="42D4A15A" w14:textId="77777777" w:rsidR="00554BF7" w:rsidRDefault="00000000">
            <w:pPr>
              <w:keepNext/>
              <w:keepLines/>
              <w:spacing w:line="240" w:lineRule="auto"/>
              <w:ind w:firstLine="0"/>
              <w:jc w:val="left"/>
            </w:pPr>
            <w:r>
              <w:rPr>
                <w:sz w:val="18"/>
              </w:rPr>
              <w:t>Sekwencyjne drzewa uczone na histogramach</w:t>
            </w:r>
          </w:p>
        </w:tc>
        <w:tc>
          <w:tcPr>
            <w:tcW w:w="2193" w:type="dxa"/>
            <w:shd w:val="clear" w:color="auto" w:fill="F5F7FA"/>
            <w:tcMar>
              <w:top w:w="55" w:type="dxa"/>
              <w:left w:w="75" w:type="dxa"/>
              <w:bottom w:w="55" w:type="dxa"/>
              <w:right w:w="75" w:type="dxa"/>
            </w:tcMar>
          </w:tcPr>
          <w:p w14:paraId="723ED3C2" w14:textId="77777777" w:rsidR="00554BF7" w:rsidRDefault="00000000">
            <w:pPr>
              <w:keepNext/>
              <w:keepLines/>
              <w:spacing w:line="240" w:lineRule="auto"/>
              <w:ind w:firstLine="0"/>
              <w:jc w:val="left"/>
            </w:pPr>
            <w:r>
              <w:rPr>
                <w:sz w:val="18"/>
              </w:rPr>
              <w:t>Wydajny model wzmacniany dla danych tabelarycznych</w:t>
            </w:r>
          </w:p>
        </w:tc>
        <w:tc>
          <w:tcPr>
            <w:tcW w:w="2699" w:type="dxa"/>
            <w:shd w:val="clear" w:color="auto" w:fill="F5F7FA"/>
            <w:tcMar>
              <w:top w:w="55" w:type="dxa"/>
              <w:left w:w="75" w:type="dxa"/>
              <w:bottom w:w="55" w:type="dxa"/>
              <w:right w:w="75" w:type="dxa"/>
            </w:tcMar>
          </w:tcPr>
          <w:p w14:paraId="6F4EA00D" w14:textId="77777777" w:rsidR="00554BF7" w:rsidRDefault="00000000">
            <w:pPr>
              <w:keepNext/>
              <w:keepLines/>
              <w:spacing w:line="240" w:lineRule="auto"/>
              <w:ind w:firstLine="0"/>
              <w:jc w:val="left"/>
            </w:pPr>
            <w:r>
              <w:rPr>
                <w:sz w:val="18"/>
              </w:rPr>
              <w:t>Wrażliwość na regularyzację i liczbę iteracji</w:t>
            </w:r>
          </w:p>
        </w:tc>
      </w:tr>
      <w:tr w:rsidR="00554BF7" w14:paraId="0214EFB1" w14:textId="77777777">
        <w:trPr>
          <w:cantSplit/>
        </w:trPr>
        <w:tc>
          <w:tcPr>
            <w:tcW w:w="1856" w:type="dxa"/>
            <w:tcMar>
              <w:top w:w="55" w:type="dxa"/>
              <w:left w:w="75" w:type="dxa"/>
              <w:bottom w:w="55" w:type="dxa"/>
              <w:right w:w="75" w:type="dxa"/>
            </w:tcMar>
          </w:tcPr>
          <w:p w14:paraId="767D35D4" w14:textId="77777777" w:rsidR="00554BF7" w:rsidRDefault="00000000">
            <w:pPr>
              <w:keepNext/>
              <w:keepLines/>
              <w:spacing w:line="240" w:lineRule="auto"/>
              <w:ind w:firstLine="0"/>
              <w:jc w:val="left"/>
            </w:pPr>
            <w:r>
              <w:rPr>
                <w:b/>
                <w:sz w:val="18"/>
              </w:rPr>
              <w:t>XGBoost</w:t>
            </w:r>
          </w:p>
        </w:tc>
        <w:tc>
          <w:tcPr>
            <w:tcW w:w="2249" w:type="dxa"/>
            <w:tcMar>
              <w:top w:w="55" w:type="dxa"/>
              <w:left w:w="75" w:type="dxa"/>
              <w:bottom w:w="55" w:type="dxa"/>
              <w:right w:w="75" w:type="dxa"/>
            </w:tcMar>
          </w:tcPr>
          <w:p w14:paraId="3C86F06A" w14:textId="77777777" w:rsidR="00554BF7" w:rsidRDefault="00000000">
            <w:pPr>
              <w:keepNext/>
              <w:keepLines/>
              <w:spacing w:line="240" w:lineRule="auto"/>
              <w:ind w:firstLine="0"/>
              <w:jc w:val="left"/>
            </w:pPr>
            <w:r>
              <w:rPr>
                <w:sz w:val="18"/>
              </w:rPr>
              <w:t>Regularizowany boosting drugiego rzędu</w:t>
            </w:r>
          </w:p>
        </w:tc>
        <w:tc>
          <w:tcPr>
            <w:tcW w:w="2193" w:type="dxa"/>
            <w:tcMar>
              <w:top w:w="55" w:type="dxa"/>
              <w:left w:w="75" w:type="dxa"/>
              <w:bottom w:w="55" w:type="dxa"/>
              <w:right w:w="75" w:type="dxa"/>
            </w:tcMar>
          </w:tcPr>
          <w:p w14:paraId="1FC1E9A7" w14:textId="77777777" w:rsidR="00554BF7" w:rsidRDefault="00000000">
            <w:pPr>
              <w:keepNext/>
              <w:keepLines/>
              <w:spacing w:line="240" w:lineRule="auto"/>
              <w:ind w:firstLine="0"/>
              <w:jc w:val="left"/>
            </w:pPr>
            <w:r>
              <w:rPr>
                <w:sz w:val="18"/>
              </w:rPr>
              <w:t>Silny, elastyczny benchmark drzewiasty</w:t>
            </w:r>
          </w:p>
        </w:tc>
        <w:tc>
          <w:tcPr>
            <w:tcW w:w="2699" w:type="dxa"/>
            <w:tcMar>
              <w:top w:w="55" w:type="dxa"/>
              <w:left w:w="75" w:type="dxa"/>
              <w:bottom w:w="55" w:type="dxa"/>
              <w:right w:w="75" w:type="dxa"/>
            </w:tcMar>
          </w:tcPr>
          <w:p w14:paraId="6D2D68A8" w14:textId="77777777" w:rsidR="00554BF7" w:rsidRDefault="00000000">
            <w:pPr>
              <w:keepNext/>
              <w:keepLines/>
              <w:spacing w:line="240" w:lineRule="auto"/>
              <w:ind w:firstLine="0"/>
              <w:jc w:val="left"/>
            </w:pPr>
            <w:r>
              <w:rPr>
                <w:sz w:val="18"/>
              </w:rPr>
              <w:t>Rozbudowana przestrzeń hiperparametrów</w:t>
            </w:r>
          </w:p>
        </w:tc>
      </w:tr>
      <w:tr w:rsidR="00554BF7" w14:paraId="02DF2064" w14:textId="77777777">
        <w:trPr>
          <w:cantSplit/>
        </w:trPr>
        <w:tc>
          <w:tcPr>
            <w:tcW w:w="1856" w:type="dxa"/>
            <w:shd w:val="clear" w:color="auto" w:fill="F5F7FA"/>
            <w:tcMar>
              <w:top w:w="55" w:type="dxa"/>
              <w:left w:w="75" w:type="dxa"/>
              <w:bottom w:w="55" w:type="dxa"/>
              <w:right w:w="75" w:type="dxa"/>
            </w:tcMar>
          </w:tcPr>
          <w:p w14:paraId="783C1A1C" w14:textId="77777777" w:rsidR="00554BF7" w:rsidRDefault="00000000">
            <w:pPr>
              <w:keepNext/>
              <w:keepLines/>
              <w:spacing w:line="240" w:lineRule="auto"/>
              <w:ind w:firstLine="0"/>
              <w:jc w:val="left"/>
            </w:pPr>
            <w:r>
              <w:rPr>
                <w:b/>
                <w:sz w:val="18"/>
              </w:rPr>
              <w:t>MLP</w:t>
            </w:r>
          </w:p>
        </w:tc>
        <w:tc>
          <w:tcPr>
            <w:tcW w:w="2249" w:type="dxa"/>
            <w:shd w:val="clear" w:color="auto" w:fill="F5F7FA"/>
            <w:tcMar>
              <w:top w:w="55" w:type="dxa"/>
              <w:left w:w="75" w:type="dxa"/>
              <w:bottom w:w="55" w:type="dxa"/>
              <w:right w:w="75" w:type="dxa"/>
            </w:tcMar>
          </w:tcPr>
          <w:p w14:paraId="34C2A8F3" w14:textId="77777777" w:rsidR="00554BF7" w:rsidRDefault="00000000">
            <w:pPr>
              <w:keepNext/>
              <w:keepLines/>
              <w:spacing w:line="240" w:lineRule="auto"/>
              <w:ind w:firstLine="0"/>
              <w:jc w:val="left"/>
            </w:pPr>
            <w:r>
              <w:rPr>
                <w:sz w:val="18"/>
              </w:rPr>
              <w:t>Warstwowa kompozycja transformacji nieliniowych</w:t>
            </w:r>
          </w:p>
        </w:tc>
        <w:tc>
          <w:tcPr>
            <w:tcW w:w="2193" w:type="dxa"/>
            <w:shd w:val="clear" w:color="auto" w:fill="F5F7FA"/>
            <w:tcMar>
              <w:top w:w="55" w:type="dxa"/>
              <w:left w:w="75" w:type="dxa"/>
              <w:bottom w:w="55" w:type="dxa"/>
              <w:right w:w="75" w:type="dxa"/>
            </w:tcMar>
          </w:tcPr>
          <w:p w14:paraId="2AD83796" w14:textId="77777777" w:rsidR="00554BF7" w:rsidRDefault="00000000">
            <w:pPr>
              <w:keepNext/>
              <w:keepLines/>
              <w:spacing w:line="240" w:lineRule="auto"/>
              <w:ind w:firstLine="0"/>
              <w:jc w:val="left"/>
            </w:pPr>
            <w:r>
              <w:rPr>
                <w:sz w:val="18"/>
              </w:rPr>
              <w:t>Klasyczny neuronowy punkt odniesienia</w:t>
            </w:r>
          </w:p>
        </w:tc>
        <w:tc>
          <w:tcPr>
            <w:tcW w:w="2699" w:type="dxa"/>
            <w:shd w:val="clear" w:color="auto" w:fill="F5F7FA"/>
            <w:tcMar>
              <w:top w:w="55" w:type="dxa"/>
              <w:left w:w="75" w:type="dxa"/>
              <w:bottom w:w="55" w:type="dxa"/>
              <w:right w:w="75" w:type="dxa"/>
            </w:tcMar>
          </w:tcPr>
          <w:p w14:paraId="43D95001" w14:textId="77777777" w:rsidR="00554BF7" w:rsidRDefault="00000000">
            <w:pPr>
              <w:keepNext/>
              <w:keepLines/>
              <w:spacing w:line="240" w:lineRule="auto"/>
              <w:ind w:firstLine="0"/>
              <w:jc w:val="left"/>
            </w:pPr>
            <w:r>
              <w:rPr>
                <w:sz w:val="18"/>
              </w:rPr>
              <w:t>Wariancja optymalizacji i ryzyko nadmiernego dopasowania</w:t>
            </w:r>
          </w:p>
        </w:tc>
      </w:tr>
    </w:tbl>
    <w:p w14:paraId="44EA50A1" w14:textId="77777777" w:rsidR="00554BF7" w:rsidRDefault="00000000">
      <w:pPr>
        <w:keepLines/>
        <w:spacing w:before="40" w:after="120" w:line="240" w:lineRule="auto"/>
        <w:ind w:firstLine="0"/>
        <w:jc w:val="left"/>
      </w:pPr>
      <w:r>
        <w:rPr>
          <w:i/>
          <w:sz w:val="18"/>
        </w:rPr>
        <w:t>Źródło: opracowanie własne.</w:t>
      </w:r>
    </w:p>
    <w:p w14:paraId="6C240216" w14:textId="77777777" w:rsidR="00554BF7" w:rsidRDefault="00000000">
      <w:pPr>
        <w:pStyle w:val="BodyText"/>
      </w:pPr>
      <w:r>
        <w:t>Modele tworzą drabinę od reguły bez cech, przez modele liniowe i jądrowe, po zespoły drzew oraz sieć neuronową. Większa złożoność nie przesądza o lepszej generalizacji</w:t>
      </w:r>
      <w:r>
        <w:rPr>
          <w:rStyle w:val="FootnoteReference"/>
        </w:rPr>
        <w:footnoteReference w:id="20"/>
      </w:r>
      <w:r>
        <w:t>, dlatego ich porównanie ma sens przy identycznym zakresie informacji, schemacie walidacji i zestawie metryk.</w:t>
      </w:r>
    </w:p>
    <w:p w14:paraId="3C70EF6B" w14:textId="77777777" w:rsidR="00554BF7" w:rsidRDefault="00000000">
      <w:pPr>
        <w:pStyle w:val="Heading1"/>
      </w:pPr>
      <w:r>
        <w:lastRenderedPageBreak/>
        <w:t>2.3. Selekcja cech, redukcja wymiaru, ocena i interpretowalność modeli</w:t>
      </w:r>
    </w:p>
    <w:p w14:paraId="539DA53A" w14:textId="77777777" w:rsidR="00554BF7" w:rsidRDefault="00000000">
      <w:pPr>
        <w:pStyle w:val="BodyText"/>
      </w:pPr>
      <w:r>
        <w:t>Selekcja cech ogranicza liczbę zmiennych wejściowych, a redukcja wymiaru zastępuje je mniejszym zbiorem nowych zmiennych. Oba podejścia mogą ograniczać wariancję, koszt obliczeń i szum, lecz selekcja zachowuje znaczenie cech, podczas gdy redukcja tworzy ich kombinacje</w:t>
      </w:r>
      <w:r>
        <w:rPr>
          <w:rStyle w:val="FootnoteReference"/>
        </w:rPr>
        <w:footnoteReference w:id="21"/>
      </w:r>
      <w:r>
        <w:t>. Mechanizmy te należy rozdzielać, aby nie przypisywać modelowi korzyści wynikającej z reprezentacji.</w:t>
      </w:r>
    </w:p>
    <w:p w14:paraId="61D8753D" w14:textId="77777777" w:rsidR="00554BF7" w:rsidRDefault="00000000">
      <w:pPr>
        <w:pStyle w:val="BodyText"/>
      </w:pPr>
      <w:r>
        <w:t>Przy niewielkim, ekonomicznie uzasadnionym zbiorze zmiennych właściwa jest selekcja a priori: cechy grupuje się w bloki informacji i porównuje na zagnieżdżonych zestawach. Pozwala to ocenić przyrost wartości predykcyjnej kolejnych klas sygnałów bez wykorzystywania przyszłych wyników do ustalania wejść</w:t>
      </w:r>
      <w:r>
        <w:rPr>
          <w:rStyle w:val="FootnoteReference"/>
        </w:rPr>
        <w:footnoteReference w:id="22"/>
      </w:r>
      <w:r>
        <w:t>. Elastic Net realizuje natomiast selekcję osadzoną, zerując część współczynników podczas optymalizacji</w:t>
      </w:r>
      <w:r>
        <w:rPr>
          <w:rStyle w:val="FootnoteReference"/>
        </w:rPr>
        <w:footnoteReference w:id="23"/>
      </w:r>
      <w:r>
        <w:t>. Wybrany zestaw zależy od kary, korelacji i próby, dlatego może opisywać oszczędną reprezentację liniową, lecz nie powinien retrospektywnie wyznaczać wejść dla innych modeli ocenianych na tych samych danych.</w:t>
      </w:r>
    </w:p>
    <w:p w14:paraId="481696D4" w14:textId="77777777" w:rsidR="00554BF7" w:rsidRDefault="00000000">
      <w:pPr>
        <w:pStyle w:val="BodyText"/>
        <w:keepNext/>
      </w:pPr>
      <w:r>
        <w:t>Analiza głównych składowych (PCA) jest liniową metodą redukcji wymiaru. Po wycentrowaniu danych kolejne składowe wskazują ortogonalne kierunki o malejącej maksymalnej wariancji</w:t>
      </w:r>
      <w:r>
        <w:rPr>
          <w:rStyle w:val="FootnoteReference"/>
        </w:rPr>
        <w:footnoteReference w:id="24"/>
      </w:r>
      <w:r>
        <w:t>. Dla macierzy X, macierzy kowariancji S, wektorów własnych vₖ i wartości własnych λₖ wynik obserwacji na k-tej składowej wynosi:</w:t>
      </w:r>
    </w:p>
    <w:p w14:paraId="25A50B8C" w14:textId="77777777" w:rsidR="00554BF7" w:rsidRDefault="00000000">
      <w:pPr>
        <w:keepLines/>
        <w:spacing w:before="100" w:after="100"/>
        <w:ind w:firstLine="0"/>
        <w:jc w:val="center"/>
      </w:pPr>
      <w:r>
        <w:rPr>
          <w:rFonts w:ascii="Cambria Math" w:eastAsia="Cambria Math" w:hAnsi="Cambria Math"/>
          <w:sz w:val="22"/>
        </w:rPr>
        <w:t>zₖ = Xvₖ,     Svₖ = λₖvₖ.</w:t>
      </w:r>
    </w:p>
    <w:p w14:paraId="47B8CD1B" w14:textId="77777777" w:rsidR="00554BF7" w:rsidRDefault="00000000">
      <w:pPr>
        <w:pStyle w:val="BodyText"/>
      </w:pPr>
      <w:r>
        <w:t>Wartość własna określa wariancję przenoszoną przez składową, a jej udział w sumie wartości własnych — część wariancji wyjaśnionej. Dobór K komponentów równoważy kompresję i utratę informacji, przy czym duża wariancja nie oznacza dużej użyteczności predykcyjnej. Ponieważ PCA maksymalizuje wariancję, wymaga standaryzacji; inaczej dominują cechy o większej skali. Przy brakach działa po imputacji, a wskaźniki braków mogą sprawić, że komponenty opisują również wzorzec raportowania.</w:t>
      </w:r>
    </w:p>
    <w:p w14:paraId="17A15715" w14:textId="77777777" w:rsidR="00554BF7" w:rsidRDefault="00000000">
      <w:pPr>
        <w:pStyle w:val="BodyText"/>
      </w:pPr>
      <w:r>
        <w:t xml:space="preserve">Ładunki określają udział zmiennych w komponentach. Ich wartość bezwzględna wskazuje siłę udziału, a znak — orientację względem pozostałych cech. Znak całej składowej </w:t>
      </w:r>
      <w:r>
        <w:lastRenderedPageBreak/>
        <w:t>jest umowny, dlatego interpretacja powinna dotyczyć grup cech o zgodnych lub przeciwnych ładunkach, a nie samego znaku komponentu.</w:t>
      </w:r>
    </w:p>
    <w:p w14:paraId="2396850A" w14:textId="77777777" w:rsidR="00554BF7" w:rsidRDefault="00000000">
      <w:pPr>
        <w:pStyle w:val="BodyText"/>
      </w:pPr>
      <w:r>
        <w:t>PCA, podobnie jak imputację i skalowanie, dopasowuje się wyłącznie na części uczącej; w każdym podziale walidacyjnym cały potok oraz wybór liczby komponentów muszą być odtwarzane od początku</w:t>
      </w:r>
      <w:r>
        <w:rPr>
          <w:rStyle w:val="FootnoteReference"/>
        </w:rPr>
        <w:footnoteReference w:id="25"/>
      </w:r>
      <w:r>
        <w:t>. Model wykorzystujący niskowymiarową reprezentację PCA należy porównywać z modelami kontrolnymi otrzymującymi te same komponenty. Takie dopasowanie reprezentacyjne oddziela korzyść z kompresji i preprocessingu od korzyści wynikającej z mechanizmu uczenia.</w:t>
      </w:r>
    </w:p>
    <w:p w14:paraId="607AA440" w14:textId="77777777" w:rsidR="00554BF7" w:rsidRDefault="00000000">
      <w:pPr>
        <w:pStyle w:val="BodyText"/>
      </w:pPr>
      <w:r>
        <w:t>Dobór modelu obejmuje rodzinę, blok cech, regularyzację i hiperparametry. Każda konfiguracja sprawdzona na walidacji zużywa część zawartej w niej informacji, więc rozległe, adaptacyjne przeszukiwanie zwiększa ryzyko wyboru przypadkowo korzystnego wariantu</w:t>
      </w:r>
      <w:r>
        <w:rPr>
          <w:rStyle w:val="FootnoteReference"/>
        </w:rPr>
        <w:footnoteReference w:id="26"/>
      </w:r>
      <w:r>
        <w:t>. Ogranicza je wcześniej określona lista kandydatów i uszczegóławianie tylko obiecujących obszarów. W danych czasowych konfiguracje porównuje się na identycznych podziałach rozwijającego się okna. Predykcje z kolejnych okresów tworzą wektor out-of-fold (OOF), w którym każda obserwacja pochodzi z modelu nieuczonego na niej ani na danych z jej przyszłości. Metryka całego wektora opisuje badaną populację, natomiast wyniki okresowe — stabilność w czasie.</w:t>
      </w:r>
    </w:p>
    <w:p w14:paraId="5BFC205D" w14:textId="77777777" w:rsidR="00554BF7" w:rsidRDefault="00000000">
      <w:pPr>
        <w:pStyle w:val="BodyText"/>
      </w:pPr>
      <w:r>
        <w:t>W modelach losowych wynik zależy również od ziarna inicjalizacji lub losowania obserwacji i cech</w:t>
      </w:r>
      <w:r>
        <w:rPr>
          <w:rStyle w:val="FootnoteReference"/>
        </w:rPr>
        <w:footnoteReference w:id="27"/>
      </w:r>
      <w:r>
        <w:t>. Uśrednienie surowych predykcji kilku powtórzeń ogranicza wpływ pojedynczej realizacji, a rozrzut między ziarnami mierzy stabilność algorytmu.</w:t>
      </w:r>
    </w:p>
    <w:p w14:paraId="727265F3" w14:textId="77777777" w:rsidR="00554BF7" w:rsidRDefault="00000000">
      <w:pPr>
        <w:pStyle w:val="BodyText"/>
      </w:pPr>
      <w:r>
        <w:t>Ocena powinna rozróżniać dyskryminację, kalibrację prawdopodobieństw i skutki decyzji progowej, ponieważ żadna pojedyncza miara nie opisuje wszystkich tych własności.</w:t>
      </w:r>
    </w:p>
    <w:p w14:paraId="0E323C3A" w14:textId="77777777" w:rsidR="00554BF7" w:rsidRDefault="00000000">
      <w:pPr>
        <w:pStyle w:val="BodyText"/>
      </w:pPr>
      <w:proofErr w:type="spellStart"/>
      <w:r>
        <w:t>Average</w:t>
      </w:r>
      <w:proofErr w:type="spellEnd"/>
      <w:r>
        <w:t xml:space="preserve"> Precision (AP), określana operacyjnie jako PR-AUC, sumuje precyzję ważoną przyrostami recall i nie jest tożsama z trapezowym polem pod interpolowaną krzywą</w:t>
      </w:r>
      <w:r>
        <w:rPr>
          <w:rStyle w:val="FootnoteReference"/>
        </w:rPr>
        <w:footnoteReference w:id="28"/>
      </w:r>
      <w:r>
        <w:t>. Przy rzadkiej klasie dodatniej ocenia czystość wskazań wraz ze wzrostem odsetka wykrytych przypadków</w:t>
      </w:r>
      <w:r>
        <w:rPr>
          <w:rStyle w:val="FootnoteReference"/>
        </w:rPr>
        <w:footnoteReference w:id="29"/>
      </w:r>
      <w:r>
        <w:t>, a wynik klasyfikatora stałego odpowiada częstości tej klasy.</w:t>
      </w:r>
    </w:p>
    <w:p w14:paraId="383D3BA3" w14:textId="77777777" w:rsidR="00554BF7" w:rsidRDefault="00000000">
      <w:pPr>
        <w:pStyle w:val="BodyText"/>
      </w:pPr>
      <w:r>
        <w:t xml:space="preserve">ROC-AUC jest prawdopodobieństwem, że losowa obserwacja dodatnia otrzyma wyższy wynik niż ujemna, zatem mierzy ranking niezależnie od progu. Przy silnej </w:t>
      </w:r>
      <w:r>
        <w:lastRenderedPageBreak/>
        <w:t>nierównowadze może jednak słabo ujawniać fałszywe alarmy, gdyż false positive rate odnosi je do licznej klasy ujemnej; ROC-AUC uzupełnia więc AP</w:t>
      </w:r>
      <w:r>
        <w:rPr>
          <w:rStyle w:val="FootnoteReference"/>
        </w:rPr>
        <w:footnoteReference w:id="30"/>
      </w:r>
      <w:r>
        <w:t xml:space="preserve">. Precision określa udział trafień wśród wskazań dodatnich, recall — udział wykrytych przypadków dodatnich, a F1 stanowi ich średnią harmoniczną. Miary te zależą od progu. Próg maksymalizujący F1 może nie odpowiadać kosztom błędów, a dostrojony i oceniony na tych samych predykcjach OOF opisuje punkt pracy, nie niezależną przyszłą jakość. Nie powinien zatem zmieniać rankingu ustalonego miarą </w:t>
      </w:r>
      <w:proofErr w:type="spellStart"/>
      <w:r>
        <w:t>bezprogową</w:t>
      </w:r>
      <w:proofErr w:type="spellEnd"/>
      <w:r>
        <w:t>.</w:t>
      </w:r>
    </w:p>
    <w:p w14:paraId="07E1758B" w14:textId="77777777" w:rsidR="009F7559" w:rsidRDefault="009F7559" w:rsidP="009F7559">
      <w:pPr>
        <w:keepNext/>
        <w:spacing w:before="120" w:after="80"/>
        <w:ind w:firstLine="0"/>
        <w:jc w:val="center"/>
      </w:pPr>
      <w:r>
        <w:rPr>
          <w:b/>
          <w:sz w:val="22"/>
        </w:rPr>
        <w:t>Tabela 2.2. Miary oceny klasyfikacji binarnej</w:t>
      </w:r>
    </w:p>
    <w:tbl>
      <w:tblPr>
        <w:tblStyle w:val="TableGrid"/>
        <w:tblW w:w="8997" w:type="dxa"/>
        <w:tblInd w:w="75" w:type="dxa"/>
        <w:tblBorders>
          <w:top w:val="single" w:sz="6" w:space="0" w:color="7A8793"/>
          <w:left w:val="single" w:sz="6" w:space="0" w:color="7A8793"/>
          <w:bottom w:val="single" w:sz="6" w:space="0" w:color="7A8793"/>
          <w:right w:val="single" w:sz="6" w:space="0" w:color="7A8793"/>
          <w:insideH w:val="single" w:sz="4" w:space="0" w:color="9AA4AE"/>
          <w:insideV w:val="single" w:sz="4" w:space="0" w:color="9AA4AE"/>
        </w:tblBorders>
        <w:tblLayout w:type="fixed"/>
        <w:tblLook w:val="04A0" w:firstRow="1" w:lastRow="0" w:firstColumn="1" w:lastColumn="0" w:noHBand="0" w:noVBand="1"/>
      </w:tblPr>
      <w:tblGrid>
        <w:gridCol w:w="1739"/>
        <w:gridCol w:w="4259"/>
        <w:gridCol w:w="2999"/>
      </w:tblGrid>
      <w:tr w:rsidR="009F7559" w14:paraId="3EEE3B02" w14:textId="77777777" w:rsidTr="00A12D9B">
        <w:trPr>
          <w:cantSplit/>
          <w:tblHeader/>
        </w:trPr>
        <w:tc>
          <w:tcPr>
            <w:tcW w:w="1739" w:type="dxa"/>
            <w:shd w:val="clear" w:color="auto" w:fill="DCE6F1"/>
            <w:tcMar>
              <w:top w:w="55" w:type="dxa"/>
              <w:left w:w="75" w:type="dxa"/>
              <w:bottom w:w="55" w:type="dxa"/>
              <w:right w:w="75" w:type="dxa"/>
            </w:tcMar>
            <w:vAlign w:val="center"/>
          </w:tcPr>
          <w:p w14:paraId="6F670CDE" w14:textId="77777777" w:rsidR="009F7559" w:rsidRDefault="009F7559" w:rsidP="00A12D9B">
            <w:pPr>
              <w:keepNext/>
              <w:keepLines/>
              <w:spacing w:line="240" w:lineRule="auto"/>
              <w:ind w:firstLine="0"/>
              <w:jc w:val="center"/>
            </w:pPr>
            <w:r>
              <w:rPr>
                <w:b/>
                <w:sz w:val="18"/>
              </w:rPr>
              <w:t>Miara</w:t>
            </w:r>
          </w:p>
        </w:tc>
        <w:tc>
          <w:tcPr>
            <w:tcW w:w="4259" w:type="dxa"/>
            <w:shd w:val="clear" w:color="auto" w:fill="DCE6F1"/>
            <w:tcMar>
              <w:top w:w="55" w:type="dxa"/>
              <w:left w:w="75" w:type="dxa"/>
              <w:bottom w:w="55" w:type="dxa"/>
              <w:right w:w="75" w:type="dxa"/>
            </w:tcMar>
            <w:vAlign w:val="center"/>
          </w:tcPr>
          <w:p w14:paraId="5F658367" w14:textId="77777777" w:rsidR="009F7559" w:rsidRDefault="009F7559" w:rsidP="00A12D9B">
            <w:pPr>
              <w:keepNext/>
              <w:keepLines/>
              <w:spacing w:line="240" w:lineRule="auto"/>
              <w:ind w:firstLine="0"/>
              <w:jc w:val="center"/>
            </w:pPr>
            <w:r>
              <w:rPr>
                <w:b/>
                <w:sz w:val="18"/>
              </w:rPr>
              <w:t>Definicja lub interpretacja</w:t>
            </w:r>
          </w:p>
        </w:tc>
        <w:tc>
          <w:tcPr>
            <w:tcW w:w="2999" w:type="dxa"/>
            <w:shd w:val="clear" w:color="auto" w:fill="DCE6F1"/>
            <w:tcMar>
              <w:top w:w="55" w:type="dxa"/>
              <w:left w:w="75" w:type="dxa"/>
              <w:bottom w:w="55" w:type="dxa"/>
              <w:right w:w="75" w:type="dxa"/>
            </w:tcMar>
            <w:vAlign w:val="center"/>
          </w:tcPr>
          <w:p w14:paraId="546EEFB1" w14:textId="77777777" w:rsidR="009F7559" w:rsidRDefault="009F7559" w:rsidP="00A12D9B">
            <w:pPr>
              <w:keepNext/>
              <w:keepLines/>
              <w:spacing w:line="240" w:lineRule="auto"/>
              <w:ind w:firstLine="0"/>
              <w:jc w:val="center"/>
            </w:pPr>
            <w:r>
              <w:rPr>
                <w:b/>
                <w:sz w:val="18"/>
              </w:rPr>
              <w:t>Znaczenie przy nierównowadze klas</w:t>
            </w:r>
          </w:p>
        </w:tc>
      </w:tr>
      <w:tr w:rsidR="009F7559" w14:paraId="65D7E0D5" w14:textId="77777777" w:rsidTr="00A12D9B">
        <w:trPr>
          <w:cantSplit/>
        </w:trPr>
        <w:tc>
          <w:tcPr>
            <w:tcW w:w="1739" w:type="dxa"/>
            <w:tcMar>
              <w:top w:w="55" w:type="dxa"/>
              <w:left w:w="75" w:type="dxa"/>
              <w:bottom w:w="55" w:type="dxa"/>
              <w:right w:w="75" w:type="dxa"/>
            </w:tcMar>
          </w:tcPr>
          <w:p w14:paraId="545A902B" w14:textId="77777777" w:rsidR="009F7559" w:rsidRDefault="009F7559" w:rsidP="00A12D9B">
            <w:pPr>
              <w:keepNext/>
              <w:keepLines/>
              <w:spacing w:line="240" w:lineRule="auto"/>
              <w:ind w:firstLine="0"/>
              <w:jc w:val="left"/>
            </w:pPr>
            <w:proofErr w:type="spellStart"/>
            <w:r>
              <w:rPr>
                <w:b/>
                <w:sz w:val="18"/>
              </w:rPr>
              <w:t>Average</w:t>
            </w:r>
            <w:proofErr w:type="spellEnd"/>
            <w:r>
              <w:rPr>
                <w:b/>
                <w:sz w:val="18"/>
              </w:rPr>
              <w:t xml:space="preserve"> Precision (AP)</w:t>
            </w:r>
          </w:p>
        </w:tc>
        <w:tc>
          <w:tcPr>
            <w:tcW w:w="4259" w:type="dxa"/>
            <w:tcMar>
              <w:top w:w="55" w:type="dxa"/>
              <w:left w:w="75" w:type="dxa"/>
              <w:bottom w:w="55" w:type="dxa"/>
              <w:right w:w="75" w:type="dxa"/>
            </w:tcMar>
          </w:tcPr>
          <w:p w14:paraId="3159B6A9" w14:textId="77777777" w:rsidR="009F7559" w:rsidRDefault="009F7559" w:rsidP="00A12D9B">
            <w:pPr>
              <w:keepNext/>
              <w:keepLines/>
              <w:spacing w:line="240" w:lineRule="auto"/>
              <w:ind w:firstLine="0"/>
              <w:jc w:val="left"/>
            </w:pPr>
            <w:r>
              <w:rPr>
                <w:sz w:val="18"/>
              </w:rPr>
              <w:t>AP = Σₙ (Rₙ − Rₙ₋</w:t>
            </w:r>
            <w:proofErr w:type="gramStart"/>
            <w:r>
              <w:rPr>
                <w:sz w:val="18"/>
              </w:rPr>
              <w:t>₁)P</w:t>
            </w:r>
            <w:proofErr w:type="gramEnd"/>
            <w:r>
              <w:rPr>
                <w:sz w:val="18"/>
              </w:rPr>
              <w:t>ₙ; średnia precyzja ważona przyrostami czułości</w:t>
            </w:r>
          </w:p>
        </w:tc>
        <w:tc>
          <w:tcPr>
            <w:tcW w:w="2999" w:type="dxa"/>
            <w:tcMar>
              <w:top w:w="55" w:type="dxa"/>
              <w:left w:w="75" w:type="dxa"/>
              <w:bottom w:w="55" w:type="dxa"/>
              <w:right w:w="75" w:type="dxa"/>
            </w:tcMar>
          </w:tcPr>
          <w:p w14:paraId="59C14098" w14:textId="77777777" w:rsidR="009F7559" w:rsidRDefault="009F7559" w:rsidP="00A12D9B">
            <w:pPr>
              <w:keepNext/>
              <w:keepLines/>
              <w:spacing w:line="240" w:lineRule="auto"/>
              <w:ind w:firstLine="0"/>
              <w:jc w:val="left"/>
            </w:pPr>
            <w:r>
              <w:rPr>
                <w:sz w:val="18"/>
              </w:rPr>
              <w:t>Koncentruje się na jakości rankingu klasy dodatniej; poziom bazowy zależy od jej częstości</w:t>
            </w:r>
          </w:p>
        </w:tc>
      </w:tr>
      <w:tr w:rsidR="009F7559" w14:paraId="1E9D8ED7" w14:textId="77777777" w:rsidTr="00A12D9B">
        <w:trPr>
          <w:cantSplit/>
        </w:trPr>
        <w:tc>
          <w:tcPr>
            <w:tcW w:w="1739" w:type="dxa"/>
            <w:shd w:val="clear" w:color="auto" w:fill="F5F7FA"/>
            <w:tcMar>
              <w:top w:w="55" w:type="dxa"/>
              <w:left w:w="75" w:type="dxa"/>
              <w:bottom w:w="55" w:type="dxa"/>
              <w:right w:w="75" w:type="dxa"/>
            </w:tcMar>
          </w:tcPr>
          <w:p w14:paraId="25D92E83" w14:textId="77777777" w:rsidR="009F7559" w:rsidRDefault="009F7559" w:rsidP="00A12D9B">
            <w:pPr>
              <w:keepNext/>
              <w:keepLines/>
              <w:spacing w:line="240" w:lineRule="auto"/>
              <w:ind w:firstLine="0"/>
              <w:jc w:val="left"/>
            </w:pPr>
            <w:r>
              <w:rPr>
                <w:b/>
                <w:sz w:val="18"/>
              </w:rPr>
              <w:t>ROC-AUC</w:t>
            </w:r>
          </w:p>
        </w:tc>
        <w:tc>
          <w:tcPr>
            <w:tcW w:w="4259" w:type="dxa"/>
            <w:shd w:val="clear" w:color="auto" w:fill="F5F7FA"/>
            <w:tcMar>
              <w:top w:w="55" w:type="dxa"/>
              <w:left w:w="75" w:type="dxa"/>
              <w:bottom w:w="55" w:type="dxa"/>
              <w:right w:w="75" w:type="dxa"/>
            </w:tcMar>
          </w:tcPr>
          <w:p w14:paraId="17DA16FB" w14:textId="77777777" w:rsidR="009F7559" w:rsidRDefault="009F7559" w:rsidP="00A12D9B">
            <w:pPr>
              <w:keepNext/>
              <w:keepLines/>
              <w:spacing w:line="240" w:lineRule="auto"/>
              <w:ind w:firstLine="0"/>
              <w:jc w:val="left"/>
            </w:pPr>
            <w:r>
              <w:rPr>
                <w:sz w:val="18"/>
              </w:rPr>
              <w:t>Prawdopodobieństwo, że losowa obserwacja dodatnia otrzyma wyższy wynik niż ujemna</w:t>
            </w:r>
          </w:p>
        </w:tc>
        <w:tc>
          <w:tcPr>
            <w:tcW w:w="2999" w:type="dxa"/>
            <w:shd w:val="clear" w:color="auto" w:fill="F5F7FA"/>
            <w:tcMar>
              <w:top w:w="55" w:type="dxa"/>
              <w:left w:w="75" w:type="dxa"/>
              <w:bottom w:w="55" w:type="dxa"/>
              <w:right w:w="75" w:type="dxa"/>
            </w:tcMar>
          </w:tcPr>
          <w:p w14:paraId="24B06849" w14:textId="77777777" w:rsidR="009F7559" w:rsidRDefault="009F7559" w:rsidP="00A12D9B">
            <w:pPr>
              <w:keepNext/>
              <w:keepLines/>
              <w:spacing w:line="240" w:lineRule="auto"/>
              <w:ind w:firstLine="0"/>
              <w:jc w:val="left"/>
            </w:pPr>
            <w:r>
              <w:rPr>
                <w:sz w:val="18"/>
              </w:rPr>
              <w:t>Niezależna od progu, lecz może wyglądać korzystnie przy licznej klasie ujemnej</w:t>
            </w:r>
          </w:p>
        </w:tc>
      </w:tr>
      <w:tr w:rsidR="009F7559" w14:paraId="66D4458A" w14:textId="77777777" w:rsidTr="00A12D9B">
        <w:trPr>
          <w:cantSplit/>
        </w:trPr>
        <w:tc>
          <w:tcPr>
            <w:tcW w:w="1739" w:type="dxa"/>
            <w:tcMar>
              <w:top w:w="55" w:type="dxa"/>
              <w:left w:w="75" w:type="dxa"/>
              <w:bottom w:w="55" w:type="dxa"/>
              <w:right w:w="75" w:type="dxa"/>
            </w:tcMar>
          </w:tcPr>
          <w:p w14:paraId="1D7D8B2D" w14:textId="77777777" w:rsidR="009F7559" w:rsidRDefault="009F7559" w:rsidP="00A12D9B">
            <w:pPr>
              <w:keepNext/>
              <w:keepLines/>
              <w:spacing w:line="240" w:lineRule="auto"/>
              <w:ind w:firstLine="0"/>
              <w:jc w:val="left"/>
            </w:pPr>
            <w:r>
              <w:rPr>
                <w:b/>
                <w:sz w:val="18"/>
              </w:rPr>
              <w:t>Precision</w:t>
            </w:r>
          </w:p>
        </w:tc>
        <w:tc>
          <w:tcPr>
            <w:tcW w:w="4259" w:type="dxa"/>
            <w:tcMar>
              <w:top w:w="55" w:type="dxa"/>
              <w:left w:w="75" w:type="dxa"/>
              <w:bottom w:w="55" w:type="dxa"/>
              <w:right w:w="75" w:type="dxa"/>
            </w:tcMar>
          </w:tcPr>
          <w:p w14:paraId="7450F23F" w14:textId="77777777" w:rsidR="009F7559" w:rsidRDefault="009F7559" w:rsidP="00A12D9B">
            <w:pPr>
              <w:keepNext/>
              <w:keepLines/>
              <w:spacing w:line="240" w:lineRule="auto"/>
              <w:ind w:firstLine="0"/>
              <w:jc w:val="left"/>
            </w:pPr>
            <w:r>
              <w:rPr>
                <w:sz w:val="18"/>
              </w:rPr>
              <w:t>TP/(TP+FP); udział trafień dodatnich wśród wskazań dodatnich</w:t>
            </w:r>
          </w:p>
        </w:tc>
        <w:tc>
          <w:tcPr>
            <w:tcW w:w="2999" w:type="dxa"/>
            <w:tcMar>
              <w:top w:w="55" w:type="dxa"/>
              <w:left w:w="75" w:type="dxa"/>
              <w:bottom w:w="55" w:type="dxa"/>
              <w:right w:w="75" w:type="dxa"/>
            </w:tcMar>
          </w:tcPr>
          <w:p w14:paraId="606A3DDE" w14:textId="77777777" w:rsidR="009F7559" w:rsidRDefault="009F7559" w:rsidP="00A12D9B">
            <w:pPr>
              <w:keepNext/>
              <w:keepLines/>
              <w:spacing w:line="240" w:lineRule="auto"/>
              <w:ind w:firstLine="0"/>
              <w:jc w:val="left"/>
            </w:pPr>
            <w:r>
              <w:rPr>
                <w:sz w:val="18"/>
              </w:rPr>
              <w:t>Opisuje wiarygodność alarmu i reaguje na częstość klasy</w:t>
            </w:r>
          </w:p>
        </w:tc>
      </w:tr>
      <w:tr w:rsidR="009F7559" w14:paraId="3632F707" w14:textId="77777777" w:rsidTr="00A12D9B">
        <w:trPr>
          <w:cantSplit/>
        </w:trPr>
        <w:tc>
          <w:tcPr>
            <w:tcW w:w="1739" w:type="dxa"/>
            <w:shd w:val="clear" w:color="auto" w:fill="F5F7FA"/>
            <w:tcMar>
              <w:top w:w="55" w:type="dxa"/>
              <w:left w:w="75" w:type="dxa"/>
              <w:bottom w:w="55" w:type="dxa"/>
              <w:right w:w="75" w:type="dxa"/>
            </w:tcMar>
          </w:tcPr>
          <w:p w14:paraId="787C9B71" w14:textId="77777777" w:rsidR="009F7559" w:rsidRDefault="009F7559" w:rsidP="00A12D9B">
            <w:pPr>
              <w:keepNext/>
              <w:keepLines/>
              <w:spacing w:line="240" w:lineRule="auto"/>
              <w:ind w:firstLine="0"/>
              <w:jc w:val="left"/>
            </w:pPr>
            <w:r>
              <w:rPr>
                <w:b/>
                <w:sz w:val="18"/>
              </w:rPr>
              <w:t>Recall</w:t>
            </w:r>
          </w:p>
        </w:tc>
        <w:tc>
          <w:tcPr>
            <w:tcW w:w="4259" w:type="dxa"/>
            <w:shd w:val="clear" w:color="auto" w:fill="F5F7FA"/>
            <w:tcMar>
              <w:top w:w="55" w:type="dxa"/>
              <w:left w:w="75" w:type="dxa"/>
              <w:bottom w:w="55" w:type="dxa"/>
              <w:right w:w="75" w:type="dxa"/>
            </w:tcMar>
          </w:tcPr>
          <w:p w14:paraId="5F6435DC" w14:textId="77777777" w:rsidR="009F7559" w:rsidRDefault="009F7559" w:rsidP="00A12D9B">
            <w:pPr>
              <w:keepNext/>
              <w:keepLines/>
              <w:spacing w:line="240" w:lineRule="auto"/>
              <w:ind w:firstLine="0"/>
              <w:jc w:val="left"/>
            </w:pPr>
            <w:r>
              <w:rPr>
                <w:sz w:val="18"/>
              </w:rPr>
              <w:t>TP/(TP+FN); udział wykrytych przypadków dodatnich</w:t>
            </w:r>
          </w:p>
        </w:tc>
        <w:tc>
          <w:tcPr>
            <w:tcW w:w="2999" w:type="dxa"/>
            <w:shd w:val="clear" w:color="auto" w:fill="F5F7FA"/>
            <w:tcMar>
              <w:top w:w="55" w:type="dxa"/>
              <w:left w:w="75" w:type="dxa"/>
              <w:bottom w:w="55" w:type="dxa"/>
              <w:right w:w="75" w:type="dxa"/>
            </w:tcMar>
          </w:tcPr>
          <w:p w14:paraId="227323D9" w14:textId="77777777" w:rsidR="009F7559" w:rsidRDefault="009F7559" w:rsidP="00A12D9B">
            <w:pPr>
              <w:keepNext/>
              <w:keepLines/>
              <w:spacing w:line="240" w:lineRule="auto"/>
              <w:ind w:firstLine="0"/>
              <w:jc w:val="left"/>
            </w:pPr>
            <w:r>
              <w:rPr>
                <w:sz w:val="18"/>
              </w:rPr>
              <w:t>Opisuje zdolność wykrywania rzadkiego zdarzenia</w:t>
            </w:r>
          </w:p>
        </w:tc>
      </w:tr>
      <w:tr w:rsidR="009F7559" w14:paraId="02491E48" w14:textId="77777777" w:rsidTr="00A12D9B">
        <w:trPr>
          <w:cantSplit/>
        </w:trPr>
        <w:tc>
          <w:tcPr>
            <w:tcW w:w="1739" w:type="dxa"/>
            <w:tcMar>
              <w:top w:w="55" w:type="dxa"/>
              <w:left w:w="75" w:type="dxa"/>
              <w:bottom w:w="55" w:type="dxa"/>
              <w:right w:w="75" w:type="dxa"/>
            </w:tcMar>
          </w:tcPr>
          <w:p w14:paraId="5C3B8E0D" w14:textId="77777777" w:rsidR="009F7559" w:rsidRDefault="009F7559" w:rsidP="00A12D9B">
            <w:pPr>
              <w:keepNext/>
              <w:keepLines/>
              <w:spacing w:line="240" w:lineRule="auto"/>
              <w:ind w:firstLine="0"/>
              <w:jc w:val="left"/>
            </w:pPr>
            <w:r>
              <w:rPr>
                <w:b/>
                <w:sz w:val="18"/>
              </w:rPr>
              <w:t>F1</w:t>
            </w:r>
          </w:p>
        </w:tc>
        <w:tc>
          <w:tcPr>
            <w:tcW w:w="4259" w:type="dxa"/>
            <w:tcMar>
              <w:top w:w="55" w:type="dxa"/>
              <w:left w:w="75" w:type="dxa"/>
              <w:bottom w:w="55" w:type="dxa"/>
              <w:right w:w="75" w:type="dxa"/>
            </w:tcMar>
          </w:tcPr>
          <w:p w14:paraId="73C55FA3" w14:textId="77777777" w:rsidR="009F7559" w:rsidRDefault="009F7559" w:rsidP="00A12D9B">
            <w:pPr>
              <w:keepNext/>
              <w:keepLines/>
              <w:spacing w:line="240" w:lineRule="auto"/>
              <w:ind w:firstLine="0"/>
              <w:jc w:val="left"/>
            </w:pPr>
            <w:r>
              <w:rPr>
                <w:sz w:val="18"/>
              </w:rPr>
              <w:t>2·Precision·Recall/(</w:t>
            </w:r>
            <w:proofErr w:type="spellStart"/>
            <w:r>
              <w:rPr>
                <w:sz w:val="18"/>
              </w:rPr>
              <w:t>Precision+Recall</w:t>
            </w:r>
            <w:proofErr w:type="spellEnd"/>
            <w:r>
              <w:rPr>
                <w:sz w:val="18"/>
              </w:rPr>
              <w:t>)</w:t>
            </w:r>
          </w:p>
        </w:tc>
        <w:tc>
          <w:tcPr>
            <w:tcW w:w="2999" w:type="dxa"/>
            <w:tcMar>
              <w:top w:w="55" w:type="dxa"/>
              <w:left w:w="75" w:type="dxa"/>
              <w:bottom w:w="55" w:type="dxa"/>
              <w:right w:w="75" w:type="dxa"/>
            </w:tcMar>
          </w:tcPr>
          <w:p w14:paraId="75F2E506" w14:textId="77777777" w:rsidR="009F7559" w:rsidRDefault="009F7559" w:rsidP="00A12D9B">
            <w:pPr>
              <w:keepNext/>
              <w:keepLines/>
              <w:spacing w:line="240" w:lineRule="auto"/>
              <w:ind w:firstLine="0"/>
              <w:jc w:val="left"/>
            </w:pPr>
            <w:r>
              <w:rPr>
                <w:sz w:val="18"/>
              </w:rPr>
              <w:t>Równoważy precision i recall dla określonego progu, pomijając prawdziwe negatywy</w:t>
            </w:r>
          </w:p>
        </w:tc>
      </w:tr>
      <w:tr w:rsidR="009F7559" w14:paraId="1C350228" w14:textId="77777777" w:rsidTr="00A12D9B">
        <w:trPr>
          <w:cantSplit/>
        </w:trPr>
        <w:tc>
          <w:tcPr>
            <w:tcW w:w="1739" w:type="dxa"/>
            <w:shd w:val="clear" w:color="auto" w:fill="F5F7FA"/>
            <w:tcMar>
              <w:top w:w="55" w:type="dxa"/>
              <w:left w:w="75" w:type="dxa"/>
              <w:bottom w:w="55" w:type="dxa"/>
              <w:right w:w="75" w:type="dxa"/>
            </w:tcMar>
          </w:tcPr>
          <w:p w14:paraId="4A1B5073" w14:textId="77777777" w:rsidR="009F7559" w:rsidRDefault="009F7559" w:rsidP="00A12D9B">
            <w:pPr>
              <w:keepNext/>
              <w:keepLines/>
              <w:spacing w:line="240" w:lineRule="auto"/>
              <w:ind w:firstLine="0"/>
              <w:jc w:val="left"/>
            </w:pPr>
            <w:proofErr w:type="spellStart"/>
            <w:r>
              <w:rPr>
                <w:b/>
                <w:sz w:val="18"/>
              </w:rPr>
              <w:t>Brier</w:t>
            </w:r>
            <w:proofErr w:type="spellEnd"/>
            <w:r>
              <w:rPr>
                <w:b/>
                <w:sz w:val="18"/>
              </w:rPr>
              <w:t xml:space="preserve"> </w:t>
            </w:r>
            <w:proofErr w:type="spellStart"/>
            <w:r>
              <w:rPr>
                <w:b/>
                <w:sz w:val="18"/>
              </w:rPr>
              <w:t>score</w:t>
            </w:r>
            <w:proofErr w:type="spellEnd"/>
          </w:p>
        </w:tc>
        <w:tc>
          <w:tcPr>
            <w:tcW w:w="4259" w:type="dxa"/>
            <w:shd w:val="clear" w:color="auto" w:fill="F5F7FA"/>
            <w:tcMar>
              <w:top w:w="55" w:type="dxa"/>
              <w:left w:w="75" w:type="dxa"/>
              <w:bottom w:w="55" w:type="dxa"/>
              <w:right w:w="75" w:type="dxa"/>
            </w:tcMar>
          </w:tcPr>
          <w:p w14:paraId="14EA30A3" w14:textId="77777777" w:rsidR="009F7559" w:rsidRDefault="009F7559" w:rsidP="00A12D9B">
            <w:pPr>
              <w:keepNext/>
              <w:keepLines/>
              <w:spacing w:line="240" w:lineRule="auto"/>
              <w:ind w:firstLine="0"/>
              <w:jc w:val="left"/>
            </w:pPr>
            <w:r>
              <w:rPr>
                <w:sz w:val="18"/>
              </w:rPr>
              <w:t>Średnia (pᵢ−</w:t>
            </w:r>
            <w:proofErr w:type="gramStart"/>
            <w:r>
              <w:rPr>
                <w:sz w:val="18"/>
              </w:rPr>
              <w:t>yᵢ)²</w:t>
            </w:r>
            <w:proofErr w:type="gramEnd"/>
          </w:p>
        </w:tc>
        <w:tc>
          <w:tcPr>
            <w:tcW w:w="2999" w:type="dxa"/>
            <w:shd w:val="clear" w:color="auto" w:fill="F5F7FA"/>
            <w:tcMar>
              <w:top w:w="55" w:type="dxa"/>
              <w:left w:w="75" w:type="dxa"/>
              <w:bottom w:w="55" w:type="dxa"/>
              <w:right w:w="75" w:type="dxa"/>
            </w:tcMar>
          </w:tcPr>
          <w:p w14:paraId="7758940F" w14:textId="77777777" w:rsidR="009F7559" w:rsidRDefault="009F7559" w:rsidP="00A12D9B">
            <w:pPr>
              <w:keepNext/>
              <w:keepLines/>
              <w:spacing w:line="240" w:lineRule="auto"/>
              <w:ind w:firstLine="0"/>
              <w:jc w:val="left"/>
            </w:pPr>
            <w:r>
              <w:rPr>
                <w:sz w:val="18"/>
              </w:rPr>
              <w:t>Ocenia błąd probabilistyczny; łączy aspekty kalibracji i rozdzielczości</w:t>
            </w:r>
          </w:p>
        </w:tc>
      </w:tr>
    </w:tbl>
    <w:p w14:paraId="30960F9B" w14:textId="6FDF7641" w:rsidR="009F7559" w:rsidRDefault="009F7559" w:rsidP="009F7559">
      <w:pPr>
        <w:keepLines/>
        <w:spacing w:before="40" w:after="120" w:line="240" w:lineRule="auto"/>
        <w:ind w:firstLine="0"/>
        <w:jc w:val="left"/>
      </w:pPr>
      <w:r>
        <w:rPr>
          <w:i/>
          <w:sz w:val="18"/>
        </w:rPr>
        <w:t>Źródło: opracowanie własne.</w:t>
      </w:r>
    </w:p>
    <w:p w14:paraId="2025A965" w14:textId="77777777" w:rsidR="00554BF7" w:rsidRDefault="00000000">
      <w:pPr>
        <w:pStyle w:val="BodyText"/>
        <w:keepNext/>
      </w:pPr>
      <w:r>
        <w:t>Dobra dyskryminacja nie gwarantuje zgodności prawdopodobieństw z obserwowanymi częstościami</w:t>
      </w:r>
      <w:r>
        <w:rPr>
          <w:rStyle w:val="FootnoteReference"/>
        </w:rPr>
        <w:footnoteReference w:id="31"/>
      </w:r>
      <w:r>
        <w:t>. Metoda Platta kalibruje surowy wynik modelu jednowymiarową regresją logistyczną: zachowuje porządek wyników, lecz zmienia ich skalę na probabilistyczną</w:t>
      </w:r>
      <w:r>
        <w:rPr>
          <w:rStyle w:val="FootnoteReference"/>
        </w:rPr>
        <w:footnoteReference w:id="32"/>
      </w:r>
      <w:r>
        <w:t>. Kalibrator musi być uczony na predykcjach uzyskanych poza próbą uczenia modelu bazowego.</w:t>
      </w:r>
    </w:p>
    <w:p w14:paraId="5FE03E9D" w14:textId="77777777" w:rsidR="00554BF7" w:rsidRDefault="00000000">
      <w:pPr>
        <w:keepLines/>
        <w:spacing w:before="100" w:after="100"/>
        <w:ind w:firstLine="0"/>
        <w:jc w:val="center"/>
      </w:pPr>
      <w:r>
        <w:rPr>
          <w:rFonts w:ascii="Cambria Math" w:eastAsia="Cambria Math" w:hAnsi="Cambria Math"/>
          <w:sz w:val="22"/>
        </w:rPr>
        <w:t>p̂ = 1 / [1 + exp(−(a·s + b))],</w:t>
      </w:r>
    </w:p>
    <w:p w14:paraId="38CEEC58" w14:textId="77777777" w:rsidR="00554BF7" w:rsidRDefault="00000000">
      <w:pPr>
        <w:pStyle w:val="BodyText"/>
        <w:keepNext/>
      </w:pPr>
      <w:r>
        <w:t>gdzie s oznacza surowy wynik, a a i b — parametry kalibracji. Brier score</w:t>
      </w:r>
      <w:r>
        <w:rPr>
          <w:rStyle w:val="FootnoteReference"/>
        </w:rPr>
        <w:footnoteReference w:id="33"/>
      </w:r>
      <w:r>
        <w:t xml:space="preserve"> mierzy średni kwadrat różnicy między prawdopodobieństwem a etykietą:</w:t>
      </w:r>
    </w:p>
    <w:p w14:paraId="754DC79A" w14:textId="77777777" w:rsidR="00554BF7" w:rsidRDefault="00000000">
      <w:pPr>
        <w:keepLines/>
        <w:spacing w:before="100" w:after="100"/>
        <w:ind w:firstLine="0"/>
        <w:jc w:val="center"/>
      </w:pPr>
      <w:r>
        <w:rPr>
          <w:rFonts w:ascii="Cambria Math" w:eastAsia="Cambria Math" w:hAnsi="Cambria Math"/>
          <w:sz w:val="22"/>
        </w:rPr>
        <w:t>BS = (1/n) Σᵢ₌₁ⁿ (p̂ᵢ − yᵢ)².</w:t>
      </w:r>
    </w:p>
    <w:p w14:paraId="43EF64C4" w14:textId="77777777" w:rsidR="00554BF7" w:rsidRDefault="00000000">
      <w:pPr>
        <w:pStyle w:val="BodyText"/>
      </w:pPr>
      <w:r>
        <w:lastRenderedPageBreak/>
        <w:t>Niższy Brier score jest korzystny, ale miara łączy kalibrację i rozdzielczość, dlatego wymaga interpretacji wraz z miarami rankingowymi i oceną kalibracji. Kalibracja nadaje wybranemu modelowi użyteczną skalę prawdopodobieństwa; nie służy do odwracania rankingu rodzin.</w:t>
      </w:r>
    </w:p>
    <w:p w14:paraId="51F99CC7" w14:textId="77777777" w:rsidR="00554BF7" w:rsidRDefault="00000000">
      <w:pPr>
        <w:pStyle w:val="BodyText"/>
      </w:pPr>
      <w:r>
        <w:t>Różnice punktowe nie opisują niepewności. W danych panelowych bootstrap klastrowy losuje całe jednostki, zachowując zależności ich obserwacji w czasie</w:t>
      </w:r>
      <w:r>
        <w:rPr>
          <w:rStyle w:val="FootnoteReference"/>
        </w:rPr>
        <w:footnoteReference w:id="34"/>
      </w:r>
      <w:r>
        <w:t>. Przy porównaniu modeli te same grupy stosuje się do obu zestawów predykcji, dzięki czemu sparowany rozkład różnic jest precyzyjniejszy niż dwa niezależne przedziały. Wnioski pozostają warunkowe względem próby, resamplingu i wybranych konfiguracji; po wcześniejszej selekcji na tych samych danych nie obejmują całej niepewności wyboru</w:t>
      </w:r>
      <w:r>
        <w:rPr>
          <w:rStyle w:val="FootnoteReference"/>
        </w:rPr>
        <w:footnoteReference w:id="35"/>
      </w:r>
      <w:r>
        <w:t>. Odsetek replik z dodatnią różnicą opisuje stabilność przewagi, a nie klasyczną wartość p ani uniwersalną dominację.</w:t>
      </w:r>
    </w:p>
    <w:p w14:paraId="70005582" w14:textId="77777777" w:rsidR="00554BF7" w:rsidRDefault="00000000">
      <w:pPr>
        <w:pStyle w:val="BodyText"/>
      </w:pPr>
      <w:r>
        <w:t>Analizy odporności oceniają wniosek po zmianie pojedynczego założenia, np. usunięciu winsoryzacji lub wskaźników braków, wykorzystaniu kompletnych przypadków, ograniczeniu niekompletnych wierszy albo silniejszym oczyszczeniu z zależności między jednostkami. Są diagnostyką, nie dodatkowym strojeniem, dlatego ich wyniki nie powinny retrospektywnie zmieniać reguły wyboru modelu.</w:t>
      </w:r>
    </w:p>
    <w:p w14:paraId="57DD468C" w14:textId="77777777" w:rsidR="00554BF7" w:rsidRDefault="00000000">
      <w:pPr>
        <w:pStyle w:val="BodyText"/>
      </w:pPr>
      <w:r>
        <w:t>Interpretowalność wyjaśnia sposób przekształcania wejść w predykcję, a nie przyczyny ekonomiczne. Ważność może wynikać z korelacji, zastępowania innej zmiennej lub procesu raportowania, dlatego potrzebne są metody właściwe rodzinom modeli oraz wspólna metoda porównawcza.</w:t>
      </w:r>
    </w:p>
    <w:p w14:paraId="5EE85F78" w14:textId="77777777" w:rsidR="00554BF7" w:rsidRDefault="00000000">
      <w:pPr>
        <w:pStyle w:val="BodyText"/>
      </w:pPr>
      <w:r>
        <w:t>W regresji logistycznej znak współczynnika standaryzowanej cechy określa kierunek związku, a exp(β) — mnożnik szans przy jej wzroście o jedno odchylenie standardowe, przy pozostałych wejściach stałych. Stabilność w czasie i między powtórzeniami pomaga odróżnić trwały kierunek od przypadkowego dopasowania. Wskaźniki braków analizuje się oddzielnie, ponieważ opisują dostępność informacji, nie poziom cechy ekonomicznej.</w:t>
      </w:r>
    </w:p>
    <w:p w14:paraId="13A36D0B" w14:textId="77777777" w:rsidR="00554BF7" w:rsidRDefault="00000000">
      <w:pPr>
        <w:pStyle w:val="BodyText"/>
      </w:pPr>
      <w:r>
        <w:t>Grupowana ważność permutacyjna wspólnie przetasowuje cechę i jej wskaźnik braku, po czym mierzy spadek jakości predykcji, np. AP</w:t>
      </w:r>
      <w:r>
        <w:rPr>
          <w:rStyle w:val="FootnoteReference"/>
        </w:rPr>
        <w:footnoteReference w:id="36"/>
      </w:r>
      <w:r>
        <w:t xml:space="preserve">. Zachowuje to semantyczną całość wejścia i pozwala porównywać wszystkie rodziny modeli. Wynik opisuje zależność jakości od cechy </w:t>
      </w:r>
      <w:r>
        <w:lastRenderedPageBreak/>
        <w:t>w danym rozkładzie, lecz wskutek korelacji może zaniżać znaczenie zmiennych zastępowalnych.</w:t>
      </w:r>
    </w:p>
    <w:p w14:paraId="7F9AE86E" w14:textId="77777777" w:rsidR="00554BF7" w:rsidRDefault="00000000">
      <w:pPr>
        <w:pStyle w:val="BodyText"/>
      </w:pPr>
      <w:r>
        <w:t>SHAP rozkłada odchylenie predykcji zespołu drzew od wartości bazowej na wkłady cech zgodne z aksjomatami Shapleya. TreeSHAP wykorzystuje strukturę drzew, przyspieszając obliczenia</w:t>
      </w:r>
      <w:r>
        <w:rPr>
          <w:rStyle w:val="FootnoteReference"/>
        </w:rPr>
        <w:footnoteReference w:id="37"/>
      </w:r>
      <w:r>
        <w:t>. Wariant interwencyjny odnosi wkład do rozkładu tła i nie zachowuje wszystkich zależności cech skorelowanych; atrybucje objaśniają funkcję modelu, nie efekt interwencji ekonomicznej.</w:t>
      </w:r>
    </w:p>
    <w:p w14:paraId="74D3AEF5" w14:textId="77777777" w:rsidR="00554BF7" w:rsidRDefault="00000000">
      <w:pPr>
        <w:pStyle w:val="BodyText"/>
      </w:pPr>
      <w:r>
        <w:t>Integrated Gradients dla MLP całkuje gradient logitu wzdłuż prostej od punktu bazowego do obserwacji. Suma atrybucji odpowiada różnicy wyników dla obu punktów, zapewniając kompletność</w:t>
      </w:r>
      <w:r>
        <w:rPr>
          <w:rStyle w:val="FootnoteReference"/>
        </w:rPr>
        <w:footnoteReference w:id="38"/>
      </w:r>
      <w:r>
        <w:t>. Wyjaśnienie zależy jednak od punktu odniesienia, a przy skorelowanych cechach ścieżka może przebiegać przez nierealistyczne obszary.</w:t>
      </w:r>
    </w:p>
    <w:p w14:paraId="77EBD587" w14:textId="77777777" w:rsidR="00554BF7" w:rsidRDefault="00000000">
      <w:pPr>
        <w:keepNext/>
        <w:spacing w:before="120" w:after="80"/>
        <w:ind w:firstLine="0"/>
        <w:jc w:val="center"/>
      </w:pPr>
      <w:r>
        <w:rPr>
          <w:b/>
          <w:sz w:val="22"/>
        </w:rPr>
        <w:t>Tabela 2.3. Metody interpretacji odpowiadające rodzinom modeli</w:t>
      </w:r>
    </w:p>
    <w:tbl>
      <w:tblPr>
        <w:tblStyle w:val="TableGrid"/>
        <w:tblW w:w="8997" w:type="dxa"/>
        <w:tblInd w:w="75" w:type="dxa"/>
        <w:tblBorders>
          <w:top w:val="single" w:sz="6" w:space="0" w:color="7A8793"/>
          <w:left w:val="single" w:sz="6" w:space="0" w:color="7A8793"/>
          <w:bottom w:val="single" w:sz="6" w:space="0" w:color="7A8793"/>
          <w:right w:val="single" w:sz="6" w:space="0" w:color="7A8793"/>
          <w:insideH w:val="single" w:sz="4" w:space="0" w:color="9AA4AE"/>
          <w:insideV w:val="single" w:sz="4" w:space="0" w:color="9AA4AE"/>
        </w:tblBorders>
        <w:tblLayout w:type="fixed"/>
        <w:tblLook w:val="04A0" w:firstRow="1" w:lastRow="0" w:firstColumn="1" w:lastColumn="0" w:noHBand="0" w:noVBand="1"/>
      </w:tblPr>
      <w:tblGrid>
        <w:gridCol w:w="1859"/>
        <w:gridCol w:w="2099"/>
        <w:gridCol w:w="2639"/>
        <w:gridCol w:w="2400"/>
      </w:tblGrid>
      <w:tr w:rsidR="00554BF7" w14:paraId="7FB20C34" w14:textId="77777777">
        <w:trPr>
          <w:cantSplit/>
          <w:tblHeader/>
        </w:trPr>
        <w:tc>
          <w:tcPr>
            <w:tcW w:w="1859" w:type="dxa"/>
            <w:shd w:val="clear" w:color="auto" w:fill="DCE6F1"/>
            <w:tcMar>
              <w:top w:w="55" w:type="dxa"/>
              <w:left w:w="75" w:type="dxa"/>
              <w:bottom w:w="55" w:type="dxa"/>
              <w:right w:w="75" w:type="dxa"/>
            </w:tcMar>
            <w:vAlign w:val="center"/>
          </w:tcPr>
          <w:p w14:paraId="2D6B84DE" w14:textId="77777777" w:rsidR="00554BF7" w:rsidRDefault="00000000">
            <w:pPr>
              <w:keepNext/>
              <w:keepLines/>
              <w:spacing w:line="240" w:lineRule="auto"/>
              <w:ind w:firstLine="0"/>
              <w:jc w:val="center"/>
            </w:pPr>
            <w:r>
              <w:rPr>
                <w:b/>
                <w:sz w:val="18"/>
              </w:rPr>
              <w:t>Metoda</w:t>
            </w:r>
          </w:p>
        </w:tc>
        <w:tc>
          <w:tcPr>
            <w:tcW w:w="2099" w:type="dxa"/>
            <w:shd w:val="clear" w:color="auto" w:fill="DCE6F1"/>
            <w:tcMar>
              <w:top w:w="55" w:type="dxa"/>
              <w:left w:w="75" w:type="dxa"/>
              <w:bottom w:w="55" w:type="dxa"/>
              <w:right w:w="75" w:type="dxa"/>
            </w:tcMar>
            <w:vAlign w:val="center"/>
          </w:tcPr>
          <w:p w14:paraId="10D516FD" w14:textId="77777777" w:rsidR="00554BF7" w:rsidRDefault="00000000">
            <w:pPr>
              <w:keepNext/>
              <w:keepLines/>
              <w:spacing w:line="240" w:lineRule="auto"/>
              <w:ind w:firstLine="0"/>
              <w:jc w:val="center"/>
            </w:pPr>
            <w:r>
              <w:rPr>
                <w:b/>
                <w:sz w:val="18"/>
              </w:rPr>
              <w:t>Zakres</w:t>
            </w:r>
          </w:p>
        </w:tc>
        <w:tc>
          <w:tcPr>
            <w:tcW w:w="2639" w:type="dxa"/>
            <w:shd w:val="clear" w:color="auto" w:fill="DCE6F1"/>
            <w:tcMar>
              <w:top w:w="55" w:type="dxa"/>
              <w:left w:w="75" w:type="dxa"/>
              <w:bottom w:w="55" w:type="dxa"/>
              <w:right w:w="75" w:type="dxa"/>
            </w:tcMar>
            <w:vAlign w:val="center"/>
          </w:tcPr>
          <w:p w14:paraId="59DF8F52" w14:textId="77777777" w:rsidR="00554BF7" w:rsidRDefault="00000000">
            <w:pPr>
              <w:keepNext/>
              <w:keepLines/>
              <w:spacing w:line="240" w:lineRule="auto"/>
              <w:ind w:firstLine="0"/>
              <w:jc w:val="center"/>
            </w:pPr>
            <w:r>
              <w:rPr>
                <w:b/>
                <w:sz w:val="18"/>
              </w:rPr>
              <w:t>Przedmiot interpretacji</w:t>
            </w:r>
          </w:p>
        </w:tc>
        <w:tc>
          <w:tcPr>
            <w:tcW w:w="2400" w:type="dxa"/>
            <w:shd w:val="clear" w:color="auto" w:fill="DCE6F1"/>
            <w:tcMar>
              <w:top w:w="55" w:type="dxa"/>
              <w:left w:w="75" w:type="dxa"/>
              <w:bottom w:w="55" w:type="dxa"/>
              <w:right w:w="75" w:type="dxa"/>
            </w:tcMar>
            <w:vAlign w:val="center"/>
          </w:tcPr>
          <w:p w14:paraId="708A2B75" w14:textId="77777777" w:rsidR="00554BF7" w:rsidRDefault="00000000">
            <w:pPr>
              <w:keepNext/>
              <w:keepLines/>
              <w:spacing w:line="240" w:lineRule="auto"/>
              <w:ind w:firstLine="0"/>
              <w:jc w:val="center"/>
            </w:pPr>
            <w:r>
              <w:rPr>
                <w:b/>
                <w:sz w:val="18"/>
              </w:rPr>
              <w:t>Główne zastrzeżenie</w:t>
            </w:r>
          </w:p>
        </w:tc>
      </w:tr>
      <w:tr w:rsidR="00554BF7" w14:paraId="03727301" w14:textId="77777777">
        <w:trPr>
          <w:cantSplit/>
        </w:trPr>
        <w:tc>
          <w:tcPr>
            <w:tcW w:w="1859" w:type="dxa"/>
            <w:tcMar>
              <w:top w:w="55" w:type="dxa"/>
              <w:left w:w="75" w:type="dxa"/>
              <w:bottom w:w="55" w:type="dxa"/>
              <w:right w:w="75" w:type="dxa"/>
            </w:tcMar>
          </w:tcPr>
          <w:p w14:paraId="6C8B2BE3" w14:textId="77777777" w:rsidR="00554BF7" w:rsidRDefault="00000000">
            <w:pPr>
              <w:keepNext/>
              <w:keepLines/>
              <w:spacing w:line="240" w:lineRule="auto"/>
              <w:ind w:firstLine="0"/>
              <w:jc w:val="left"/>
            </w:pPr>
            <w:r>
              <w:rPr>
                <w:b/>
                <w:sz w:val="18"/>
              </w:rPr>
              <w:t>Współczynniki i ilorazy szans</w:t>
            </w:r>
          </w:p>
        </w:tc>
        <w:tc>
          <w:tcPr>
            <w:tcW w:w="2099" w:type="dxa"/>
            <w:tcMar>
              <w:top w:w="55" w:type="dxa"/>
              <w:left w:w="75" w:type="dxa"/>
              <w:bottom w:w="55" w:type="dxa"/>
              <w:right w:w="75" w:type="dxa"/>
            </w:tcMar>
          </w:tcPr>
          <w:p w14:paraId="321F8D31" w14:textId="77777777" w:rsidR="00554BF7" w:rsidRDefault="00000000">
            <w:pPr>
              <w:keepNext/>
              <w:keepLines/>
              <w:spacing w:line="240" w:lineRule="auto"/>
              <w:ind w:firstLine="0"/>
              <w:jc w:val="left"/>
            </w:pPr>
            <w:r>
              <w:rPr>
                <w:sz w:val="18"/>
              </w:rPr>
              <w:t>Regresja logistyczna L2 i Elastic Net</w:t>
            </w:r>
          </w:p>
        </w:tc>
        <w:tc>
          <w:tcPr>
            <w:tcW w:w="2639" w:type="dxa"/>
            <w:tcMar>
              <w:top w:w="55" w:type="dxa"/>
              <w:left w:w="75" w:type="dxa"/>
              <w:bottom w:w="55" w:type="dxa"/>
              <w:right w:w="75" w:type="dxa"/>
            </w:tcMar>
          </w:tcPr>
          <w:p w14:paraId="7F784FA9" w14:textId="77777777" w:rsidR="00554BF7" w:rsidRDefault="00000000">
            <w:pPr>
              <w:keepNext/>
              <w:keepLines/>
              <w:spacing w:line="240" w:lineRule="auto"/>
              <w:ind w:firstLine="0"/>
              <w:jc w:val="left"/>
            </w:pPr>
            <w:r>
              <w:rPr>
                <w:sz w:val="18"/>
              </w:rPr>
              <w:t>Kierunek i wielkość warunkowego związku na skali logitu</w:t>
            </w:r>
          </w:p>
        </w:tc>
        <w:tc>
          <w:tcPr>
            <w:tcW w:w="2400" w:type="dxa"/>
            <w:tcMar>
              <w:top w:w="55" w:type="dxa"/>
              <w:left w:w="75" w:type="dxa"/>
              <w:bottom w:w="55" w:type="dxa"/>
              <w:right w:w="75" w:type="dxa"/>
            </w:tcMar>
          </w:tcPr>
          <w:p w14:paraId="459515CF" w14:textId="77777777" w:rsidR="00554BF7" w:rsidRDefault="00000000">
            <w:pPr>
              <w:keepNext/>
              <w:keepLines/>
              <w:spacing w:line="240" w:lineRule="auto"/>
              <w:ind w:firstLine="0"/>
              <w:jc w:val="left"/>
            </w:pPr>
            <w:r>
              <w:rPr>
                <w:sz w:val="18"/>
              </w:rPr>
              <w:t>Wrażliwość na współliniowość; brak interpretacji przyczynowej</w:t>
            </w:r>
          </w:p>
        </w:tc>
      </w:tr>
      <w:tr w:rsidR="00554BF7" w14:paraId="7FAE5C8A" w14:textId="77777777">
        <w:trPr>
          <w:cantSplit/>
        </w:trPr>
        <w:tc>
          <w:tcPr>
            <w:tcW w:w="1859" w:type="dxa"/>
            <w:shd w:val="clear" w:color="auto" w:fill="F5F7FA"/>
            <w:tcMar>
              <w:top w:w="55" w:type="dxa"/>
              <w:left w:w="75" w:type="dxa"/>
              <w:bottom w:w="55" w:type="dxa"/>
              <w:right w:w="75" w:type="dxa"/>
            </w:tcMar>
          </w:tcPr>
          <w:p w14:paraId="58B2A7CE" w14:textId="77777777" w:rsidR="00554BF7" w:rsidRDefault="00000000">
            <w:pPr>
              <w:keepNext/>
              <w:keepLines/>
              <w:spacing w:line="240" w:lineRule="auto"/>
              <w:ind w:firstLine="0"/>
              <w:jc w:val="left"/>
            </w:pPr>
            <w:r>
              <w:rPr>
                <w:b/>
                <w:sz w:val="18"/>
              </w:rPr>
              <w:t>Grupowana ważność permutacyjna</w:t>
            </w:r>
          </w:p>
        </w:tc>
        <w:tc>
          <w:tcPr>
            <w:tcW w:w="2099" w:type="dxa"/>
            <w:shd w:val="clear" w:color="auto" w:fill="F5F7FA"/>
            <w:tcMar>
              <w:top w:w="55" w:type="dxa"/>
              <w:left w:w="75" w:type="dxa"/>
              <w:bottom w:w="55" w:type="dxa"/>
              <w:right w:w="75" w:type="dxa"/>
            </w:tcMar>
          </w:tcPr>
          <w:p w14:paraId="58DC7DC0" w14:textId="77777777" w:rsidR="00554BF7" w:rsidRDefault="00000000">
            <w:pPr>
              <w:keepNext/>
              <w:keepLines/>
              <w:spacing w:line="240" w:lineRule="auto"/>
              <w:ind w:firstLine="0"/>
              <w:jc w:val="left"/>
            </w:pPr>
            <w:r>
              <w:rPr>
                <w:sz w:val="18"/>
              </w:rPr>
              <w:t>Wszystkie rodziny</w:t>
            </w:r>
          </w:p>
        </w:tc>
        <w:tc>
          <w:tcPr>
            <w:tcW w:w="2639" w:type="dxa"/>
            <w:shd w:val="clear" w:color="auto" w:fill="F5F7FA"/>
            <w:tcMar>
              <w:top w:w="55" w:type="dxa"/>
              <w:left w:w="75" w:type="dxa"/>
              <w:bottom w:w="55" w:type="dxa"/>
              <w:right w:w="75" w:type="dxa"/>
            </w:tcMar>
          </w:tcPr>
          <w:p w14:paraId="1DD10884" w14:textId="77777777" w:rsidR="00554BF7" w:rsidRDefault="00000000">
            <w:pPr>
              <w:keepNext/>
              <w:keepLines/>
              <w:spacing w:line="240" w:lineRule="auto"/>
              <w:ind w:firstLine="0"/>
              <w:jc w:val="left"/>
            </w:pPr>
            <w:r>
              <w:rPr>
                <w:sz w:val="18"/>
              </w:rPr>
              <w:t>Spadek AP po zakłóceniu cechy wraz ze wskaźnikiem braku</w:t>
            </w:r>
          </w:p>
        </w:tc>
        <w:tc>
          <w:tcPr>
            <w:tcW w:w="2400" w:type="dxa"/>
            <w:shd w:val="clear" w:color="auto" w:fill="F5F7FA"/>
            <w:tcMar>
              <w:top w:w="55" w:type="dxa"/>
              <w:left w:w="75" w:type="dxa"/>
              <w:bottom w:w="55" w:type="dxa"/>
              <w:right w:w="75" w:type="dxa"/>
            </w:tcMar>
          </w:tcPr>
          <w:p w14:paraId="77407AA7" w14:textId="77777777" w:rsidR="00554BF7" w:rsidRDefault="00000000">
            <w:pPr>
              <w:keepNext/>
              <w:keepLines/>
              <w:spacing w:line="240" w:lineRule="auto"/>
              <w:ind w:firstLine="0"/>
              <w:jc w:val="left"/>
            </w:pPr>
            <w:r>
              <w:rPr>
                <w:sz w:val="18"/>
              </w:rPr>
              <w:t>Zastępowalność cech skorelowanych może zaniżać ważność</w:t>
            </w:r>
          </w:p>
        </w:tc>
      </w:tr>
      <w:tr w:rsidR="00554BF7" w14:paraId="00791E14" w14:textId="77777777">
        <w:trPr>
          <w:cantSplit/>
        </w:trPr>
        <w:tc>
          <w:tcPr>
            <w:tcW w:w="1859" w:type="dxa"/>
            <w:tcMar>
              <w:top w:w="55" w:type="dxa"/>
              <w:left w:w="75" w:type="dxa"/>
              <w:bottom w:w="55" w:type="dxa"/>
              <w:right w:w="75" w:type="dxa"/>
            </w:tcMar>
          </w:tcPr>
          <w:p w14:paraId="5F210E58" w14:textId="77777777" w:rsidR="00554BF7" w:rsidRDefault="00000000">
            <w:pPr>
              <w:keepNext/>
              <w:keepLines/>
              <w:spacing w:line="240" w:lineRule="auto"/>
              <w:ind w:firstLine="0"/>
              <w:jc w:val="left"/>
            </w:pPr>
            <w:r>
              <w:rPr>
                <w:b/>
                <w:sz w:val="18"/>
              </w:rPr>
              <w:t>TreeSHAP</w:t>
            </w:r>
          </w:p>
        </w:tc>
        <w:tc>
          <w:tcPr>
            <w:tcW w:w="2099" w:type="dxa"/>
            <w:tcMar>
              <w:top w:w="55" w:type="dxa"/>
              <w:left w:w="75" w:type="dxa"/>
              <w:bottom w:w="55" w:type="dxa"/>
              <w:right w:w="75" w:type="dxa"/>
            </w:tcMar>
          </w:tcPr>
          <w:p w14:paraId="12303BAF" w14:textId="77777777" w:rsidR="00554BF7" w:rsidRDefault="00000000">
            <w:pPr>
              <w:keepNext/>
              <w:keepLines/>
              <w:spacing w:line="240" w:lineRule="auto"/>
              <w:ind w:firstLine="0"/>
              <w:jc w:val="left"/>
            </w:pPr>
            <w:r>
              <w:rPr>
                <w:sz w:val="18"/>
              </w:rPr>
              <w:t>Zespoły drzew</w:t>
            </w:r>
          </w:p>
        </w:tc>
        <w:tc>
          <w:tcPr>
            <w:tcW w:w="2639" w:type="dxa"/>
            <w:tcMar>
              <w:top w:w="55" w:type="dxa"/>
              <w:left w:w="75" w:type="dxa"/>
              <w:bottom w:w="55" w:type="dxa"/>
              <w:right w:w="75" w:type="dxa"/>
            </w:tcMar>
          </w:tcPr>
          <w:p w14:paraId="5F6E69C3" w14:textId="77777777" w:rsidR="00554BF7" w:rsidRDefault="00000000">
            <w:pPr>
              <w:keepNext/>
              <w:keepLines/>
              <w:spacing w:line="240" w:lineRule="auto"/>
              <w:ind w:firstLine="0"/>
              <w:jc w:val="left"/>
            </w:pPr>
            <w:r>
              <w:rPr>
                <w:sz w:val="18"/>
              </w:rPr>
              <w:t>Lokalne wkłady cech oraz ich agregacja globalna</w:t>
            </w:r>
          </w:p>
        </w:tc>
        <w:tc>
          <w:tcPr>
            <w:tcW w:w="2400" w:type="dxa"/>
            <w:tcMar>
              <w:top w:w="55" w:type="dxa"/>
              <w:left w:w="75" w:type="dxa"/>
              <w:bottom w:w="55" w:type="dxa"/>
              <w:right w:w="75" w:type="dxa"/>
            </w:tcMar>
          </w:tcPr>
          <w:p w14:paraId="29DC38BB" w14:textId="77777777" w:rsidR="00554BF7" w:rsidRDefault="00000000">
            <w:pPr>
              <w:keepNext/>
              <w:keepLines/>
              <w:spacing w:line="240" w:lineRule="auto"/>
              <w:ind w:firstLine="0"/>
              <w:jc w:val="left"/>
            </w:pPr>
            <w:r>
              <w:rPr>
                <w:sz w:val="18"/>
              </w:rPr>
              <w:t>Wynik zależy od rozkładu tła i założeń o zależnościach</w:t>
            </w:r>
          </w:p>
        </w:tc>
      </w:tr>
      <w:tr w:rsidR="00554BF7" w14:paraId="682FA3AB" w14:textId="77777777">
        <w:trPr>
          <w:cantSplit/>
        </w:trPr>
        <w:tc>
          <w:tcPr>
            <w:tcW w:w="1859" w:type="dxa"/>
            <w:shd w:val="clear" w:color="auto" w:fill="F5F7FA"/>
            <w:tcMar>
              <w:top w:w="55" w:type="dxa"/>
              <w:left w:w="75" w:type="dxa"/>
              <w:bottom w:w="55" w:type="dxa"/>
              <w:right w:w="75" w:type="dxa"/>
            </w:tcMar>
          </w:tcPr>
          <w:p w14:paraId="418384F6" w14:textId="77777777" w:rsidR="00554BF7" w:rsidRDefault="00000000">
            <w:pPr>
              <w:keepNext/>
              <w:keepLines/>
              <w:spacing w:line="240" w:lineRule="auto"/>
              <w:ind w:firstLine="0"/>
              <w:jc w:val="left"/>
            </w:pPr>
            <w:r>
              <w:rPr>
                <w:b/>
                <w:sz w:val="18"/>
              </w:rPr>
              <w:t>Integrated Gradients</w:t>
            </w:r>
          </w:p>
        </w:tc>
        <w:tc>
          <w:tcPr>
            <w:tcW w:w="2099" w:type="dxa"/>
            <w:shd w:val="clear" w:color="auto" w:fill="F5F7FA"/>
            <w:tcMar>
              <w:top w:w="55" w:type="dxa"/>
              <w:left w:w="75" w:type="dxa"/>
              <w:bottom w:w="55" w:type="dxa"/>
              <w:right w:w="75" w:type="dxa"/>
            </w:tcMar>
          </w:tcPr>
          <w:p w14:paraId="6D90A4D6" w14:textId="77777777" w:rsidR="00554BF7" w:rsidRDefault="00000000">
            <w:pPr>
              <w:keepNext/>
              <w:keepLines/>
              <w:spacing w:line="240" w:lineRule="auto"/>
              <w:ind w:firstLine="0"/>
              <w:jc w:val="left"/>
            </w:pPr>
            <w:r>
              <w:rPr>
                <w:sz w:val="18"/>
              </w:rPr>
              <w:t>MLP</w:t>
            </w:r>
          </w:p>
        </w:tc>
        <w:tc>
          <w:tcPr>
            <w:tcW w:w="2639" w:type="dxa"/>
            <w:shd w:val="clear" w:color="auto" w:fill="F5F7FA"/>
            <w:tcMar>
              <w:top w:w="55" w:type="dxa"/>
              <w:left w:w="75" w:type="dxa"/>
              <w:bottom w:w="55" w:type="dxa"/>
              <w:right w:w="75" w:type="dxa"/>
            </w:tcMar>
          </w:tcPr>
          <w:p w14:paraId="61109861" w14:textId="77777777" w:rsidR="00554BF7" w:rsidRDefault="00000000">
            <w:pPr>
              <w:keepNext/>
              <w:keepLines/>
              <w:spacing w:line="240" w:lineRule="auto"/>
              <w:ind w:firstLine="0"/>
              <w:jc w:val="left"/>
            </w:pPr>
            <w:r>
              <w:rPr>
                <w:sz w:val="18"/>
              </w:rPr>
              <w:t>Wkład wejść do logitu względem punktu bazowego</w:t>
            </w:r>
          </w:p>
        </w:tc>
        <w:tc>
          <w:tcPr>
            <w:tcW w:w="2400" w:type="dxa"/>
            <w:shd w:val="clear" w:color="auto" w:fill="F5F7FA"/>
            <w:tcMar>
              <w:top w:w="55" w:type="dxa"/>
              <w:left w:w="75" w:type="dxa"/>
              <w:bottom w:w="55" w:type="dxa"/>
              <w:right w:w="75" w:type="dxa"/>
            </w:tcMar>
          </w:tcPr>
          <w:p w14:paraId="54B2BDFE" w14:textId="77777777" w:rsidR="00554BF7" w:rsidRDefault="00000000">
            <w:pPr>
              <w:keepNext/>
              <w:keepLines/>
              <w:spacing w:line="240" w:lineRule="auto"/>
              <w:ind w:firstLine="0"/>
              <w:jc w:val="left"/>
            </w:pPr>
            <w:r>
              <w:rPr>
                <w:sz w:val="18"/>
              </w:rPr>
              <w:t>Zależność od punktu bazowego i ścieżki</w:t>
            </w:r>
          </w:p>
        </w:tc>
      </w:tr>
      <w:tr w:rsidR="00554BF7" w14:paraId="1C6E352E" w14:textId="77777777">
        <w:trPr>
          <w:cantSplit/>
        </w:trPr>
        <w:tc>
          <w:tcPr>
            <w:tcW w:w="1859" w:type="dxa"/>
            <w:tcMar>
              <w:top w:w="55" w:type="dxa"/>
              <w:left w:w="75" w:type="dxa"/>
              <w:bottom w:w="55" w:type="dxa"/>
              <w:right w:w="75" w:type="dxa"/>
            </w:tcMar>
          </w:tcPr>
          <w:p w14:paraId="06A6D4A1" w14:textId="77777777" w:rsidR="00554BF7" w:rsidRDefault="00000000">
            <w:pPr>
              <w:keepNext/>
              <w:keepLines/>
              <w:spacing w:line="240" w:lineRule="auto"/>
              <w:ind w:firstLine="0"/>
              <w:jc w:val="left"/>
            </w:pPr>
            <w:r>
              <w:rPr>
                <w:b/>
                <w:sz w:val="18"/>
              </w:rPr>
              <w:t>Ładunki PCA</w:t>
            </w:r>
          </w:p>
        </w:tc>
        <w:tc>
          <w:tcPr>
            <w:tcW w:w="2099" w:type="dxa"/>
            <w:tcMar>
              <w:top w:w="55" w:type="dxa"/>
              <w:left w:w="75" w:type="dxa"/>
              <w:bottom w:w="55" w:type="dxa"/>
              <w:right w:w="75" w:type="dxa"/>
            </w:tcMar>
          </w:tcPr>
          <w:p w14:paraId="4937E17B" w14:textId="77777777" w:rsidR="00554BF7" w:rsidRDefault="00000000">
            <w:pPr>
              <w:keepNext/>
              <w:keepLines/>
              <w:spacing w:line="240" w:lineRule="auto"/>
              <w:ind w:firstLine="0"/>
              <w:jc w:val="left"/>
            </w:pPr>
            <w:r>
              <w:rPr>
                <w:sz w:val="18"/>
              </w:rPr>
              <w:t>Modele na komponentach</w:t>
            </w:r>
          </w:p>
        </w:tc>
        <w:tc>
          <w:tcPr>
            <w:tcW w:w="2639" w:type="dxa"/>
            <w:tcMar>
              <w:top w:w="55" w:type="dxa"/>
              <w:left w:w="75" w:type="dxa"/>
              <w:bottom w:w="55" w:type="dxa"/>
              <w:right w:w="75" w:type="dxa"/>
            </w:tcMar>
          </w:tcPr>
          <w:p w14:paraId="7FD1FFF9" w14:textId="77777777" w:rsidR="00554BF7" w:rsidRDefault="00000000">
            <w:pPr>
              <w:keepNext/>
              <w:keepLines/>
              <w:spacing w:line="240" w:lineRule="auto"/>
              <w:ind w:firstLine="0"/>
              <w:jc w:val="left"/>
            </w:pPr>
            <w:r>
              <w:rPr>
                <w:sz w:val="18"/>
              </w:rPr>
              <w:t>Skład zmiennych i wariancja przenoszona przez komponent</w:t>
            </w:r>
          </w:p>
        </w:tc>
        <w:tc>
          <w:tcPr>
            <w:tcW w:w="2400" w:type="dxa"/>
            <w:tcMar>
              <w:top w:w="55" w:type="dxa"/>
              <w:left w:w="75" w:type="dxa"/>
              <w:bottom w:w="55" w:type="dxa"/>
              <w:right w:w="75" w:type="dxa"/>
            </w:tcMar>
          </w:tcPr>
          <w:p w14:paraId="365600EC" w14:textId="77777777" w:rsidR="00554BF7" w:rsidRDefault="00000000">
            <w:pPr>
              <w:keepNext/>
              <w:keepLines/>
              <w:spacing w:line="240" w:lineRule="auto"/>
              <w:ind w:firstLine="0"/>
              <w:jc w:val="left"/>
            </w:pPr>
            <w:r>
              <w:rPr>
                <w:sz w:val="18"/>
              </w:rPr>
              <w:t>Składowa opisuje wariancję, nie bezpośrednio informację o klasie</w:t>
            </w:r>
          </w:p>
        </w:tc>
      </w:tr>
    </w:tbl>
    <w:p w14:paraId="4AFAD836" w14:textId="77777777" w:rsidR="00554BF7" w:rsidRDefault="00000000">
      <w:pPr>
        <w:keepLines/>
        <w:spacing w:before="40" w:after="120" w:line="240" w:lineRule="auto"/>
        <w:ind w:firstLine="0"/>
        <w:jc w:val="left"/>
      </w:pPr>
      <w:r>
        <w:rPr>
          <w:i/>
          <w:sz w:val="18"/>
        </w:rPr>
        <w:t>Źródło: opracowanie własne.</w:t>
      </w:r>
    </w:p>
    <w:p w14:paraId="144579CB" w14:textId="77777777" w:rsidR="00554BF7" w:rsidRDefault="00000000">
      <w:pPr>
        <w:pStyle w:val="BodyText"/>
      </w:pPr>
      <w:r>
        <w:t>Pełna interpretacja łączy perspektywę globalną — współczynniki, zagregowane SHAP i Integrated Gradients, ważność permutacyjną oraz ładunki PCA — z atrybucjami lokalnymi. Zgodność metod wzmacnia opis, lecz każda dotyczy zależności wyuczonej z danych obserwacyjnych, nie przyczynowości. Takie ujęcie oddziela wpływ reprezentacji od mechanizmu modelu, a jakość predykcji od jej interpretacji.</w:t>
      </w:r>
    </w:p>
    <w:sectPr w:rsidR="00554BF7" w:rsidSect="00034616">
      <w:footerReference w:type="default" r:id="rId7"/>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6C3F4F" w14:textId="77777777" w:rsidR="000B1B5A" w:rsidRDefault="000B1B5A">
      <w:pPr>
        <w:spacing w:line="240" w:lineRule="auto"/>
      </w:pPr>
      <w:r>
        <w:separator/>
      </w:r>
    </w:p>
  </w:endnote>
  <w:endnote w:type="continuationSeparator" w:id="0">
    <w:p w14:paraId="2F58645A" w14:textId="77777777" w:rsidR="000B1B5A" w:rsidRDefault="000B1B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7662A" w14:textId="77777777" w:rsidR="00930B79" w:rsidRDefault="00000000">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9D0B0" w14:textId="77777777" w:rsidR="000B1B5A" w:rsidRDefault="000B1B5A">
      <w:pPr>
        <w:ind w:firstLine="0"/>
        <w:jc w:val="left"/>
      </w:pPr>
      <w:r>
        <w:separator/>
      </w:r>
    </w:p>
  </w:footnote>
  <w:footnote w:type="continuationSeparator" w:id="0">
    <w:p w14:paraId="51E9593E" w14:textId="77777777" w:rsidR="000B1B5A" w:rsidRDefault="000B1B5A">
      <w:pPr>
        <w:ind w:firstLine="0"/>
        <w:jc w:val="left"/>
      </w:pPr>
      <w:r>
        <w:continuationSeparator/>
      </w:r>
    </w:p>
  </w:footnote>
  <w:footnote w:id="1">
    <w:p w14:paraId="20DB180C" w14:textId="77777777" w:rsidR="00554BF7" w:rsidRPr="009F7559" w:rsidRDefault="00000000">
      <w:pPr>
        <w:pStyle w:val="FootnoteText"/>
        <w:rPr>
          <w:lang w:val="en-US"/>
        </w:rPr>
      </w:pPr>
      <w:r>
        <w:rPr>
          <w:rStyle w:val="FootnoteReference"/>
        </w:rPr>
        <w:footnoteRef/>
      </w:r>
      <w:r w:rsidRPr="009F7559">
        <w:rPr>
          <w:lang w:val="en-US"/>
        </w:rPr>
        <w:t xml:space="preserve"> G. James, D. Witten, T. Hastie, R. Tibshirani, J. Taylor, </w:t>
      </w:r>
      <w:r w:rsidRPr="009F7559">
        <w:rPr>
          <w:i/>
          <w:iCs/>
          <w:lang w:val="en-US"/>
        </w:rPr>
        <w:t>An Introduction to Statistical Learning: with Applications in Python</w:t>
      </w:r>
      <w:r w:rsidRPr="009F7559">
        <w:rPr>
          <w:lang w:val="en-US"/>
        </w:rPr>
        <w:t>, Springer, Cham 2023</w:t>
      </w:r>
    </w:p>
  </w:footnote>
  <w:footnote w:id="2">
    <w:p w14:paraId="1036574F" w14:textId="77777777" w:rsidR="00554BF7" w:rsidRPr="009F7559" w:rsidRDefault="00000000">
      <w:pPr>
        <w:pStyle w:val="FootnoteText"/>
        <w:rPr>
          <w:lang w:val="en-US"/>
        </w:rPr>
      </w:pPr>
      <w:r>
        <w:rPr>
          <w:rStyle w:val="FootnoteReference"/>
        </w:rPr>
        <w:footnoteRef/>
      </w:r>
      <w:r w:rsidRPr="009F7559">
        <w:rPr>
          <w:lang w:val="en-US"/>
        </w:rPr>
        <w:t xml:space="preserve"> L. Grinsztajn, E. Oyallon, G. Varoquaux, </w:t>
      </w:r>
      <w:r w:rsidRPr="009F7559">
        <w:rPr>
          <w:i/>
          <w:iCs/>
          <w:lang w:val="en-US"/>
        </w:rPr>
        <w:t>Why do Tree-based Models Still Outperform Deep Learning on Typical Tabular Data?</w:t>
      </w:r>
      <w:r w:rsidRPr="009F7559">
        <w:rPr>
          <w:lang w:val="en-US"/>
        </w:rPr>
        <w:t xml:space="preserve"> „Advances in Neural Information Processing Systems” 2022, t. 35, s. 507–520</w:t>
      </w:r>
    </w:p>
  </w:footnote>
  <w:footnote w:id="3">
    <w:p w14:paraId="0FC0281A" w14:textId="77777777" w:rsidR="00554BF7" w:rsidRPr="009F7559" w:rsidRDefault="00000000">
      <w:pPr>
        <w:pStyle w:val="FootnoteText"/>
        <w:rPr>
          <w:lang w:val="en-US"/>
        </w:rPr>
      </w:pPr>
      <w:r>
        <w:rPr>
          <w:rStyle w:val="FootnoteReference"/>
        </w:rPr>
        <w:footnoteRef/>
      </w:r>
      <w:r w:rsidRPr="009F7559">
        <w:rPr>
          <w:lang w:val="en-US"/>
        </w:rPr>
        <w:t xml:space="preserve"> D.R. Roberts i in., </w:t>
      </w:r>
      <w:r w:rsidRPr="009F7559">
        <w:rPr>
          <w:i/>
          <w:iCs/>
          <w:lang w:val="en-US"/>
        </w:rPr>
        <w:t>Cross-validation Strategies for Data with Temporal, Spatial, Hierarchical, or Phylogenetic Structure</w:t>
      </w:r>
      <w:r w:rsidRPr="009F7559">
        <w:rPr>
          <w:lang w:val="en-US"/>
        </w:rPr>
        <w:t>, „Ecography” 2017, t. 40, nr 8, s. 913–929</w:t>
      </w:r>
    </w:p>
  </w:footnote>
  <w:footnote w:id="4">
    <w:p w14:paraId="59CF1BF9" w14:textId="77777777" w:rsidR="00554BF7" w:rsidRPr="009F7559" w:rsidRDefault="00000000">
      <w:pPr>
        <w:pStyle w:val="FootnoteText"/>
        <w:rPr>
          <w:lang w:val="en-US"/>
        </w:rPr>
      </w:pPr>
      <w:r>
        <w:rPr>
          <w:rStyle w:val="FootnoteReference"/>
        </w:rPr>
        <w:footnoteRef/>
      </w:r>
      <w:r w:rsidRPr="009F7559">
        <w:rPr>
          <w:lang w:val="en-US"/>
        </w:rPr>
        <w:t xml:space="preserve"> C.J. Watson, </w:t>
      </w:r>
      <w:r w:rsidRPr="009F7559">
        <w:rPr>
          <w:i/>
          <w:iCs/>
          <w:lang w:val="en-US"/>
        </w:rPr>
        <w:t>Multivariate Distributional Properties, Outliers, and Transformation of Financial Ratios</w:t>
      </w:r>
      <w:r w:rsidRPr="009F7559">
        <w:rPr>
          <w:lang w:val="en-US"/>
        </w:rPr>
        <w:t>, „The Accounting Review” 1990, t. 65, nr 3, s. 682–695</w:t>
      </w:r>
    </w:p>
  </w:footnote>
  <w:footnote w:id="5">
    <w:p w14:paraId="797117F0" w14:textId="77777777" w:rsidR="00554BF7" w:rsidRPr="009F7559" w:rsidRDefault="00000000">
      <w:pPr>
        <w:pStyle w:val="FootnoteText"/>
        <w:rPr>
          <w:lang w:val="en-US"/>
        </w:rPr>
      </w:pPr>
      <w:r>
        <w:rPr>
          <w:rStyle w:val="FootnoteReference"/>
        </w:rPr>
        <w:footnoteRef/>
      </w:r>
      <w:r w:rsidRPr="009F7559">
        <w:rPr>
          <w:lang w:val="en-US"/>
        </w:rPr>
        <w:t xml:space="preserve"> R.J.A. Little, D.B. Rubin, </w:t>
      </w:r>
      <w:r w:rsidRPr="009F7559">
        <w:rPr>
          <w:i/>
          <w:iCs/>
          <w:lang w:val="en-US"/>
        </w:rPr>
        <w:t>Statistical Analysis with Missing Data</w:t>
      </w:r>
      <w:r w:rsidRPr="009F7559">
        <w:rPr>
          <w:lang w:val="en-US"/>
        </w:rPr>
        <w:t>, wyd. 3, Wiley, Hoboken 2019</w:t>
      </w:r>
    </w:p>
  </w:footnote>
  <w:footnote w:id="6">
    <w:p w14:paraId="02B05564" w14:textId="77777777" w:rsidR="00554BF7" w:rsidRPr="009F7559" w:rsidRDefault="00000000">
      <w:pPr>
        <w:pStyle w:val="FootnoteText"/>
        <w:rPr>
          <w:lang w:val="en-US"/>
        </w:rPr>
      </w:pPr>
      <w:r>
        <w:rPr>
          <w:rStyle w:val="FootnoteReference"/>
        </w:rPr>
        <w:footnoteRef/>
      </w:r>
      <w:r w:rsidRPr="009F7559">
        <w:rPr>
          <w:lang w:val="en-US"/>
        </w:rPr>
        <w:t xml:space="preserve"> G. James, D. Witten, T. Hastie, R. Tibshirani, J. Taylor, </w:t>
      </w:r>
      <w:r w:rsidRPr="009F7559">
        <w:rPr>
          <w:i/>
          <w:iCs/>
          <w:lang w:val="en-US"/>
        </w:rPr>
        <w:t>An Introduction to Statistical Learning: with…</w:t>
      </w:r>
      <w:r w:rsidRPr="009F7559">
        <w:rPr>
          <w:lang w:val="en-US"/>
        </w:rPr>
        <w:t>, dz. cyt.</w:t>
      </w:r>
    </w:p>
  </w:footnote>
  <w:footnote w:id="7">
    <w:p w14:paraId="41C892E7" w14:textId="77777777" w:rsidR="00554BF7" w:rsidRPr="009F7559" w:rsidRDefault="00000000">
      <w:pPr>
        <w:pStyle w:val="FootnoteText"/>
        <w:rPr>
          <w:lang w:val="en-US"/>
        </w:rPr>
      </w:pPr>
      <w:r>
        <w:rPr>
          <w:rStyle w:val="FootnoteReference"/>
        </w:rPr>
        <w:footnoteRef/>
      </w:r>
      <w:r w:rsidRPr="009F7559">
        <w:rPr>
          <w:lang w:val="en-US"/>
        </w:rPr>
        <w:t xml:space="preserve"> B. Krawczyk, </w:t>
      </w:r>
      <w:r w:rsidRPr="009F7559">
        <w:rPr>
          <w:i/>
          <w:iCs/>
          <w:lang w:val="en-US"/>
        </w:rPr>
        <w:t>Learning from Imbalanced Data: Open Challenges and Future Directions</w:t>
      </w:r>
      <w:r w:rsidRPr="009F7559">
        <w:rPr>
          <w:lang w:val="en-US"/>
        </w:rPr>
        <w:t>, „Progress in Artificial Intelligence” 2016, t. 5, nr 4, s. 221–232</w:t>
      </w:r>
    </w:p>
  </w:footnote>
  <w:footnote w:id="8">
    <w:p w14:paraId="46B87CE4" w14:textId="77777777" w:rsidR="00554BF7" w:rsidRPr="009F7559" w:rsidRDefault="00000000">
      <w:pPr>
        <w:pStyle w:val="FootnoteText"/>
        <w:rPr>
          <w:lang w:val="en-US"/>
        </w:rPr>
      </w:pPr>
      <w:r>
        <w:rPr>
          <w:rStyle w:val="FootnoteReference"/>
        </w:rPr>
        <w:footnoteRef/>
      </w:r>
      <w:r w:rsidRPr="009F7559">
        <w:rPr>
          <w:lang w:val="en-US"/>
        </w:rPr>
        <w:t xml:space="preserve"> D.R. Roberts i in., </w:t>
      </w:r>
      <w:r w:rsidRPr="009F7559">
        <w:rPr>
          <w:i/>
          <w:iCs/>
          <w:lang w:val="en-US"/>
        </w:rPr>
        <w:t>Cross-validation Strategies for Data with Temporal,…</w:t>
      </w:r>
      <w:r w:rsidRPr="009F7559">
        <w:rPr>
          <w:lang w:val="en-US"/>
        </w:rPr>
        <w:t>, dz. cyt.</w:t>
      </w:r>
    </w:p>
  </w:footnote>
  <w:footnote w:id="9">
    <w:p w14:paraId="2E9C008F" w14:textId="77777777" w:rsidR="00554BF7" w:rsidRPr="009F7559" w:rsidRDefault="00000000">
      <w:pPr>
        <w:pStyle w:val="FootnoteText"/>
        <w:rPr>
          <w:lang w:val="en-US"/>
        </w:rPr>
      </w:pPr>
      <w:r>
        <w:rPr>
          <w:rStyle w:val="FootnoteReference"/>
        </w:rPr>
        <w:footnoteRef/>
      </w:r>
      <w:r w:rsidRPr="009F7559">
        <w:rPr>
          <w:lang w:val="en-US"/>
        </w:rPr>
        <w:t xml:space="preserve"> S. Kapoor, A. Narayanan, </w:t>
      </w:r>
      <w:r w:rsidRPr="009F7559">
        <w:rPr>
          <w:i/>
          <w:iCs/>
          <w:lang w:val="en-US"/>
        </w:rPr>
        <w:t>Leakage and the Reproducibility Crisis in Machine-Learning-Based Science</w:t>
      </w:r>
      <w:r w:rsidRPr="009F7559">
        <w:rPr>
          <w:lang w:val="en-US"/>
        </w:rPr>
        <w:t>, „Patterns” 2023, t. 4, nr 9, art. 100804</w:t>
      </w:r>
    </w:p>
  </w:footnote>
  <w:footnote w:id="10">
    <w:p w14:paraId="31CE3D99" w14:textId="77777777" w:rsidR="00554BF7" w:rsidRPr="009F7559" w:rsidRDefault="00000000">
      <w:pPr>
        <w:pStyle w:val="FootnoteText"/>
        <w:rPr>
          <w:lang w:val="en-US"/>
        </w:rPr>
      </w:pPr>
      <w:r>
        <w:rPr>
          <w:rStyle w:val="FootnoteReference"/>
        </w:rPr>
        <w:footnoteRef/>
      </w:r>
      <w:r w:rsidRPr="009F7559">
        <w:rPr>
          <w:lang w:val="en-US"/>
        </w:rPr>
        <w:t xml:space="preserve"> G. James, D. Witten, T. Hastie, R. Tibshirani, J. Taylor, </w:t>
      </w:r>
      <w:r w:rsidRPr="009F7559">
        <w:rPr>
          <w:i/>
          <w:iCs/>
          <w:lang w:val="en-US"/>
        </w:rPr>
        <w:t>An Introduction to Statistical Learning: with…</w:t>
      </w:r>
      <w:r w:rsidRPr="009F7559">
        <w:rPr>
          <w:lang w:val="en-US"/>
        </w:rPr>
        <w:t>, dz. cyt.</w:t>
      </w:r>
    </w:p>
  </w:footnote>
  <w:footnote w:id="11">
    <w:p w14:paraId="501DF3A4" w14:textId="77777777" w:rsidR="00554BF7" w:rsidRPr="009F7559" w:rsidRDefault="00000000">
      <w:pPr>
        <w:pStyle w:val="FootnoteText"/>
        <w:rPr>
          <w:lang w:val="en-US"/>
        </w:rPr>
      </w:pPr>
      <w:r>
        <w:rPr>
          <w:rStyle w:val="FootnoteReference"/>
        </w:rPr>
        <w:footnoteRef/>
      </w:r>
      <w:r w:rsidRPr="009F7559">
        <w:rPr>
          <w:lang w:val="en-US"/>
        </w:rPr>
        <w:t xml:space="preserve"> H. Zou, T. Hastie, </w:t>
      </w:r>
      <w:r w:rsidRPr="009F7559">
        <w:rPr>
          <w:i/>
          <w:iCs/>
          <w:lang w:val="en-US"/>
        </w:rPr>
        <w:t>Regularization and Variable Selection via the Elastic Net</w:t>
      </w:r>
      <w:r w:rsidRPr="009F7559">
        <w:rPr>
          <w:lang w:val="en-US"/>
        </w:rPr>
        <w:t>, „Journal of the Royal Statistical Society: Series B” 2005, t. 67, nr 2, s. 301–320</w:t>
      </w:r>
    </w:p>
  </w:footnote>
  <w:footnote w:id="12">
    <w:p w14:paraId="2818CB59" w14:textId="77777777" w:rsidR="00554BF7" w:rsidRPr="009F7559" w:rsidRDefault="00000000">
      <w:pPr>
        <w:pStyle w:val="FootnoteText"/>
        <w:rPr>
          <w:lang w:val="en-US"/>
        </w:rPr>
      </w:pPr>
      <w:r>
        <w:rPr>
          <w:rStyle w:val="FootnoteReference"/>
        </w:rPr>
        <w:footnoteRef/>
      </w:r>
      <w:r w:rsidRPr="009F7559">
        <w:rPr>
          <w:lang w:val="en-US"/>
        </w:rPr>
        <w:t xml:space="preserve"> C. Cortes, V. Vapnik, </w:t>
      </w:r>
      <w:r w:rsidRPr="009F7559">
        <w:rPr>
          <w:i/>
          <w:iCs/>
          <w:lang w:val="en-US"/>
        </w:rPr>
        <w:t>Support-vector Networks</w:t>
      </w:r>
      <w:r w:rsidRPr="009F7559">
        <w:rPr>
          <w:lang w:val="en-US"/>
        </w:rPr>
        <w:t>, „Machine Learning” 1995, t. 20, s. 273–297</w:t>
      </w:r>
    </w:p>
  </w:footnote>
  <w:footnote w:id="13">
    <w:p w14:paraId="5A3DD6F8" w14:textId="77777777" w:rsidR="00554BF7" w:rsidRPr="009F7559" w:rsidRDefault="00000000">
      <w:pPr>
        <w:pStyle w:val="FootnoteText"/>
        <w:rPr>
          <w:lang w:val="en-US"/>
        </w:rPr>
      </w:pPr>
      <w:r>
        <w:rPr>
          <w:rStyle w:val="FootnoteReference"/>
        </w:rPr>
        <w:footnoteRef/>
      </w:r>
      <w:r w:rsidRPr="009F7559">
        <w:rPr>
          <w:lang w:val="en-US"/>
        </w:rPr>
        <w:t xml:space="preserve"> J.C. Platt, </w:t>
      </w:r>
      <w:r w:rsidRPr="009F7559">
        <w:rPr>
          <w:i/>
          <w:iCs/>
          <w:lang w:val="en-US"/>
        </w:rPr>
        <w:t>Probabilistic Outputs for Support Vector Machines and Comparisons to Regularized Likelihood Methods</w:t>
      </w:r>
      <w:r w:rsidRPr="009F7559">
        <w:rPr>
          <w:lang w:val="en-US"/>
        </w:rPr>
        <w:t>, [w:] A.J. Smola i in. (red.), Advances in Large Margin Classifiers, MIT Press, Cambridge 2000, s. 61–74</w:t>
      </w:r>
    </w:p>
  </w:footnote>
  <w:footnote w:id="14">
    <w:p w14:paraId="116CC66E" w14:textId="77777777" w:rsidR="00554BF7" w:rsidRPr="009F7559" w:rsidRDefault="00000000">
      <w:pPr>
        <w:pStyle w:val="FootnoteText"/>
        <w:rPr>
          <w:lang w:val="en-US"/>
        </w:rPr>
      </w:pPr>
      <w:r>
        <w:rPr>
          <w:rStyle w:val="FootnoteReference"/>
        </w:rPr>
        <w:footnoteRef/>
      </w:r>
      <w:r w:rsidRPr="009F7559">
        <w:rPr>
          <w:lang w:val="en-US"/>
        </w:rPr>
        <w:t xml:space="preserve"> L. Breiman, </w:t>
      </w:r>
      <w:r w:rsidRPr="009F7559">
        <w:rPr>
          <w:i/>
          <w:iCs/>
          <w:lang w:val="en-US"/>
        </w:rPr>
        <w:t>Random Forests</w:t>
      </w:r>
      <w:r w:rsidRPr="009F7559">
        <w:rPr>
          <w:lang w:val="en-US"/>
        </w:rPr>
        <w:t>, „Machine Learning” 2001, t. 45, nr 1, s. 5–32</w:t>
      </w:r>
    </w:p>
  </w:footnote>
  <w:footnote w:id="15">
    <w:p w14:paraId="150537BD" w14:textId="77777777" w:rsidR="00554BF7" w:rsidRPr="009F7559" w:rsidRDefault="00000000">
      <w:pPr>
        <w:pStyle w:val="FootnoteText"/>
        <w:rPr>
          <w:lang w:val="en-US"/>
        </w:rPr>
      </w:pPr>
      <w:r>
        <w:rPr>
          <w:rStyle w:val="FootnoteReference"/>
        </w:rPr>
        <w:footnoteRef/>
      </w:r>
      <w:r w:rsidRPr="009F7559">
        <w:rPr>
          <w:lang w:val="en-US"/>
        </w:rPr>
        <w:t xml:space="preserve"> J.H. Friedman, </w:t>
      </w:r>
      <w:r w:rsidRPr="009F7559">
        <w:rPr>
          <w:i/>
          <w:iCs/>
          <w:lang w:val="en-US"/>
        </w:rPr>
        <w:t>Greedy Function Approximation: A Gradient Boosting Machine</w:t>
      </w:r>
      <w:r w:rsidRPr="009F7559">
        <w:rPr>
          <w:lang w:val="en-US"/>
        </w:rPr>
        <w:t>, „The Annals of Statistics” 2001, t. 29, nr 5, s. 1189–1232</w:t>
      </w:r>
    </w:p>
  </w:footnote>
  <w:footnote w:id="16">
    <w:p w14:paraId="043815F8" w14:textId="77777777" w:rsidR="00554BF7" w:rsidRPr="009F7559" w:rsidRDefault="00000000">
      <w:pPr>
        <w:pStyle w:val="FootnoteText"/>
        <w:rPr>
          <w:lang w:val="en-US"/>
        </w:rPr>
      </w:pPr>
      <w:r>
        <w:rPr>
          <w:rStyle w:val="FootnoteReference"/>
        </w:rPr>
        <w:footnoteRef/>
      </w:r>
      <w:r w:rsidRPr="009F7559">
        <w:rPr>
          <w:lang w:val="en-US"/>
        </w:rPr>
        <w:t xml:space="preserve"> T. Chen, C. Guestrin, </w:t>
      </w:r>
      <w:r w:rsidRPr="009F7559">
        <w:rPr>
          <w:i/>
          <w:iCs/>
          <w:lang w:val="en-US"/>
        </w:rPr>
        <w:t>XGBoost: A Scalable Tree Boosting System</w:t>
      </w:r>
      <w:r w:rsidRPr="009F7559">
        <w:rPr>
          <w:lang w:val="en-US"/>
        </w:rPr>
        <w:t>, [w:] Proceedings of the 22nd ACM SIGKDD International Conference on Knowledge Discovery and Data Mining, ACM, New York 2016, s. 785–794</w:t>
      </w:r>
    </w:p>
  </w:footnote>
  <w:footnote w:id="17">
    <w:p w14:paraId="76AF896E" w14:textId="77777777" w:rsidR="00554BF7" w:rsidRPr="009F7559" w:rsidRDefault="00000000">
      <w:pPr>
        <w:pStyle w:val="FootnoteText"/>
        <w:rPr>
          <w:lang w:val="en-US"/>
        </w:rPr>
      </w:pPr>
      <w:r>
        <w:rPr>
          <w:rStyle w:val="FootnoteReference"/>
        </w:rPr>
        <w:footnoteRef/>
      </w:r>
      <w:r w:rsidRPr="009F7559">
        <w:rPr>
          <w:lang w:val="en-US"/>
        </w:rPr>
        <w:t xml:space="preserve"> I. Goodfellow, Y. Bengio, A. Courville, </w:t>
      </w:r>
      <w:r w:rsidRPr="009F7559">
        <w:rPr>
          <w:i/>
          <w:iCs/>
          <w:lang w:val="en-US"/>
        </w:rPr>
        <w:t>Deep Learning</w:t>
      </w:r>
      <w:r w:rsidRPr="009F7559">
        <w:rPr>
          <w:lang w:val="en-US"/>
        </w:rPr>
        <w:t>, MIT Press, Cambridge 2016</w:t>
      </w:r>
    </w:p>
  </w:footnote>
  <w:footnote w:id="18">
    <w:p w14:paraId="473845F5" w14:textId="77777777" w:rsidR="00554BF7" w:rsidRPr="009F7559" w:rsidRDefault="00000000">
      <w:pPr>
        <w:pStyle w:val="FootnoteText"/>
        <w:rPr>
          <w:lang w:val="en-US"/>
        </w:rPr>
      </w:pPr>
      <w:r>
        <w:rPr>
          <w:rStyle w:val="FootnoteReference"/>
        </w:rPr>
        <w:footnoteRef/>
      </w:r>
      <w:r w:rsidRPr="009F7559">
        <w:rPr>
          <w:lang w:val="en-US"/>
        </w:rPr>
        <w:t xml:space="preserve"> L. Grinsztajn, E. Oyallon, G. Varoquaux, </w:t>
      </w:r>
      <w:r w:rsidRPr="009F7559">
        <w:rPr>
          <w:i/>
          <w:iCs/>
          <w:lang w:val="en-US"/>
        </w:rPr>
        <w:t>Why do Tree-based Models Still Outperform…</w:t>
      </w:r>
      <w:r w:rsidRPr="009F7559">
        <w:rPr>
          <w:lang w:val="en-US"/>
        </w:rPr>
        <w:t>, dz. cyt.</w:t>
      </w:r>
    </w:p>
  </w:footnote>
  <w:footnote w:id="19">
    <w:p w14:paraId="54E0B1BA" w14:textId="77777777" w:rsidR="00554BF7" w:rsidRPr="009F7559" w:rsidRDefault="00000000">
      <w:pPr>
        <w:pStyle w:val="FootnoteText"/>
        <w:rPr>
          <w:lang w:val="en-US"/>
        </w:rPr>
      </w:pPr>
      <w:r>
        <w:rPr>
          <w:rStyle w:val="FootnoteReference"/>
        </w:rPr>
        <w:footnoteRef/>
      </w:r>
      <w:r w:rsidRPr="009F7559">
        <w:rPr>
          <w:lang w:val="en-US"/>
        </w:rPr>
        <w:t xml:space="preserve"> X. Bouthillier i in., </w:t>
      </w:r>
      <w:r w:rsidRPr="009F7559">
        <w:rPr>
          <w:i/>
          <w:iCs/>
          <w:lang w:val="en-US"/>
        </w:rPr>
        <w:t>Accounting for Variance in Machine Learning Benchmarks</w:t>
      </w:r>
      <w:r w:rsidRPr="009F7559">
        <w:rPr>
          <w:lang w:val="en-US"/>
        </w:rPr>
        <w:t>, [w:] Proceedings of Machine Learning and Systems, 2021, t. 3, s. 747–769</w:t>
      </w:r>
    </w:p>
  </w:footnote>
  <w:footnote w:id="20">
    <w:p w14:paraId="4B0F11B9" w14:textId="77777777" w:rsidR="00554BF7" w:rsidRPr="009F7559" w:rsidRDefault="00000000">
      <w:pPr>
        <w:pStyle w:val="FootnoteText"/>
        <w:rPr>
          <w:lang w:val="en-US"/>
        </w:rPr>
      </w:pPr>
      <w:r>
        <w:rPr>
          <w:rStyle w:val="FootnoteReference"/>
        </w:rPr>
        <w:footnoteRef/>
      </w:r>
      <w:r w:rsidRPr="009F7559">
        <w:rPr>
          <w:lang w:val="en-US"/>
        </w:rPr>
        <w:t xml:space="preserve"> L. Grinsztajn, E. Oyallon, G. Varoquaux, </w:t>
      </w:r>
      <w:r w:rsidRPr="009F7559">
        <w:rPr>
          <w:i/>
          <w:iCs/>
          <w:lang w:val="en-US"/>
        </w:rPr>
        <w:t>Why do Tree-based Models Still Outperform…</w:t>
      </w:r>
      <w:r w:rsidRPr="009F7559">
        <w:rPr>
          <w:lang w:val="en-US"/>
        </w:rPr>
        <w:t>, dz. cyt.</w:t>
      </w:r>
    </w:p>
  </w:footnote>
  <w:footnote w:id="21">
    <w:p w14:paraId="1C27C84A" w14:textId="77777777" w:rsidR="00554BF7" w:rsidRPr="009F7559" w:rsidRDefault="00000000">
      <w:pPr>
        <w:pStyle w:val="FootnoteText"/>
        <w:rPr>
          <w:lang w:val="en-US"/>
        </w:rPr>
      </w:pPr>
      <w:r>
        <w:rPr>
          <w:rStyle w:val="FootnoteReference"/>
        </w:rPr>
        <w:footnoteRef/>
      </w:r>
      <w:r w:rsidRPr="009F7559">
        <w:rPr>
          <w:lang w:val="en-US"/>
        </w:rPr>
        <w:t xml:space="preserve"> I. Guyon, A. Elisseeff, </w:t>
      </w:r>
      <w:r w:rsidRPr="009F7559">
        <w:rPr>
          <w:i/>
          <w:iCs/>
          <w:lang w:val="en-US"/>
        </w:rPr>
        <w:t>An Introduction to Variable and Feature Selection</w:t>
      </w:r>
      <w:r w:rsidRPr="009F7559">
        <w:rPr>
          <w:lang w:val="en-US"/>
        </w:rPr>
        <w:t>, „Journal of Machine Learning Research” 2003, t. 3, s. 1157–1182</w:t>
      </w:r>
    </w:p>
  </w:footnote>
  <w:footnote w:id="22">
    <w:p w14:paraId="3D3B8FCE" w14:textId="77777777" w:rsidR="00554BF7" w:rsidRPr="009F7559" w:rsidRDefault="00000000">
      <w:pPr>
        <w:pStyle w:val="FootnoteText"/>
        <w:rPr>
          <w:lang w:val="en-US"/>
        </w:rPr>
      </w:pPr>
      <w:r>
        <w:rPr>
          <w:rStyle w:val="FootnoteReference"/>
        </w:rPr>
        <w:footnoteRef/>
      </w:r>
      <w:r w:rsidRPr="009F7559">
        <w:rPr>
          <w:lang w:val="en-US"/>
        </w:rPr>
        <w:t xml:space="preserve"> G.C. Cawley, N.L.C. Talbot, </w:t>
      </w:r>
      <w:r w:rsidRPr="009F7559">
        <w:rPr>
          <w:i/>
          <w:iCs/>
          <w:lang w:val="en-US"/>
        </w:rPr>
        <w:t>On Over-fitting in Model Selection and Subsequent Selection Bias in Performance Evaluation</w:t>
      </w:r>
      <w:r w:rsidRPr="009F7559">
        <w:rPr>
          <w:lang w:val="en-US"/>
        </w:rPr>
        <w:t>, „Journal of Machine Learning Research” 2010, t. 11, s. 2079–2107</w:t>
      </w:r>
    </w:p>
  </w:footnote>
  <w:footnote w:id="23">
    <w:p w14:paraId="3108B245" w14:textId="77777777" w:rsidR="00554BF7" w:rsidRPr="009F7559" w:rsidRDefault="00000000">
      <w:pPr>
        <w:pStyle w:val="FootnoteText"/>
        <w:rPr>
          <w:lang w:val="en-US"/>
        </w:rPr>
      </w:pPr>
      <w:r>
        <w:rPr>
          <w:rStyle w:val="FootnoteReference"/>
        </w:rPr>
        <w:footnoteRef/>
      </w:r>
      <w:r w:rsidRPr="009F7559">
        <w:rPr>
          <w:lang w:val="en-US"/>
        </w:rPr>
        <w:t xml:space="preserve"> H. Zou, T. Hastie, </w:t>
      </w:r>
      <w:r w:rsidRPr="009F7559">
        <w:rPr>
          <w:i/>
          <w:iCs/>
          <w:lang w:val="en-US"/>
        </w:rPr>
        <w:t>Regularization and Variable Selection via the…</w:t>
      </w:r>
      <w:r w:rsidRPr="009F7559">
        <w:rPr>
          <w:lang w:val="en-US"/>
        </w:rPr>
        <w:t>, dz. cyt.</w:t>
      </w:r>
    </w:p>
  </w:footnote>
  <w:footnote w:id="24">
    <w:p w14:paraId="35ABD224" w14:textId="77777777" w:rsidR="00554BF7" w:rsidRPr="009F7559" w:rsidRDefault="00000000">
      <w:pPr>
        <w:pStyle w:val="FootnoteText"/>
        <w:rPr>
          <w:lang w:val="en-US"/>
        </w:rPr>
      </w:pPr>
      <w:r>
        <w:rPr>
          <w:rStyle w:val="FootnoteReference"/>
        </w:rPr>
        <w:footnoteRef/>
      </w:r>
      <w:r w:rsidRPr="009F7559">
        <w:rPr>
          <w:lang w:val="en-US"/>
        </w:rPr>
        <w:t xml:space="preserve"> I.T. Jolliffe, J. Cadima, </w:t>
      </w:r>
      <w:r w:rsidRPr="009F7559">
        <w:rPr>
          <w:i/>
          <w:iCs/>
          <w:lang w:val="en-US"/>
        </w:rPr>
        <w:t>Principal Component Analysis: A Review and Recent Developments</w:t>
      </w:r>
      <w:r w:rsidRPr="009F7559">
        <w:rPr>
          <w:lang w:val="en-US"/>
        </w:rPr>
        <w:t>, „Philosophical Transactions of the Royal Society A” 2016, t. 374, art. 20150202</w:t>
      </w:r>
    </w:p>
  </w:footnote>
  <w:footnote w:id="25">
    <w:p w14:paraId="1BA97716" w14:textId="77777777" w:rsidR="00554BF7" w:rsidRPr="009F7559" w:rsidRDefault="00000000">
      <w:pPr>
        <w:pStyle w:val="FootnoteText"/>
        <w:rPr>
          <w:lang w:val="en-US"/>
        </w:rPr>
      </w:pPr>
      <w:r>
        <w:rPr>
          <w:rStyle w:val="FootnoteReference"/>
        </w:rPr>
        <w:footnoteRef/>
      </w:r>
      <w:r w:rsidRPr="009F7559">
        <w:rPr>
          <w:lang w:val="en-US"/>
        </w:rPr>
        <w:t xml:space="preserve"> S. Kapoor, A. Narayanan, </w:t>
      </w:r>
      <w:r w:rsidRPr="009F7559">
        <w:rPr>
          <w:i/>
          <w:iCs/>
          <w:lang w:val="en-US"/>
        </w:rPr>
        <w:t>Leakage and the Reproducibility Crisis in…</w:t>
      </w:r>
      <w:r w:rsidRPr="009F7559">
        <w:rPr>
          <w:lang w:val="en-US"/>
        </w:rPr>
        <w:t>, dz. cyt.</w:t>
      </w:r>
    </w:p>
  </w:footnote>
  <w:footnote w:id="26">
    <w:p w14:paraId="4F4A4FD2" w14:textId="77777777" w:rsidR="00554BF7" w:rsidRPr="009F7559" w:rsidRDefault="00000000">
      <w:pPr>
        <w:pStyle w:val="FootnoteText"/>
        <w:rPr>
          <w:lang w:val="en-US"/>
        </w:rPr>
      </w:pPr>
      <w:r>
        <w:rPr>
          <w:rStyle w:val="FootnoteReference"/>
        </w:rPr>
        <w:footnoteRef/>
      </w:r>
      <w:r w:rsidRPr="009F7559">
        <w:rPr>
          <w:lang w:val="en-US"/>
        </w:rPr>
        <w:t xml:space="preserve"> G.C. Cawley, N.L.C. Talbot, </w:t>
      </w:r>
      <w:r w:rsidRPr="009F7559">
        <w:rPr>
          <w:i/>
          <w:iCs/>
          <w:lang w:val="en-US"/>
        </w:rPr>
        <w:t>On Over-fitting in Model Selection and…</w:t>
      </w:r>
      <w:r w:rsidRPr="009F7559">
        <w:rPr>
          <w:lang w:val="en-US"/>
        </w:rPr>
        <w:t>, dz. cyt.</w:t>
      </w:r>
    </w:p>
  </w:footnote>
  <w:footnote w:id="27">
    <w:p w14:paraId="70E51A68" w14:textId="77777777" w:rsidR="00554BF7" w:rsidRPr="009F7559" w:rsidRDefault="00000000">
      <w:pPr>
        <w:pStyle w:val="FootnoteText"/>
        <w:rPr>
          <w:lang w:val="en-US"/>
        </w:rPr>
      </w:pPr>
      <w:r>
        <w:rPr>
          <w:rStyle w:val="FootnoteReference"/>
        </w:rPr>
        <w:footnoteRef/>
      </w:r>
      <w:r w:rsidRPr="009F7559">
        <w:rPr>
          <w:lang w:val="en-US"/>
        </w:rPr>
        <w:t xml:space="preserve"> X. Bouthillier i in., </w:t>
      </w:r>
      <w:r w:rsidRPr="009F7559">
        <w:rPr>
          <w:i/>
          <w:iCs/>
          <w:lang w:val="en-US"/>
        </w:rPr>
        <w:t>Accounting for Variance in Machine Learning…</w:t>
      </w:r>
      <w:r w:rsidRPr="009F7559">
        <w:rPr>
          <w:lang w:val="en-US"/>
        </w:rPr>
        <w:t>, dz. cyt.</w:t>
      </w:r>
    </w:p>
  </w:footnote>
  <w:footnote w:id="28">
    <w:p w14:paraId="2032EFEF" w14:textId="77777777" w:rsidR="00554BF7" w:rsidRPr="009F7559" w:rsidRDefault="00000000">
      <w:pPr>
        <w:pStyle w:val="FootnoteText"/>
        <w:rPr>
          <w:lang w:val="en-US"/>
        </w:rPr>
      </w:pPr>
      <w:r>
        <w:rPr>
          <w:rStyle w:val="FootnoteReference"/>
        </w:rPr>
        <w:footnoteRef/>
      </w:r>
      <w:r w:rsidRPr="009F7559">
        <w:rPr>
          <w:lang w:val="en-US"/>
        </w:rPr>
        <w:t xml:space="preserve"> J. Davis, M. Goadrich, </w:t>
      </w:r>
      <w:r w:rsidRPr="009F7559">
        <w:rPr>
          <w:i/>
          <w:iCs/>
          <w:lang w:val="en-US"/>
        </w:rPr>
        <w:t>The Relationship Between Precision–Recall and ROC Curves</w:t>
      </w:r>
      <w:r w:rsidRPr="009F7559">
        <w:rPr>
          <w:lang w:val="en-US"/>
        </w:rPr>
        <w:t>, [w:] Proceedings of the 23rd International Conference on Machine Learning, ACM, New York 2006, s. 233–240</w:t>
      </w:r>
    </w:p>
  </w:footnote>
  <w:footnote w:id="29">
    <w:p w14:paraId="5D2B69BB" w14:textId="77777777" w:rsidR="00554BF7" w:rsidRPr="009F7559" w:rsidRDefault="00000000">
      <w:pPr>
        <w:pStyle w:val="FootnoteText"/>
        <w:rPr>
          <w:lang w:val="en-US"/>
        </w:rPr>
      </w:pPr>
      <w:r>
        <w:rPr>
          <w:rStyle w:val="FootnoteReference"/>
        </w:rPr>
        <w:footnoteRef/>
      </w:r>
      <w:r w:rsidRPr="009F7559">
        <w:rPr>
          <w:lang w:val="en-US"/>
        </w:rPr>
        <w:t xml:space="preserve"> T. Saito, M. Rehmsmeier, </w:t>
      </w:r>
      <w:r w:rsidRPr="009F7559">
        <w:rPr>
          <w:i/>
          <w:iCs/>
          <w:lang w:val="en-US"/>
        </w:rPr>
        <w:t>The Precision–Recall Plot Is More Informative than the ROC Plot When Evaluating Binary Classifiers on Imbalanced Datasets</w:t>
      </w:r>
      <w:r w:rsidRPr="009F7559">
        <w:rPr>
          <w:lang w:val="en-US"/>
        </w:rPr>
        <w:t>, „PLOS ONE” 2015, t. 10, nr 3, art. e0118432</w:t>
      </w:r>
    </w:p>
  </w:footnote>
  <w:footnote w:id="30">
    <w:p w14:paraId="658416D4" w14:textId="77777777" w:rsidR="00554BF7" w:rsidRPr="009F7559" w:rsidRDefault="00000000">
      <w:pPr>
        <w:pStyle w:val="FootnoteText"/>
        <w:rPr>
          <w:lang w:val="en-US"/>
        </w:rPr>
      </w:pPr>
      <w:r>
        <w:rPr>
          <w:rStyle w:val="FootnoteReference"/>
        </w:rPr>
        <w:footnoteRef/>
      </w:r>
      <w:r w:rsidRPr="009F7559">
        <w:rPr>
          <w:lang w:val="en-US"/>
        </w:rPr>
        <w:t xml:space="preserve"> J. Davis, M. Goadrich, </w:t>
      </w:r>
      <w:r w:rsidRPr="009F7559">
        <w:rPr>
          <w:i/>
          <w:iCs/>
          <w:lang w:val="en-US"/>
        </w:rPr>
        <w:t>The Relationship Between Precision–Recall and ROC…</w:t>
      </w:r>
      <w:r w:rsidRPr="009F7559">
        <w:rPr>
          <w:lang w:val="en-US"/>
        </w:rPr>
        <w:t>, dz. cyt.</w:t>
      </w:r>
    </w:p>
  </w:footnote>
  <w:footnote w:id="31">
    <w:p w14:paraId="176CB270" w14:textId="77777777" w:rsidR="00554BF7" w:rsidRPr="009F7559" w:rsidRDefault="00000000">
      <w:pPr>
        <w:pStyle w:val="FootnoteText"/>
        <w:rPr>
          <w:lang w:val="en-US"/>
        </w:rPr>
      </w:pPr>
      <w:r>
        <w:rPr>
          <w:rStyle w:val="FootnoteReference"/>
        </w:rPr>
        <w:footnoteRef/>
      </w:r>
      <w:r w:rsidRPr="009F7559">
        <w:rPr>
          <w:lang w:val="en-US"/>
        </w:rPr>
        <w:t xml:space="preserve"> A. Niculescu-Mizil, R. Caruana, </w:t>
      </w:r>
      <w:r w:rsidRPr="009F7559">
        <w:rPr>
          <w:i/>
          <w:iCs/>
          <w:lang w:val="en-US"/>
        </w:rPr>
        <w:t>Predicting Good Probabilities with Supervised Learning</w:t>
      </w:r>
      <w:r w:rsidRPr="009F7559">
        <w:rPr>
          <w:lang w:val="en-US"/>
        </w:rPr>
        <w:t>, [w:] Proceedings of the 22nd International Conference on Machine Learning, ACM, New York 2005, s. 625–632</w:t>
      </w:r>
    </w:p>
  </w:footnote>
  <w:footnote w:id="32">
    <w:p w14:paraId="400629FC" w14:textId="77777777" w:rsidR="00554BF7" w:rsidRPr="009F7559" w:rsidRDefault="00000000">
      <w:pPr>
        <w:pStyle w:val="FootnoteText"/>
        <w:rPr>
          <w:lang w:val="en-US"/>
        </w:rPr>
      </w:pPr>
      <w:r>
        <w:rPr>
          <w:rStyle w:val="FootnoteReference"/>
        </w:rPr>
        <w:footnoteRef/>
      </w:r>
      <w:r w:rsidRPr="009F7559">
        <w:rPr>
          <w:lang w:val="en-US"/>
        </w:rPr>
        <w:t xml:space="preserve"> J.C. Platt, </w:t>
      </w:r>
      <w:r w:rsidRPr="009F7559">
        <w:rPr>
          <w:i/>
          <w:iCs/>
          <w:lang w:val="en-US"/>
        </w:rPr>
        <w:t>Probabilistic Outputs for Support Vector Machines…</w:t>
      </w:r>
      <w:r w:rsidRPr="009F7559">
        <w:rPr>
          <w:lang w:val="en-US"/>
        </w:rPr>
        <w:t>, dz. cyt.</w:t>
      </w:r>
    </w:p>
  </w:footnote>
  <w:footnote w:id="33">
    <w:p w14:paraId="47858455" w14:textId="77777777" w:rsidR="00554BF7" w:rsidRPr="009F7559" w:rsidRDefault="00000000">
      <w:pPr>
        <w:pStyle w:val="FootnoteText"/>
        <w:rPr>
          <w:lang w:val="en-US"/>
        </w:rPr>
      </w:pPr>
      <w:r>
        <w:rPr>
          <w:rStyle w:val="FootnoteReference"/>
        </w:rPr>
        <w:footnoteRef/>
      </w:r>
      <w:r w:rsidRPr="009F7559">
        <w:rPr>
          <w:lang w:val="en-US"/>
        </w:rPr>
        <w:t xml:space="preserve"> G.W. Brier, </w:t>
      </w:r>
      <w:r w:rsidRPr="009F7559">
        <w:rPr>
          <w:i/>
          <w:iCs/>
          <w:lang w:val="en-US"/>
        </w:rPr>
        <w:t>Verification of Forecasts Expressed in Terms of Probability</w:t>
      </w:r>
      <w:r w:rsidRPr="009F7559">
        <w:rPr>
          <w:lang w:val="en-US"/>
        </w:rPr>
        <w:t>, „Monthly Weather Review” 1950, t. 78, nr 1, s. 1–3</w:t>
      </w:r>
    </w:p>
  </w:footnote>
  <w:footnote w:id="34">
    <w:p w14:paraId="68329E46" w14:textId="77777777" w:rsidR="00554BF7" w:rsidRPr="009F7559" w:rsidRDefault="00000000">
      <w:pPr>
        <w:pStyle w:val="FootnoteText"/>
        <w:rPr>
          <w:lang w:val="en-US"/>
        </w:rPr>
      </w:pPr>
      <w:r>
        <w:rPr>
          <w:rStyle w:val="FootnoteReference"/>
        </w:rPr>
        <w:footnoteRef/>
      </w:r>
      <w:r w:rsidRPr="009F7559">
        <w:rPr>
          <w:lang w:val="en-US"/>
        </w:rPr>
        <w:t xml:space="preserve"> A.C. Davison, D.V. Hinkley, </w:t>
      </w:r>
      <w:r w:rsidRPr="009F7559">
        <w:rPr>
          <w:i/>
          <w:iCs/>
          <w:lang w:val="en-US"/>
        </w:rPr>
        <w:t>Bootstrap Methods and Their Application</w:t>
      </w:r>
      <w:r w:rsidRPr="009F7559">
        <w:rPr>
          <w:lang w:val="en-US"/>
        </w:rPr>
        <w:t>, Cambridge University Press, Cambridge 1997</w:t>
      </w:r>
    </w:p>
  </w:footnote>
  <w:footnote w:id="35">
    <w:p w14:paraId="78EEC4C2" w14:textId="77777777" w:rsidR="00554BF7" w:rsidRPr="009F7559" w:rsidRDefault="00000000">
      <w:pPr>
        <w:pStyle w:val="FootnoteText"/>
        <w:rPr>
          <w:lang w:val="en-US"/>
        </w:rPr>
      </w:pPr>
      <w:r>
        <w:rPr>
          <w:rStyle w:val="FootnoteReference"/>
        </w:rPr>
        <w:footnoteRef/>
      </w:r>
      <w:r w:rsidRPr="009F7559">
        <w:rPr>
          <w:lang w:val="en-US"/>
        </w:rPr>
        <w:t xml:space="preserve"> G.C. Cawley, N.L.C. Talbot, </w:t>
      </w:r>
      <w:r w:rsidRPr="009F7559">
        <w:rPr>
          <w:i/>
          <w:iCs/>
          <w:lang w:val="en-US"/>
        </w:rPr>
        <w:t>On Over-fitting in Model Selection and…</w:t>
      </w:r>
      <w:r w:rsidRPr="009F7559">
        <w:rPr>
          <w:lang w:val="en-US"/>
        </w:rPr>
        <w:t>, dz. cyt.</w:t>
      </w:r>
    </w:p>
  </w:footnote>
  <w:footnote w:id="36">
    <w:p w14:paraId="7AFF44CD" w14:textId="77777777" w:rsidR="00554BF7" w:rsidRPr="007C4030" w:rsidRDefault="00000000">
      <w:pPr>
        <w:pStyle w:val="FootnoteText"/>
        <w:rPr>
          <w:lang w:val="en-US"/>
        </w:rPr>
      </w:pPr>
      <w:r>
        <w:rPr>
          <w:rStyle w:val="FootnoteReference"/>
        </w:rPr>
        <w:footnoteRef/>
      </w:r>
      <w:r w:rsidRPr="007C4030">
        <w:rPr>
          <w:lang w:val="en-US"/>
        </w:rPr>
        <w:t xml:space="preserve"> A. Fisher, C. Rudin, F. Dominici, </w:t>
      </w:r>
      <w:r w:rsidRPr="007C4030">
        <w:rPr>
          <w:i/>
          <w:iCs/>
          <w:lang w:val="en-US"/>
        </w:rPr>
        <w:t>All Models Are Wrong, but Many Are Useful: Learning a Variable’s Importance by Studying an Entire Class of Prediction Models Simultaneously</w:t>
      </w:r>
      <w:r w:rsidRPr="007C4030">
        <w:rPr>
          <w:lang w:val="en-US"/>
        </w:rPr>
        <w:t>, „Journal of Machine Learning Research” 2019, t. 20, s. 1–81</w:t>
      </w:r>
    </w:p>
  </w:footnote>
  <w:footnote w:id="37">
    <w:p w14:paraId="2DFF761E" w14:textId="77777777" w:rsidR="00554BF7" w:rsidRPr="007C4030" w:rsidRDefault="00000000">
      <w:pPr>
        <w:pStyle w:val="FootnoteText"/>
        <w:rPr>
          <w:lang w:val="en-US"/>
        </w:rPr>
      </w:pPr>
      <w:r>
        <w:rPr>
          <w:rStyle w:val="FootnoteReference"/>
        </w:rPr>
        <w:footnoteRef/>
      </w:r>
      <w:r w:rsidRPr="007C4030">
        <w:rPr>
          <w:lang w:val="en-US"/>
        </w:rPr>
        <w:t xml:space="preserve"> S.M. Lundberg, S.-I. Lee, </w:t>
      </w:r>
      <w:r w:rsidRPr="007C4030">
        <w:rPr>
          <w:i/>
          <w:iCs/>
          <w:lang w:val="en-US"/>
        </w:rPr>
        <w:t>A Unified Approach to Interpreting Model Predictions</w:t>
      </w:r>
      <w:r w:rsidRPr="007C4030">
        <w:rPr>
          <w:lang w:val="en-US"/>
        </w:rPr>
        <w:t>, [w:] Advances in Neural Information Processing Systems 30, 2017, s. 4765–4774</w:t>
      </w:r>
    </w:p>
  </w:footnote>
  <w:footnote w:id="38">
    <w:p w14:paraId="3C632A4D" w14:textId="77777777" w:rsidR="00554BF7" w:rsidRPr="007C4030" w:rsidRDefault="00000000">
      <w:pPr>
        <w:pStyle w:val="FootnoteText"/>
        <w:rPr>
          <w:lang w:val="en-US"/>
        </w:rPr>
      </w:pPr>
      <w:r>
        <w:rPr>
          <w:rStyle w:val="FootnoteReference"/>
        </w:rPr>
        <w:footnoteRef/>
      </w:r>
      <w:r w:rsidRPr="007C4030">
        <w:rPr>
          <w:lang w:val="en-US"/>
        </w:rPr>
        <w:t xml:space="preserve"> M. Sundararajan, A. Taly, Q. Yan, </w:t>
      </w:r>
      <w:r w:rsidRPr="007C4030">
        <w:rPr>
          <w:i/>
          <w:iCs/>
          <w:lang w:val="en-US"/>
        </w:rPr>
        <w:t>Axiomatic Attribution for Deep Networks</w:t>
      </w:r>
      <w:r w:rsidRPr="007C4030">
        <w:rPr>
          <w:lang w:val="en-US"/>
        </w:rPr>
        <w:t>, [w:] Proceedings of the 34th International Conference on Machine Learning, PMLR 70, 2017, s. 3319–3328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F2C09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38B530F5"/>
    <w:multiLevelType w:val="hybridMultilevel"/>
    <w:tmpl w:val="D78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95D6B"/>
    <w:multiLevelType w:val="multilevel"/>
    <w:tmpl w:val="1C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A21CA"/>
    <w:multiLevelType w:val="hybridMultilevel"/>
    <w:tmpl w:val="0CFEC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1441179">
    <w:abstractNumId w:val="8"/>
  </w:num>
  <w:num w:numId="2" w16cid:durableId="289364409">
    <w:abstractNumId w:val="6"/>
  </w:num>
  <w:num w:numId="3" w16cid:durableId="1210536600">
    <w:abstractNumId w:val="5"/>
  </w:num>
  <w:num w:numId="4" w16cid:durableId="1846162785">
    <w:abstractNumId w:val="4"/>
  </w:num>
  <w:num w:numId="5" w16cid:durableId="362556704">
    <w:abstractNumId w:val="7"/>
  </w:num>
  <w:num w:numId="6" w16cid:durableId="951128569">
    <w:abstractNumId w:val="3"/>
  </w:num>
  <w:num w:numId="7" w16cid:durableId="884490430">
    <w:abstractNumId w:val="2"/>
  </w:num>
  <w:num w:numId="8" w16cid:durableId="893275862">
    <w:abstractNumId w:val="1"/>
  </w:num>
  <w:num w:numId="9" w16cid:durableId="626622264">
    <w:abstractNumId w:val="0"/>
  </w:num>
  <w:num w:numId="10" w16cid:durableId="635332166">
    <w:abstractNumId w:val="12"/>
  </w:num>
  <w:num w:numId="11" w16cid:durableId="623385886">
    <w:abstractNumId w:val="10"/>
  </w:num>
  <w:num w:numId="12" w16cid:durableId="881209793">
    <w:abstractNumId w:val="11"/>
  </w:num>
  <w:num w:numId="13" w16cid:durableId="195511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2E"/>
    <w:rsid w:val="000B1B5A"/>
    <w:rsid w:val="0010172E"/>
    <w:rsid w:val="002C79C0"/>
    <w:rsid w:val="002F76A1"/>
    <w:rsid w:val="004E4201"/>
    <w:rsid w:val="005159F4"/>
    <w:rsid w:val="00554BF7"/>
    <w:rsid w:val="006669F3"/>
    <w:rsid w:val="0068125C"/>
    <w:rsid w:val="007C4030"/>
    <w:rsid w:val="0090390E"/>
    <w:rsid w:val="00930B79"/>
    <w:rsid w:val="009F7559"/>
    <w:rsid w:val="00B64659"/>
    <w:rsid w:val="00DF35F6"/>
    <w:rsid w:val="00E0309C"/>
    <w:rsid w:val="00E17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D2BF3A2"/>
  <w15:docId w15:val="{1D705B4C-45D9-6E41-B28B-BB2A06B0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sz w:val="24"/>
      <w:szCs w:val="24"/>
      <w:lang w:val="pl-PL"/>
    </w:rPr>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b/>
      <w:bCs/>
      <w:color w:val="000000"/>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rPr>
      <w:sz w:val="20"/>
      <w:szCs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138"/>
    <w:rPr>
      <w:color w:val="0000FF" w:themeColor="hyperlink"/>
      <w:u w:val="none"/>
    </w:rPr>
  </w:style>
  <w:style w:type="character" w:styleId="UnresolvedMention">
    <w:name w:val="Unresolved Mention"/>
    <w:basedOn w:val="DefaultParagraphFont"/>
    <w:uiPriority w:val="99"/>
    <w:semiHidden/>
    <w:unhideWhenUsed/>
    <w:rsid w:val="007E3138"/>
    <w:rPr>
      <w:color w:val="605E5C"/>
      <w:shd w:val="clear" w:color="auto" w:fill="E1DFDD"/>
    </w:rPr>
  </w:style>
  <w:style w:type="paragraph" w:styleId="NormalWeb">
    <w:name w:val="Normal (Web)"/>
    <w:basedOn w:val="Normal"/>
    <w:uiPriority w:val="99"/>
    <w:semiHidden/>
    <w:unhideWhenUsed/>
    <w:rsid w:val="0034196F"/>
  </w:style>
  <w:style w:type="paragraph" w:styleId="FootnoteText">
    <w:name w:val="footnote text"/>
    <w:basedOn w:val="Normal"/>
    <w:link w:val="FootnoteTextChar"/>
    <w:uiPriority w:val="99"/>
    <w:semiHidden/>
    <w:unhideWhenUsed/>
    <w:rsid w:val="00680300"/>
    <w:pPr>
      <w:spacing w:line="240" w:lineRule="auto"/>
      <w:ind w:firstLine="0"/>
    </w:pPr>
    <w:rPr>
      <w:sz w:val="20"/>
      <w:szCs w:val="20"/>
    </w:rPr>
  </w:style>
  <w:style w:type="character" w:customStyle="1" w:styleId="FootnoteTextChar">
    <w:name w:val="Footnote Text Char"/>
    <w:basedOn w:val="DefaultParagraphFont"/>
    <w:link w:val="FootnoteText"/>
    <w:uiPriority w:val="99"/>
    <w:semiHidden/>
    <w:rsid w:val="0068030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80300"/>
    <w:rPr>
      <w:rFonts w:ascii="Times New Roman" w:eastAsia="Times New Roman" w:hAnsi="Times New Roman" w:cs="Times New Roman"/>
      <w:sz w:val="20"/>
      <w:szCs w:val="20"/>
      <w:vertAlign w:val="superscript"/>
      <w:lang w:val="pl-PL"/>
    </w:rPr>
  </w:style>
  <w:style w:type="character" w:styleId="CommentReference">
    <w:name w:val="annotation reference"/>
    <w:basedOn w:val="DefaultParagraphFont"/>
    <w:uiPriority w:val="99"/>
    <w:semiHidden/>
    <w:unhideWhenUsed/>
    <w:rsid w:val="00C400E4"/>
    <w:rPr>
      <w:sz w:val="16"/>
      <w:szCs w:val="16"/>
    </w:rPr>
  </w:style>
  <w:style w:type="paragraph" w:styleId="CommentText">
    <w:name w:val="annotation text"/>
    <w:basedOn w:val="Normal"/>
    <w:link w:val="CommentTextChar"/>
    <w:uiPriority w:val="99"/>
    <w:semiHidden/>
    <w:unhideWhenUsed/>
    <w:rsid w:val="00C400E4"/>
    <w:pPr>
      <w:spacing w:line="240" w:lineRule="auto"/>
    </w:pPr>
    <w:rPr>
      <w:sz w:val="20"/>
      <w:szCs w:val="20"/>
    </w:rPr>
  </w:style>
  <w:style w:type="character" w:customStyle="1" w:styleId="CommentTextChar">
    <w:name w:val="Comment Text Char"/>
    <w:basedOn w:val="DefaultParagraphFont"/>
    <w:link w:val="CommentText"/>
    <w:uiPriority w:val="99"/>
    <w:semiHidden/>
    <w:rsid w:val="00C400E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E4"/>
    <w:rPr>
      <w:b/>
      <w:bCs/>
    </w:rPr>
  </w:style>
  <w:style w:type="character" w:customStyle="1" w:styleId="CommentSubjectChar">
    <w:name w:val="Comment Subject Char"/>
    <w:basedOn w:val="CommentTextChar"/>
    <w:link w:val="CommentSubject"/>
    <w:uiPriority w:val="99"/>
    <w:semiHidden/>
    <w:rsid w:val="00C400E4"/>
    <w:rPr>
      <w:rFonts w:ascii="Times New Roman" w:eastAsia="Times New Roman" w:hAnsi="Times New Roman"/>
      <w:b/>
      <w:bCs/>
      <w:sz w:val="20"/>
      <w:szCs w:val="20"/>
    </w:rPr>
  </w:style>
  <w:style w:type="character" w:styleId="PlaceholderText">
    <w:name w:val="Placeholder Text"/>
    <w:basedOn w:val="DefaultParagraphFont"/>
    <w:uiPriority w:val="99"/>
    <w:semiHidden/>
    <w:rsid w:val="00B63687"/>
    <w:rPr>
      <w:color w:val="666666"/>
    </w:rPr>
  </w:style>
  <w:style w:type="table" w:styleId="PlainTable1">
    <w:name w:val="Plain Table 1"/>
    <w:basedOn w:val="TableNormal"/>
    <w:uiPriority w:val="99"/>
    <w:rsid w:val="00121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21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871DB2"/>
    <w:pPr>
      <w:spacing w:before="36" w:after="36"/>
    </w:pPr>
  </w:style>
  <w:style w:type="table" w:customStyle="1" w:styleId="Table">
    <w:name w:val="Table"/>
    <w:semiHidden/>
    <w:unhideWhenUsed/>
    <w:qFormat/>
    <w:rsid w:val="00871DB2"/>
    <w:pPr>
      <w:spacing w:line="240" w:lineRule="auto"/>
    </w:pPr>
    <w:rPr>
      <w:rFonts w:eastAsiaTheme="minorHAnsi"/>
      <w:sz w:val="24"/>
      <w:szCs w:val="24"/>
      <w:lang w:eastAsia="ko-K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451">
      <w:bodyDiv w:val="1"/>
      <w:marLeft w:val="0"/>
      <w:marRight w:val="0"/>
      <w:marTop w:val="0"/>
      <w:marBottom w:val="0"/>
      <w:divBdr>
        <w:top w:val="none" w:sz="0" w:space="0" w:color="auto"/>
        <w:left w:val="none" w:sz="0" w:space="0" w:color="auto"/>
        <w:bottom w:val="none" w:sz="0" w:space="0" w:color="auto"/>
        <w:right w:val="none" w:sz="0" w:space="0" w:color="auto"/>
      </w:divBdr>
    </w:div>
    <w:div w:id="27067702">
      <w:bodyDiv w:val="1"/>
      <w:marLeft w:val="0"/>
      <w:marRight w:val="0"/>
      <w:marTop w:val="0"/>
      <w:marBottom w:val="0"/>
      <w:divBdr>
        <w:top w:val="none" w:sz="0" w:space="0" w:color="auto"/>
        <w:left w:val="none" w:sz="0" w:space="0" w:color="auto"/>
        <w:bottom w:val="none" w:sz="0" w:space="0" w:color="auto"/>
        <w:right w:val="none" w:sz="0" w:space="0" w:color="auto"/>
      </w:divBdr>
    </w:div>
    <w:div w:id="34545076">
      <w:bodyDiv w:val="1"/>
      <w:marLeft w:val="0"/>
      <w:marRight w:val="0"/>
      <w:marTop w:val="0"/>
      <w:marBottom w:val="0"/>
      <w:divBdr>
        <w:top w:val="none" w:sz="0" w:space="0" w:color="auto"/>
        <w:left w:val="none" w:sz="0" w:space="0" w:color="auto"/>
        <w:bottom w:val="none" w:sz="0" w:space="0" w:color="auto"/>
        <w:right w:val="none" w:sz="0" w:space="0" w:color="auto"/>
      </w:divBdr>
    </w:div>
    <w:div w:id="49497024">
      <w:bodyDiv w:val="1"/>
      <w:marLeft w:val="0"/>
      <w:marRight w:val="0"/>
      <w:marTop w:val="0"/>
      <w:marBottom w:val="0"/>
      <w:divBdr>
        <w:top w:val="none" w:sz="0" w:space="0" w:color="auto"/>
        <w:left w:val="none" w:sz="0" w:space="0" w:color="auto"/>
        <w:bottom w:val="none" w:sz="0" w:space="0" w:color="auto"/>
        <w:right w:val="none" w:sz="0" w:space="0" w:color="auto"/>
      </w:divBdr>
      <w:divsChild>
        <w:div w:id="210995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5724">
      <w:bodyDiv w:val="1"/>
      <w:marLeft w:val="0"/>
      <w:marRight w:val="0"/>
      <w:marTop w:val="0"/>
      <w:marBottom w:val="0"/>
      <w:divBdr>
        <w:top w:val="none" w:sz="0" w:space="0" w:color="auto"/>
        <w:left w:val="none" w:sz="0" w:space="0" w:color="auto"/>
        <w:bottom w:val="none" w:sz="0" w:space="0" w:color="auto"/>
        <w:right w:val="none" w:sz="0" w:space="0" w:color="auto"/>
      </w:divBdr>
    </w:div>
    <w:div w:id="67657971">
      <w:bodyDiv w:val="1"/>
      <w:marLeft w:val="0"/>
      <w:marRight w:val="0"/>
      <w:marTop w:val="0"/>
      <w:marBottom w:val="0"/>
      <w:divBdr>
        <w:top w:val="none" w:sz="0" w:space="0" w:color="auto"/>
        <w:left w:val="none" w:sz="0" w:space="0" w:color="auto"/>
        <w:bottom w:val="none" w:sz="0" w:space="0" w:color="auto"/>
        <w:right w:val="none" w:sz="0" w:space="0" w:color="auto"/>
      </w:divBdr>
      <w:divsChild>
        <w:div w:id="183987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0682">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sChild>
        <w:div w:id="142364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3076">
      <w:bodyDiv w:val="1"/>
      <w:marLeft w:val="0"/>
      <w:marRight w:val="0"/>
      <w:marTop w:val="0"/>
      <w:marBottom w:val="0"/>
      <w:divBdr>
        <w:top w:val="none" w:sz="0" w:space="0" w:color="auto"/>
        <w:left w:val="none" w:sz="0" w:space="0" w:color="auto"/>
        <w:bottom w:val="none" w:sz="0" w:space="0" w:color="auto"/>
        <w:right w:val="none" w:sz="0" w:space="0" w:color="auto"/>
      </w:divBdr>
    </w:div>
    <w:div w:id="328213885">
      <w:bodyDiv w:val="1"/>
      <w:marLeft w:val="0"/>
      <w:marRight w:val="0"/>
      <w:marTop w:val="0"/>
      <w:marBottom w:val="0"/>
      <w:divBdr>
        <w:top w:val="none" w:sz="0" w:space="0" w:color="auto"/>
        <w:left w:val="none" w:sz="0" w:space="0" w:color="auto"/>
        <w:bottom w:val="none" w:sz="0" w:space="0" w:color="auto"/>
        <w:right w:val="none" w:sz="0" w:space="0" w:color="auto"/>
      </w:divBdr>
    </w:div>
    <w:div w:id="334189932">
      <w:bodyDiv w:val="1"/>
      <w:marLeft w:val="0"/>
      <w:marRight w:val="0"/>
      <w:marTop w:val="0"/>
      <w:marBottom w:val="0"/>
      <w:divBdr>
        <w:top w:val="none" w:sz="0" w:space="0" w:color="auto"/>
        <w:left w:val="none" w:sz="0" w:space="0" w:color="auto"/>
        <w:bottom w:val="none" w:sz="0" w:space="0" w:color="auto"/>
        <w:right w:val="none" w:sz="0" w:space="0" w:color="auto"/>
      </w:divBdr>
    </w:div>
    <w:div w:id="369427486">
      <w:bodyDiv w:val="1"/>
      <w:marLeft w:val="0"/>
      <w:marRight w:val="0"/>
      <w:marTop w:val="0"/>
      <w:marBottom w:val="0"/>
      <w:divBdr>
        <w:top w:val="none" w:sz="0" w:space="0" w:color="auto"/>
        <w:left w:val="none" w:sz="0" w:space="0" w:color="auto"/>
        <w:bottom w:val="none" w:sz="0" w:space="0" w:color="auto"/>
        <w:right w:val="none" w:sz="0" w:space="0" w:color="auto"/>
      </w:divBdr>
    </w:div>
    <w:div w:id="458844449">
      <w:bodyDiv w:val="1"/>
      <w:marLeft w:val="0"/>
      <w:marRight w:val="0"/>
      <w:marTop w:val="0"/>
      <w:marBottom w:val="0"/>
      <w:divBdr>
        <w:top w:val="none" w:sz="0" w:space="0" w:color="auto"/>
        <w:left w:val="none" w:sz="0" w:space="0" w:color="auto"/>
        <w:bottom w:val="none" w:sz="0" w:space="0" w:color="auto"/>
        <w:right w:val="none" w:sz="0" w:space="0" w:color="auto"/>
      </w:divBdr>
    </w:div>
    <w:div w:id="547491441">
      <w:bodyDiv w:val="1"/>
      <w:marLeft w:val="0"/>
      <w:marRight w:val="0"/>
      <w:marTop w:val="0"/>
      <w:marBottom w:val="0"/>
      <w:divBdr>
        <w:top w:val="none" w:sz="0" w:space="0" w:color="auto"/>
        <w:left w:val="none" w:sz="0" w:space="0" w:color="auto"/>
        <w:bottom w:val="none" w:sz="0" w:space="0" w:color="auto"/>
        <w:right w:val="none" w:sz="0" w:space="0" w:color="auto"/>
      </w:divBdr>
    </w:div>
    <w:div w:id="560291514">
      <w:bodyDiv w:val="1"/>
      <w:marLeft w:val="0"/>
      <w:marRight w:val="0"/>
      <w:marTop w:val="0"/>
      <w:marBottom w:val="0"/>
      <w:divBdr>
        <w:top w:val="none" w:sz="0" w:space="0" w:color="auto"/>
        <w:left w:val="none" w:sz="0" w:space="0" w:color="auto"/>
        <w:bottom w:val="none" w:sz="0" w:space="0" w:color="auto"/>
        <w:right w:val="none" w:sz="0" w:space="0" w:color="auto"/>
      </w:divBdr>
    </w:div>
    <w:div w:id="561793824">
      <w:bodyDiv w:val="1"/>
      <w:marLeft w:val="0"/>
      <w:marRight w:val="0"/>
      <w:marTop w:val="0"/>
      <w:marBottom w:val="0"/>
      <w:divBdr>
        <w:top w:val="none" w:sz="0" w:space="0" w:color="auto"/>
        <w:left w:val="none" w:sz="0" w:space="0" w:color="auto"/>
        <w:bottom w:val="none" w:sz="0" w:space="0" w:color="auto"/>
        <w:right w:val="none" w:sz="0" w:space="0" w:color="auto"/>
      </w:divBdr>
    </w:div>
    <w:div w:id="590507793">
      <w:bodyDiv w:val="1"/>
      <w:marLeft w:val="0"/>
      <w:marRight w:val="0"/>
      <w:marTop w:val="0"/>
      <w:marBottom w:val="0"/>
      <w:divBdr>
        <w:top w:val="none" w:sz="0" w:space="0" w:color="auto"/>
        <w:left w:val="none" w:sz="0" w:space="0" w:color="auto"/>
        <w:bottom w:val="none" w:sz="0" w:space="0" w:color="auto"/>
        <w:right w:val="none" w:sz="0" w:space="0" w:color="auto"/>
      </w:divBdr>
    </w:div>
    <w:div w:id="654914186">
      <w:bodyDiv w:val="1"/>
      <w:marLeft w:val="0"/>
      <w:marRight w:val="0"/>
      <w:marTop w:val="0"/>
      <w:marBottom w:val="0"/>
      <w:divBdr>
        <w:top w:val="none" w:sz="0" w:space="0" w:color="auto"/>
        <w:left w:val="none" w:sz="0" w:space="0" w:color="auto"/>
        <w:bottom w:val="none" w:sz="0" w:space="0" w:color="auto"/>
        <w:right w:val="none" w:sz="0" w:space="0" w:color="auto"/>
      </w:divBdr>
      <w:divsChild>
        <w:div w:id="16667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18349">
      <w:bodyDiv w:val="1"/>
      <w:marLeft w:val="0"/>
      <w:marRight w:val="0"/>
      <w:marTop w:val="0"/>
      <w:marBottom w:val="0"/>
      <w:divBdr>
        <w:top w:val="none" w:sz="0" w:space="0" w:color="auto"/>
        <w:left w:val="none" w:sz="0" w:space="0" w:color="auto"/>
        <w:bottom w:val="none" w:sz="0" w:space="0" w:color="auto"/>
        <w:right w:val="none" w:sz="0" w:space="0" w:color="auto"/>
      </w:divBdr>
    </w:div>
    <w:div w:id="759448301">
      <w:bodyDiv w:val="1"/>
      <w:marLeft w:val="0"/>
      <w:marRight w:val="0"/>
      <w:marTop w:val="0"/>
      <w:marBottom w:val="0"/>
      <w:divBdr>
        <w:top w:val="none" w:sz="0" w:space="0" w:color="auto"/>
        <w:left w:val="none" w:sz="0" w:space="0" w:color="auto"/>
        <w:bottom w:val="none" w:sz="0" w:space="0" w:color="auto"/>
        <w:right w:val="none" w:sz="0" w:space="0" w:color="auto"/>
      </w:divBdr>
    </w:div>
    <w:div w:id="760833982">
      <w:bodyDiv w:val="1"/>
      <w:marLeft w:val="0"/>
      <w:marRight w:val="0"/>
      <w:marTop w:val="0"/>
      <w:marBottom w:val="0"/>
      <w:divBdr>
        <w:top w:val="none" w:sz="0" w:space="0" w:color="auto"/>
        <w:left w:val="none" w:sz="0" w:space="0" w:color="auto"/>
        <w:bottom w:val="none" w:sz="0" w:space="0" w:color="auto"/>
        <w:right w:val="none" w:sz="0" w:space="0" w:color="auto"/>
      </w:divBdr>
    </w:div>
    <w:div w:id="909921355">
      <w:bodyDiv w:val="1"/>
      <w:marLeft w:val="0"/>
      <w:marRight w:val="0"/>
      <w:marTop w:val="0"/>
      <w:marBottom w:val="0"/>
      <w:divBdr>
        <w:top w:val="none" w:sz="0" w:space="0" w:color="auto"/>
        <w:left w:val="none" w:sz="0" w:space="0" w:color="auto"/>
        <w:bottom w:val="none" w:sz="0" w:space="0" w:color="auto"/>
        <w:right w:val="none" w:sz="0" w:space="0" w:color="auto"/>
      </w:divBdr>
    </w:div>
    <w:div w:id="979458721">
      <w:bodyDiv w:val="1"/>
      <w:marLeft w:val="0"/>
      <w:marRight w:val="0"/>
      <w:marTop w:val="0"/>
      <w:marBottom w:val="0"/>
      <w:divBdr>
        <w:top w:val="none" w:sz="0" w:space="0" w:color="auto"/>
        <w:left w:val="none" w:sz="0" w:space="0" w:color="auto"/>
        <w:bottom w:val="none" w:sz="0" w:space="0" w:color="auto"/>
        <w:right w:val="none" w:sz="0" w:space="0" w:color="auto"/>
      </w:divBdr>
    </w:div>
    <w:div w:id="1001351459">
      <w:bodyDiv w:val="1"/>
      <w:marLeft w:val="0"/>
      <w:marRight w:val="0"/>
      <w:marTop w:val="0"/>
      <w:marBottom w:val="0"/>
      <w:divBdr>
        <w:top w:val="none" w:sz="0" w:space="0" w:color="auto"/>
        <w:left w:val="none" w:sz="0" w:space="0" w:color="auto"/>
        <w:bottom w:val="none" w:sz="0" w:space="0" w:color="auto"/>
        <w:right w:val="none" w:sz="0" w:space="0" w:color="auto"/>
      </w:divBdr>
    </w:div>
    <w:div w:id="1036156701">
      <w:bodyDiv w:val="1"/>
      <w:marLeft w:val="0"/>
      <w:marRight w:val="0"/>
      <w:marTop w:val="0"/>
      <w:marBottom w:val="0"/>
      <w:divBdr>
        <w:top w:val="none" w:sz="0" w:space="0" w:color="auto"/>
        <w:left w:val="none" w:sz="0" w:space="0" w:color="auto"/>
        <w:bottom w:val="none" w:sz="0" w:space="0" w:color="auto"/>
        <w:right w:val="none" w:sz="0" w:space="0" w:color="auto"/>
      </w:divBdr>
      <w:divsChild>
        <w:div w:id="89686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7118">
      <w:bodyDiv w:val="1"/>
      <w:marLeft w:val="0"/>
      <w:marRight w:val="0"/>
      <w:marTop w:val="0"/>
      <w:marBottom w:val="0"/>
      <w:divBdr>
        <w:top w:val="none" w:sz="0" w:space="0" w:color="auto"/>
        <w:left w:val="none" w:sz="0" w:space="0" w:color="auto"/>
        <w:bottom w:val="none" w:sz="0" w:space="0" w:color="auto"/>
        <w:right w:val="none" w:sz="0" w:space="0" w:color="auto"/>
      </w:divBdr>
      <w:divsChild>
        <w:div w:id="950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6561">
      <w:bodyDiv w:val="1"/>
      <w:marLeft w:val="0"/>
      <w:marRight w:val="0"/>
      <w:marTop w:val="0"/>
      <w:marBottom w:val="0"/>
      <w:divBdr>
        <w:top w:val="none" w:sz="0" w:space="0" w:color="auto"/>
        <w:left w:val="none" w:sz="0" w:space="0" w:color="auto"/>
        <w:bottom w:val="none" w:sz="0" w:space="0" w:color="auto"/>
        <w:right w:val="none" w:sz="0" w:space="0" w:color="auto"/>
      </w:divBdr>
    </w:div>
    <w:div w:id="1148668971">
      <w:bodyDiv w:val="1"/>
      <w:marLeft w:val="0"/>
      <w:marRight w:val="0"/>
      <w:marTop w:val="0"/>
      <w:marBottom w:val="0"/>
      <w:divBdr>
        <w:top w:val="none" w:sz="0" w:space="0" w:color="auto"/>
        <w:left w:val="none" w:sz="0" w:space="0" w:color="auto"/>
        <w:bottom w:val="none" w:sz="0" w:space="0" w:color="auto"/>
        <w:right w:val="none" w:sz="0" w:space="0" w:color="auto"/>
      </w:divBdr>
    </w:div>
    <w:div w:id="1171914878">
      <w:bodyDiv w:val="1"/>
      <w:marLeft w:val="0"/>
      <w:marRight w:val="0"/>
      <w:marTop w:val="0"/>
      <w:marBottom w:val="0"/>
      <w:divBdr>
        <w:top w:val="none" w:sz="0" w:space="0" w:color="auto"/>
        <w:left w:val="none" w:sz="0" w:space="0" w:color="auto"/>
        <w:bottom w:val="none" w:sz="0" w:space="0" w:color="auto"/>
        <w:right w:val="none" w:sz="0" w:space="0" w:color="auto"/>
      </w:divBdr>
      <w:divsChild>
        <w:div w:id="21163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20591">
      <w:bodyDiv w:val="1"/>
      <w:marLeft w:val="0"/>
      <w:marRight w:val="0"/>
      <w:marTop w:val="0"/>
      <w:marBottom w:val="0"/>
      <w:divBdr>
        <w:top w:val="none" w:sz="0" w:space="0" w:color="auto"/>
        <w:left w:val="none" w:sz="0" w:space="0" w:color="auto"/>
        <w:bottom w:val="none" w:sz="0" w:space="0" w:color="auto"/>
        <w:right w:val="none" w:sz="0" w:space="0" w:color="auto"/>
      </w:divBdr>
    </w:div>
    <w:div w:id="1204293283">
      <w:bodyDiv w:val="1"/>
      <w:marLeft w:val="0"/>
      <w:marRight w:val="0"/>
      <w:marTop w:val="0"/>
      <w:marBottom w:val="0"/>
      <w:divBdr>
        <w:top w:val="none" w:sz="0" w:space="0" w:color="auto"/>
        <w:left w:val="none" w:sz="0" w:space="0" w:color="auto"/>
        <w:bottom w:val="none" w:sz="0" w:space="0" w:color="auto"/>
        <w:right w:val="none" w:sz="0" w:space="0" w:color="auto"/>
      </w:divBdr>
      <w:divsChild>
        <w:div w:id="105527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88815">
      <w:bodyDiv w:val="1"/>
      <w:marLeft w:val="0"/>
      <w:marRight w:val="0"/>
      <w:marTop w:val="0"/>
      <w:marBottom w:val="0"/>
      <w:divBdr>
        <w:top w:val="none" w:sz="0" w:space="0" w:color="auto"/>
        <w:left w:val="none" w:sz="0" w:space="0" w:color="auto"/>
        <w:bottom w:val="none" w:sz="0" w:space="0" w:color="auto"/>
        <w:right w:val="none" w:sz="0" w:space="0" w:color="auto"/>
      </w:divBdr>
    </w:div>
    <w:div w:id="1347899320">
      <w:bodyDiv w:val="1"/>
      <w:marLeft w:val="0"/>
      <w:marRight w:val="0"/>
      <w:marTop w:val="0"/>
      <w:marBottom w:val="0"/>
      <w:divBdr>
        <w:top w:val="none" w:sz="0" w:space="0" w:color="auto"/>
        <w:left w:val="none" w:sz="0" w:space="0" w:color="auto"/>
        <w:bottom w:val="none" w:sz="0" w:space="0" w:color="auto"/>
        <w:right w:val="none" w:sz="0" w:space="0" w:color="auto"/>
      </w:divBdr>
    </w:div>
    <w:div w:id="1364476645">
      <w:bodyDiv w:val="1"/>
      <w:marLeft w:val="0"/>
      <w:marRight w:val="0"/>
      <w:marTop w:val="0"/>
      <w:marBottom w:val="0"/>
      <w:divBdr>
        <w:top w:val="none" w:sz="0" w:space="0" w:color="auto"/>
        <w:left w:val="none" w:sz="0" w:space="0" w:color="auto"/>
        <w:bottom w:val="none" w:sz="0" w:space="0" w:color="auto"/>
        <w:right w:val="none" w:sz="0" w:space="0" w:color="auto"/>
      </w:divBdr>
    </w:div>
    <w:div w:id="1379671953">
      <w:bodyDiv w:val="1"/>
      <w:marLeft w:val="0"/>
      <w:marRight w:val="0"/>
      <w:marTop w:val="0"/>
      <w:marBottom w:val="0"/>
      <w:divBdr>
        <w:top w:val="none" w:sz="0" w:space="0" w:color="auto"/>
        <w:left w:val="none" w:sz="0" w:space="0" w:color="auto"/>
        <w:bottom w:val="none" w:sz="0" w:space="0" w:color="auto"/>
        <w:right w:val="none" w:sz="0" w:space="0" w:color="auto"/>
      </w:divBdr>
    </w:div>
    <w:div w:id="1412774036">
      <w:bodyDiv w:val="1"/>
      <w:marLeft w:val="0"/>
      <w:marRight w:val="0"/>
      <w:marTop w:val="0"/>
      <w:marBottom w:val="0"/>
      <w:divBdr>
        <w:top w:val="none" w:sz="0" w:space="0" w:color="auto"/>
        <w:left w:val="none" w:sz="0" w:space="0" w:color="auto"/>
        <w:bottom w:val="none" w:sz="0" w:space="0" w:color="auto"/>
        <w:right w:val="none" w:sz="0" w:space="0" w:color="auto"/>
      </w:divBdr>
      <w:divsChild>
        <w:div w:id="30959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36501">
      <w:bodyDiv w:val="1"/>
      <w:marLeft w:val="0"/>
      <w:marRight w:val="0"/>
      <w:marTop w:val="0"/>
      <w:marBottom w:val="0"/>
      <w:divBdr>
        <w:top w:val="none" w:sz="0" w:space="0" w:color="auto"/>
        <w:left w:val="none" w:sz="0" w:space="0" w:color="auto"/>
        <w:bottom w:val="none" w:sz="0" w:space="0" w:color="auto"/>
        <w:right w:val="none" w:sz="0" w:space="0" w:color="auto"/>
      </w:divBdr>
    </w:div>
    <w:div w:id="1502115054">
      <w:bodyDiv w:val="1"/>
      <w:marLeft w:val="0"/>
      <w:marRight w:val="0"/>
      <w:marTop w:val="0"/>
      <w:marBottom w:val="0"/>
      <w:divBdr>
        <w:top w:val="none" w:sz="0" w:space="0" w:color="auto"/>
        <w:left w:val="none" w:sz="0" w:space="0" w:color="auto"/>
        <w:bottom w:val="none" w:sz="0" w:space="0" w:color="auto"/>
        <w:right w:val="none" w:sz="0" w:space="0" w:color="auto"/>
      </w:divBdr>
    </w:div>
    <w:div w:id="1523132885">
      <w:bodyDiv w:val="1"/>
      <w:marLeft w:val="0"/>
      <w:marRight w:val="0"/>
      <w:marTop w:val="0"/>
      <w:marBottom w:val="0"/>
      <w:divBdr>
        <w:top w:val="none" w:sz="0" w:space="0" w:color="auto"/>
        <w:left w:val="none" w:sz="0" w:space="0" w:color="auto"/>
        <w:bottom w:val="none" w:sz="0" w:space="0" w:color="auto"/>
        <w:right w:val="none" w:sz="0" w:space="0" w:color="auto"/>
      </w:divBdr>
      <w:divsChild>
        <w:div w:id="10799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23544">
      <w:bodyDiv w:val="1"/>
      <w:marLeft w:val="0"/>
      <w:marRight w:val="0"/>
      <w:marTop w:val="0"/>
      <w:marBottom w:val="0"/>
      <w:divBdr>
        <w:top w:val="none" w:sz="0" w:space="0" w:color="auto"/>
        <w:left w:val="none" w:sz="0" w:space="0" w:color="auto"/>
        <w:bottom w:val="none" w:sz="0" w:space="0" w:color="auto"/>
        <w:right w:val="none" w:sz="0" w:space="0" w:color="auto"/>
      </w:divBdr>
      <w:divsChild>
        <w:div w:id="7844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4203">
      <w:bodyDiv w:val="1"/>
      <w:marLeft w:val="0"/>
      <w:marRight w:val="0"/>
      <w:marTop w:val="0"/>
      <w:marBottom w:val="0"/>
      <w:divBdr>
        <w:top w:val="none" w:sz="0" w:space="0" w:color="auto"/>
        <w:left w:val="none" w:sz="0" w:space="0" w:color="auto"/>
        <w:bottom w:val="none" w:sz="0" w:space="0" w:color="auto"/>
        <w:right w:val="none" w:sz="0" w:space="0" w:color="auto"/>
      </w:divBdr>
      <w:divsChild>
        <w:div w:id="123712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67306">
      <w:bodyDiv w:val="1"/>
      <w:marLeft w:val="0"/>
      <w:marRight w:val="0"/>
      <w:marTop w:val="0"/>
      <w:marBottom w:val="0"/>
      <w:divBdr>
        <w:top w:val="none" w:sz="0" w:space="0" w:color="auto"/>
        <w:left w:val="none" w:sz="0" w:space="0" w:color="auto"/>
        <w:bottom w:val="none" w:sz="0" w:space="0" w:color="auto"/>
        <w:right w:val="none" w:sz="0" w:space="0" w:color="auto"/>
      </w:divBdr>
      <w:divsChild>
        <w:div w:id="72129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7726">
      <w:bodyDiv w:val="1"/>
      <w:marLeft w:val="0"/>
      <w:marRight w:val="0"/>
      <w:marTop w:val="0"/>
      <w:marBottom w:val="0"/>
      <w:divBdr>
        <w:top w:val="none" w:sz="0" w:space="0" w:color="auto"/>
        <w:left w:val="none" w:sz="0" w:space="0" w:color="auto"/>
        <w:bottom w:val="none" w:sz="0" w:space="0" w:color="auto"/>
        <w:right w:val="none" w:sz="0" w:space="0" w:color="auto"/>
      </w:divBdr>
      <w:divsChild>
        <w:div w:id="9977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15312">
      <w:bodyDiv w:val="1"/>
      <w:marLeft w:val="0"/>
      <w:marRight w:val="0"/>
      <w:marTop w:val="0"/>
      <w:marBottom w:val="0"/>
      <w:divBdr>
        <w:top w:val="none" w:sz="0" w:space="0" w:color="auto"/>
        <w:left w:val="none" w:sz="0" w:space="0" w:color="auto"/>
        <w:bottom w:val="none" w:sz="0" w:space="0" w:color="auto"/>
        <w:right w:val="none" w:sz="0" w:space="0" w:color="auto"/>
      </w:divBdr>
    </w:div>
    <w:div w:id="1691102312">
      <w:bodyDiv w:val="1"/>
      <w:marLeft w:val="0"/>
      <w:marRight w:val="0"/>
      <w:marTop w:val="0"/>
      <w:marBottom w:val="0"/>
      <w:divBdr>
        <w:top w:val="none" w:sz="0" w:space="0" w:color="auto"/>
        <w:left w:val="none" w:sz="0" w:space="0" w:color="auto"/>
        <w:bottom w:val="none" w:sz="0" w:space="0" w:color="auto"/>
        <w:right w:val="none" w:sz="0" w:space="0" w:color="auto"/>
      </w:divBdr>
      <w:divsChild>
        <w:div w:id="160217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24833">
      <w:bodyDiv w:val="1"/>
      <w:marLeft w:val="0"/>
      <w:marRight w:val="0"/>
      <w:marTop w:val="0"/>
      <w:marBottom w:val="0"/>
      <w:divBdr>
        <w:top w:val="none" w:sz="0" w:space="0" w:color="auto"/>
        <w:left w:val="none" w:sz="0" w:space="0" w:color="auto"/>
        <w:bottom w:val="none" w:sz="0" w:space="0" w:color="auto"/>
        <w:right w:val="none" w:sz="0" w:space="0" w:color="auto"/>
      </w:divBdr>
      <w:divsChild>
        <w:div w:id="97572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1054">
      <w:bodyDiv w:val="1"/>
      <w:marLeft w:val="0"/>
      <w:marRight w:val="0"/>
      <w:marTop w:val="0"/>
      <w:marBottom w:val="0"/>
      <w:divBdr>
        <w:top w:val="none" w:sz="0" w:space="0" w:color="auto"/>
        <w:left w:val="none" w:sz="0" w:space="0" w:color="auto"/>
        <w:bottom w:val="none" w:sz="0" w:space="0" w:color="auto"/>
        <w:right w:val="none" w:sz="0" w:space="0" w:color="auto"/>
      </w:divBdr>
    </w:div>
    <w:div w:id="1807772139">
      <w:bodyDiv w:val="1"/>
      <w:marLeft w:val="0"/>
      <w:marRight w:val="0"/>
      <w:marTop w:val="0"/>
      <w:marBottom w:val="0"/>
      <w:divBdr>
        <w:top w:val="none" w:sz="0" w:space="0" w:color="auto"/>
        <w:left w:val="none" w:sz="0" w:space="0" w:color="auto"/>
        <w:bottom w:val="none" w:sz="0" w:space="0" w:color="auto"/>
        <w:right w:val="none" w:sz="0" w:space="0" w:color="auto"/>
      </w:divBdr>
      <w:divsChild>
        <w:div w:id="10790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2825">
      <w:bodyDiv w:val="1"/>
      <w:marLeft w:val="0"/>
      <w:marRight w:val="0"/>
      <w:marTop w:val="0"/>
      <w:marBottom w:val="0"/>
      <w:divBdr>
        <w:top w:val="none" w:sz="0" w:space="0" w:color="auto"/>
        <w:left w:val="none" w:sz="0" w:space="0" w:color="auto"/>
        <w:bottom w:val="none" w:sz="0" w:space="0" w:color="auto"/>
        <w:right w:val="none" w:sz="0" w:space="0" w:color="auto"/>
      </w:divBdr>
      <w:divsChild>
        <w:div w:id="37808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5219">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sChild>
        <w:div w:id="461657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288535">
      <w:bodyDiv w:val="1"/>
      <w:marLeft w:val="0"/>
      <w:marRight w:val="0"/>
      <w:marTop w:val="0"/>
      <w:marBottom w:val="0"/>
      <w:divBdr>
        <w:top w:val="none" w:sz="0" w:space="0" w:color="auto"/>
        <w:left w:val="none" w:sz="0" w:space="0" w:color="auto"/>
        <w:bottom w:val="none" w:sz="0" w:space="0" w:color="auto"/>
        <w:right w:val="none" w:sz="0" w:space="0" w:color="auto"/>
      </w:divBdr>
    </w:div>
    <w:div w:id="1924072047">
      <w:bodyDiv w:val="1"/>
      <w:marLeft w:val="0"/>
      <w:marRight w:val="0"/>
      <w:marTop w:val="0"/>
      <w:marBottom w:val="0"/>
      <w:divBdr>
        <w:top w:val="none" w:sz="0" w:space="0" w:color="auto"/>
        <w:left w:val="none" w:sz="0" w:space="0" w:color="auto"/>
        <w:bottom w:val="none" w:sz="0" w:space="0" w:color="auto"/>
        <w:right w:val="none" w:sz="0" w:space="0" w:color="auto"/>
      </w:divBdr>
    </w:div>
    <w:div w:id="1937052035">
      <w:bodyDiv w:val="1"/>
      <w:marLeft w:val="0"/>
      <w:marRight w:val="0"/>
      <w:marTop w:val="0"/>
      <w:marBottom w:val="0"/>
      <w:divBdr>
        <w:top w:val="none" w:sz="0" w:space="0" w:color="auto"/>
        <w:left w:val="none" w:sz="0" w:space="0" w:color="auto"/>
        <w:bottom w:val="none" w:sz="0" w:space="0" w:color="auto"/>
        <w:right w:val="none" w:sz="0" w:space="0" w:color="auto"/>
      </w:divBdr>
    </w:div>
    <w:div w:id="2067752624">
      <w:bodyDiv w:val="1"/>
      <w:marLeft w:val="0"/>
      <w:marRight w:val="0"/>
      <w:marTop w:val="0"/>
      <w:marBottom w:val="0"/>
      <w:divBdr>
        <w:top w:val="none" w:sz="0" w:space="0" w:color="auto"/>
        <w:left w:val="none" w:sz="0" w:space="0" w:color="auto"/>
        <w:bottom w:val="none" w:sz="0" w:space="0" w:color="auto"/>
        <w:right w:val="none" w:sz="0" w:space="0" w:color="auto"/>
      </w:divBdr>
    </w:div>
    <w:div w:id="2086799555">
      <w:bodyDiv w:val="1"/>
      <w:marLeft w:val="0"/>
      <w:marRight w:val="0"/>
      <w:marTop w:val="0"/>
      <w:marBottom w:val="0"/>
      <w:divBdr>
        <w:top w:val="none" w:sz="0" w:space="0" w:color="auto"/>
        <w:left w:val="none" w:sz="0" w:space="0" w:color="auto"/>
        <w:bottom w:val="none" w:sz="0" w:space="0" w:color="auto"/>
        <w:right w:val="none" w:sz="0" w:space="0" w:color="auto"/>
      </w:divBdr>
    </w:div>
    <w:div w:id="2106613958">
      <w:bodyDiv w:val="1"/>
      <w:marLeft w:val="0"/>
      <w:marRight w:val="0"/>
      <w:marTop w:val="0"/>
      <w:marBottom w:val="0"/>
      <w:divBdr>
        <w:top w:val="none" w:sz="0" w:space="0" w:color="auto"/>
        <w:left w:val="none" w:sz="0" w:space="0" w:color="auto"/>
        <w:bottom w:val="none" w:sz="0" w:space="0" w:color="auto"/>
        <w:right w:val="none" w:sz="0" w:space="0" w:color="auto"/>
      </w:divBdr>
    </w:div>
    <w:div w:id="2128087942">
      <w:bodyDiv w:val="1"/>
      <w:marLeft w:val="0"/>
      <w:marRight w:val="0"/>
      <w:marTop w:val="0"/>
      <w:marBottom w:val="0"/>
      <w:divBdr>
        <w:top w:val="none" w:sz="0" w:space="0" w:color="auto"/>
        <w:left w:val="none" w:sz="0" w:space="0" w:color="auto"/>
        <w:bottom w:val="none" w:sz="0" w:space="0" w:color="auto"/>
        <w:right w:val="none" w:sz="0" w:space="0" w:color="auto"/>
      </w:divBdr>
    </w:div>
    <w:div w:id="2142918283">
      <w:bodyDiv w:val="1"/>
      <w:marLeft w:val="0"/>
      <w:marRight w:val="0"/>
      <w:marTop w:val="0"/>
      <w:marBottom w:val="0"/>
      <w:divBdr>
        <w:top w:val="none" w:sz="0" w:space="0" w:color="auto"/>
        <w:left w:val="none" w:sz="0" w:space="0" w:color="auto"/>
        <w:bottom w:val="none" w:sz="0" w:space="0" w:color="auto"/>
        <w:right w:val="none" w:sz="0" w:space="0" w:color="auto"/>
      </w:divBdr>
      <w:divsChild>
        <w:div w:id="177813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3461</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1. Ryzyko finansowo-sprawozdawcze przedsiębiorstw</dc:title>
  <dc:subject>Teoretyczne podstawy rozpoznawania pogorszenia kondycji finansowej</dc:subject>
  <dc:creator>Oskar Stachowski</dc:creator>
  <cp:keywords/>
  <cp:lastModifiedBy>Oskar Stachowski</cp:lastModifiedBy>
  <cp:revision>2</cp:revision>
  <dcterms:created xsi:type="dcterms:W3CDTF">2026-08-25T11:34:00Z</dcterms:created>
  <dcterms:modified xsi:type="dcterms:W3CDTF">2026-08-25T11:34:00Z</dcterms:modified>
</cp:coreProperties>
</file>