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C32D6" w14:textId="77777777" w:rsidR="003F0521" w:rsidRDefault="00000000">
      <w:pPr>
        <w:pStyle w:val="Heading1"/>
        <w:spacing w:after="0" w:line="360" w:lineRule="auto"/>
        <w:ind w:firstLine="709"/>
        <w:jc w:val="both"/>
      </w:pPr>
      <w:r>
        <w:t>4. Metodyka badania empirycznego</w:t>
      </w:r>
    </w:p>
    <w:p w14:paraId="47D6F37D" w14:textId="77777777" w:rsidR="003F0521" w:rsidRDefault="00000000">
      <w:pPr>
        <w:spacing w:after="0" w:line="360" w:lineRule="auto"/>
        <w:ind w:firstLine="709"/>
        <w:jc w:val="both"/>
      </w:pPr>
      <w:r>
        <w:t>Rozdział przedstawia pełną metodykę badania empirycznego: od konstrukcji historycznej populacji emitentów i zmiennej docelowej, przez przygotowanie cech oraz redukcję wymiaru, po dobór rodzin modeli i protokół ich ewaluacji. Kolejność podrozdziałów odpowiada przepływowi informacji w potoku badawczym i rozdziela decyzje dotyczące danych, reprezentacji, uczenia oraz oceny, co ogranicza ryzyko wycieku informacji i podejmowania decyzji po poznaniu wyników.</w:t>
      </w:r>
    </w:p>
    <w:p w14:paraId="1C47E1A6" w14:textId="77777777" w:rsidR="003F0521" w:rsidRDefault="00000000">
      <w:pPr>
        <w:pStyle w:val="Heading2"/>
      </w:pPr>
      <w:r>
        <w:t>4.1. Źródła danych i zakres badania</w:t>
      </w:r>
    </w:p>
    <w:p w14:paraId="0CA84B9D" w14:textId="77777777" w:rsidR="003F0521" w:rsidRDefault="00000000">
      <w:pPr>
        <w:spacing w:after="0" w:line="360" w:lineRule="auto"/>
        <w:ind w:firstLine="709"/>
        <w:jc w:val="both"/>
      </w:pPr>
      <w:r>
        <w:t xml:space="preserve">Badanie empiryczne przeprowadzono na publicznych danych sprawozdawczych i rejestrowych emitentów przekazywanych do amerykańskiej Komisji Papierów Wartościowych i Giełd (U.S. Securities and Exchange Commission, SEC). Konstrukcję bazy podporządkowano zasadzie </w:t>
      </w:r>
      <w:r>
        <w:rPr>
          <w:i/>
        </w:rPr>
        <w:t>point-in-time</w:t>
      </w:r>
      <w:r>
        <w:t xml:space="preserve"> (PIT), zgodnie z którą każda obserwacja, informacja o przynależności do populacji oraz konstruowane później cechy i etykiety muszą być powiązane z konkretnym historycznym zgłoszeniem i momentem jego udostępnienia. Z tego względu populacji badawczej nie utworzono na podstawie bieżącej listy symboli giełdowych (tickerów) ani aktualnego wykazu aktywnych spółek. Zastosowano podejście rozpoczynające się od zgłoszenia źródłowego (</w:t>
      </w:r>
      <w:r>
        <w:rPr>
          <w:i/>
        </w:rPr>
        <w:t>filing-first</w:t>
      </w:r>
      <w:r>
        <w:t>): punktem wyjścia był historyczny rejestr oryginalnych raportów rocznych Form 10-K, a dopiero następnie ustalano cechy emitenta, jego sektor, rolę w zgłoszeniu wspólnym oraz dostępność danych finansowych. Tak zdefiniowana warstwa danych została zamrożona jako historyczna populacja PIT w wersji 1.1.0.</w:t>
      </w:r>
      <w:r>
        <w:footnoteReference w:id="1"/>
      </w:r>
    </w:p>
    <w:p w14:paraId="2F698341" w14:textId="77777777" w:rsidR="003F0521" w:rsidRDefault="00000000">
      <w:pPr>
        <w:spacing w:after="0" w:line="360" w:lineRule="auto"/>
        <w:ind w:firstLine="709"/>
        <w:jc w:val="both"/>
      </w:pPr>
      <w:r>
        <w:t>Podstawowym środowiskiem źródłowym był system EDGAR (Electronic Data Gathering, Analysis, and Retrieval). System ten zapewnia publiczny dostęp do zgłoszeń składanych do SEC, ich metadanych, plików indeksowych oraz dokumentów źródłowych. W badaniu wykorzystano przede wszystkim kwartalne pliki indeksu głównego (</w:t>
      </w:r>
      <w:r>
        <w:rPr>
          <w:i/>
        </w:rPr>
        <w:t>master index</w:t>
      </w:r>
      <w:r>
        <w:t xml:space="preserve">), tworzące historyczny spis zgłoszeń i zawierające nazwę podmiotu, rodzaj formularza, identyfikator CIK, datę złożenia oraz ścieżkę do pliku w archiwum EDGAR. Numer accession wyprowadzano z tej ścieżki. Indeks stanowił zatem spis kandydatów spełniających warunek formularza, natomiast wybór dokumentu kotwiczącego dla CIK i roku fiskalnego następował po połączeniu danych indeksowych </w:t>
      </w:r>
      <w:r>
        <w:lastRenderedPageBreak/>
        <w:t>z metadanymi roku fiskalnego i czasu przyjęcia pochodzącymi z tablicy SUB zbiorów FSDS albo z nagłówka zgłoszenia. Dzięki temu budowę zbioru rozpoczynano od wszystkich historycznych zgłoszeń spełniających warunki formalne, a nie od listy podmiotów, które przetrwały do dnia pobrania danych.</w:t>
      </w:r>
      <w:r>
        <w:footnoteReference w:id="2"/>
      </w:r>
    </w:p>
    <w:p w14:paraId="7DDD1772" w14:textId="77777777" w:rsidR="003F0521" w:rsidRDefault="00000000">
      <w:pPr>
        <w:spacing w:after="0" w:line="360" w:lineRule="auto"/>
        <w:ind w:firstLine="709"/>
        <w:jc w:val="both"/>
      </w:pPr>
      <w:r>
        <w:t>Za dokument kotwiczący przyjęto oryginalny raport roczny Form 10-K. Raport ten przedstawia kompleksowy obraz działalności i sytuacji finansowej raportującej spółki oraz zawiera zbadane roczne sprawozdanie finansowe. Wybór Form 10-K wynikał z potrzeby zachowania porównywalności horyzontu rocznego, dostępu do bilansu, rachunku wyników i rachunku przepływów pieniężnych, a także możliwości jednoznacznego przypisania danych do roku obrotowego oraz chwili publikacji. Formularze 10-K/A, 10-KT i 10-KT/A nie były traktowane jako kwalifikujące zgłoszenia kotwiczące: poprawki i późniejsze wersje mogłyby wprowadzać informacje, których uczestnik rynku nie znał w momencie pierwotnej publikacji, natomiast formularze przejściowe utrudniałyby porównywalność standardowych okresów rocznych. Zestawienie źródeł oraz ich funkcji w procesie badawczym przedstawiono w tabeli 4.1.</w:t>
      </w:r>
      <w:r>
        <w:footnoteReference w:id="3"/>
      </w:r>
    </w:p>
    <w:p w14:paraId="25D97184" w14:textId="77777777" w:rsidR="003F0521" w:rsidRDefault="00000000">
      <w:pPr>
        <w:pStyle w:val="Podpistabeli"/>
        <w:keepLines/>
      </w:pPr>
      <w:r>
        <w:rPr>
          <w:color w:val="000000"/>
          <w:szCs w:val="20"/>
        </w:rPr>
        <w:t>Tabela 4.1. Źródła danych wykorzystane w badaniu i ich rola</w:t>
      </w:r>
    </w:p>
    <w:tbl>
      <w:tblPr>
        <w:tblStyle w:val="TableGrid"/>
        <w:tblW w:w="8504" w:type="dxa"/>
        <w:jc w:val="center"/>
        <w:tblLayout w:type="fixed"/>
        <w:tblLook w:val="04A0" w:firstRow="1" w:lastRow="0" w:firstColumn="1" w:lastColumn="0" w:noHBand="0" w:noVBand="1"/>
      </w:tblPr>
      <w:tblGrid>
        <w:gridCol w:w="1809"/>
        <w:gridCol w:w="2604"/>
        <w:gridCol w:w="4091"/>
      </w:tblGrid>
      <w:tr w:rsidR="003F0521" w14:paraId="08BF3A53" w14:textId="77777777">
        <w:trPr>
          <w:cantSplit/>
          <w:tblHeader/>
          <w:jc w:val="center"/>
        </w:trPr>
        <w:tc>
          <w:tcPr>
            <w:tcW w:w="1854" w:type="dxa"/>
            <w:shd w:val="clear" w:color="auto" w:fill="D9E2F3"/>
            <w:tcMar>
              <w:top w:w="80" w:type="dxa"/>
              <w:left w:w="90" w:type="dxa"/>
              <w:bottom w:w="80" w:type="dxa"/>
              <w:right w:w="90" w:type="dxa"/>
            </w:tcMar>
          </w:tcPr>
          <w:p w14:paraId="21E4AD98" w14:textId="77777777" w:rsidR="003F0521" w:rsidRDefault="00000000">
            <w:r>
              <w:rPr>
                <w:b/>
                <w:sz w:val="20"/>
              </w:rPr>
              <w:t>Źródło</w:t>
            </w:r>
          </w:p>
        </w:tc>
        <w:tc>
          <w:tcPr>
            <w:tcW w:w="2672" w:type="dxa"/>
            <w:shd w:val="clear" w:color="auto" w:fill="D9E2F3"/>
            <w:tcMar>
              <w:top w:w="80" w:type="dxa"/>
              <w:left w:w="90" w:type="dxa"/>
              <w:bottom w:w="80" w:type="dxa"/>
              <w:right w:w="90" w:type="dxa"/>
            </w:tcMar>
          </w:tcPr>
          <w:p w14:paraId="5CE4757C" w14:textId="77777777" w:rsidR="003F0521" w:rsidRDefault="00000000">
            <w:r>
              <w:rPr>
                <w:b/>
                <w:sz w:val="20"/>
              </w:rPr>
              <w:t>Zakres informacji</w:t>
            </w:r>
          </w:p>
        </w:tc>
        <w:tc>
          <w:tcPr>
            <w:tcW w:w="4200" w:type="dxa"/>
            <w:shd w:val="clear" w:color="auto" w:fill="D9E2F3"/>
            <w:tcMar>
              <w:top w:w="80" w:type="dxa"/>
              <w:left w:w="90" w:type="dxa"/>
              <w:bottom w:w="80" w:type="dxa"/>
              <w:right w:w="90" w:type="dxa"/>
            </w:tcMar>
          </w:tcPr>
          <w:p w14:paraId="437C0B03" w14:textId="77777777" w:rsidR="003F0521" w:rsidRDefault="00000000">
            <w:r>
              <w:rPr>
                <w:b/>
                <w:sz w:val="20"/>
              </w:rPr>
              <w:t>Rola w procesie badawczym</w:t>
            </w:r>
          </w:p>
        </w:tc>
      </w:tr>
      <w:tr w:rsidR="003F0521" w14:paraId="6B285A4A" w14:textId="77777777">
        <w:trPr>
          <w:cantSplit/>
          <w:jc w:val="center"/>
        </w:trPr>
        <w:tc>
          <w:tcPr>
            <w:tcW w:w="1854" w:type="dxa"/>
            <w:tcMar>
              <w:top w:w="80" w:type="dxa"/>
              <w:left w:w="90" w:type="dxa"/>
              <w:bottom w:w="80" w:type="dxa"/>
              <w:right w:w="90" w:type="dxa"/>
            </w:tcMar>
          </w:tcPr>
          <w:p w14:paraId="2B2D3987" w14:textId="77777777" w:rsidR="003F0521" w:rsidRDefault="00000000">
            <w:r>
              <w:rPr>
                <w:sz w:val="20"/>
              </w:rPr>
              <w:t>Kwartalny indeks główny EDGAR (master index)</w:t>
            </w:r>
          </w:p>
        </w:tc>
        <w:tc>
          <w:tcPr>
            <w:tcW w:w="2672" w:type="dxa"/>
            <w:tcMar>
              <w:top w:w="80" w:type="dxa"/>
              <w:left w:w="90" w:type="dxa"/>
              <w:bottom w:w="80" w:type="dxa"/>
              <w:right w:w="90" w:type="dxa"/>
            </w:tcMar>
          </w:tcPr>
          <w:p w14:paraId="0104AC70" w14:textId="77777777" w:rsidR="003F0521" w:rsidRDefault="00000000">
            <w:r>
              <w:rPr>
                <w:sz w:val="20"/>
              </w:rPr>
              <w:t>CIK, nazwa podmiotu, typ formularza, data złożenia i ścieżka do pliku; numer accession wyprowadzany ze ścieżki zgłoszenia.</w:t>
            </w:r>
          </w:p>
        </w:tc>
        <w:tc>
          <w:tcPr>
            <w:tcW w:w="4200" w:type="dxa"/>
            <w:tcMar>
              <w:top w:w="80" w:type="dxa"/>
              <w:left w:w="90" w:type="dxa"/>
              <w:bottom w:w="80" w:type="dxa"/>
              <w:right w:w="90" w:type="dxa"/>
            </w:tcMar>
          </w:tcPr>
          <w:p w14:paraId="2B58079A" w14:textId="77777777" w:rsidR="003F0521" w:rsidRDefault="00000000">
            <w:r>
              <w:rPr>
                <w:sz w:val="20"/>
              </w:rPr>
              <w:t>Historyczny spis kandydatów spełniających warunek formularza. Wybór dokumentu kotwiczącego dla CIK i roku fiskalnego następował po połączeniu indeksu z metadanymi roku fiskalnego i czasu przyjęcia z FSDS SUB albo nagłówka zgłoszenia.</w:t>
            </w:r>
          </w:p>
        </w:tc>
      </w:tr>
      <w:tr w:rsidR="003F0521" w14:paraId="340044CB" w14:textId="77777777">
        <w:trPr>
          <w:cantSplit/>
          <w:jc w:val="center"/>
        </w:trPr>
        <w:tc>
          <w:tcPr>
            <w:tcW w:w="1854" w:type="dxa"/>
            <w:tcMar>
              <w:top w:w="80" w:type="dxa"/>
              <w:left w:w="90" w:type="dxa"/>
              <w:bottom w:w="80" w:type="dxa"/>
              <w:right w:w="90" w:type="dxa"/>
            </w:tcMar>
          </w:tcPr>
          <w:p w14:paraId="061CA8D5" w14:textId="77777777" w:rsidR="003F0521" w:rsidRPr="00284ADC" w:rsidRDefault="00000000">
            <w:pPr>
              <w:rPr>
                <w:lang w:val="en-US"/>
              </w:rPr>
            </w:pPr>
            <w:r w:rsidRPr="00284ADC">
              <w:rPr>
                <w:sz w:val="20"/>
                <w:lang w:val="en-US"/>
              </w:rPr>
              <w:t xml:space="preserve">Financial Statement Data Sets (FSDS) – </w:t>
            </w:r>
            <w:proofErr w:type="spellStart"/>
            <w:r w:rsidRPr="00284ADC">
              <w:rPr>
                <w:sz w:val="20"/>
                <w:lang w:val="en-US"/>
              </w:rPr>
              <w:t>tablica</w:t>
            </w:r>
            <w:proofErr w:type="spellEnd"/>
            <w:r w:rsidRPr="00284ADC">
              <w:rPr>
                <w:sz w:val="20"/>
                <w:lang w:val="en-US"/>
              </w:rPr>
              <w:t xml:space="preserve"> SUB</w:t>
            </w:r>
          </w:p>
        </w:tc>
        <w:tc>
          <w:tcPr>
            <w:tcW w:w="2672" w:type="dxa"/>
            <w:tcMar>
              <w:top w:w="80" w:type="dxa"/>
              <w:left w:w="90" w:type="dxa"/>
              <w:bottom w:w="80" w:type="dxa"/>
              <w:right w:w="90" w:type="dxa"/>
            </w:tcMar>
          </w:tcPr>
          <w:p w14:paraId="1485AA4E" w14:textId="77777777" w:rsidR="003F0521" w:rsidRDefault="00000000">
            <w:r>
              <w:rPr>
                <w:sz w:val="20"/>
              </w:rPr>
              <w:t>Metadane zgłoszenia, rok obrotowy, historyczny SIC, data i czas przyjęcia zgłoszenia oraz identyfikatory SEC.</w:t>
            </w:r>
          </w:p>
        </w:tc>
        <w:tc>
          <w:tcPr>
            <w:tcW w:w="4200" w:type="dxa"/>
            <w:tcMar>
              <w:top w:w="80" w:type="dxa"/>
              <w:left w:w="90" w:type="dxa"/>
              <w:bottom w:w="80" w:type="dxa"/>
              <w:right w:w="90" w:type="dxa"/>
            </w:tcMar>
          </w:tcPr>
          <w:p w14:paraId="66E32B48" w14:textId="77777777" w:rsidR="003F0521" w:rsidRDefault="00000000">
            <w:r>
              <w:rPr>
                <w:sz w:val="20"/>
              </w:rPr>
              <w:t>Ustalenie historycznych cech zgłoszenia, roku fiskalnego, momentu dostępności i klasyfikacji branżowej przypisanej do tego samego numeru accession.</w:t>
            </w:r>
          </w:p>
        </w:tc>
      </w:tr>
      <w:tr w:rsidR="003F0521" w14:paraId="15F3CABD" w14:textId="77777777">
        <w:trPr>
          <w:cantSplit/>
          <w:jc w:val="center"/>
        </w:trPr>
        <w:tc>
          <w:tcPr>
            <w:tcW w:w="1854" w:type="dxa"/>
            <w:tcMar>
              <w:top w:w="80" w:type="dxa"/>
              <w:left w:w="90" w:type="dxa"/>
              <w:bottom w:w="80" w:type="dxa"/>
              <w:right w:w="90" w:type="dxa"/>
            </w:tcMar>
          </w:tcPr>
          <w:p w14:paraId="095BFF35" w14:textId="77777777" w:rsidR="003F0521" w:rsidRDefault="00000000">
            <w:r>
              <w:rPr>
                <w:sz w:val="20"/>
              </w:rPr>
              <w:t>Nagłówek zgłoszenia (submission header)</w:t>
            </w:r>
          </w:p>
        </w:tc>
        <w:tc>
          <w:tcPr>
            <w:tcW w:w="2672" w:type="dxa"/>
            <w:tcMar>
              <w:top w:w="80" w:type="dxa"/>
              <w:left w:w="90" w:type="dxa"/>
              <w:bottom w:w="80" w:type="dxa"/>
              <w:right w:w="90" w:type="dxa"/>
            </w:tcMar>
          </w:tcPr>
          <w:p w14:paraId="295A5777" w14:textId="77777777" w:rsidR="003F0521" w:rsidRDefault="00000000">
            <w:r>
              <w:rPr>
                <w:sz w:val="20"/>
              </w:rPr>
              <w:t>Bloki FILER, dane rejestrujących i współrejestrujących oraz metadane zgłoszenia.</w:t>
            </w:r>
          </w:p>
        </w:tc>
        <w:tc>
          <w:tcPr>
            <w:tcW w:w="4200" w:type="dxa"/>
            <w:tcMar>
              <w:top w:w="80" w:type="dxa"/>
              <w:left w:w="90" w:type="dxa"/>
              <w:bottom w:w="80" w:type="dxa"/>
              <w:right w:w="90" w:type="dxa"/>
            </w:tcMar>
          </w:tcPr>
          <w:p w14:paraId="09DA4773" w14:textId="77777777" w:rsidR="003F0521" w:rsidRDefault="00000000">
            <w:r>
              <w:rPr>
                <w:sz w:val="20"/>
              </w:rPr>
              <w:t>Weryfikacja podmiotów w zgłoszeniach wspólnych, źródło historycznego SIC dla współrejestrujących oraz uzupełnienie, gdy metadanych FSDS nie można było przypisać do właściwego CIK.</w:t>
            </w:r>
          </w:p>
        </w:tc>
      </w:tr>
      <w:tr w:rsidR="003F0521" w14:paraId="4F1899F2" w14:textId="77777777">
        <w:trPr>
          <w:cantSplit/>
          <w:jc w:val="center"/>
        </w:trPr>
        <w:tc>
          <w:tcPr>
            <w:tcW w:w="1854" w:type="dxa"/>
            <w:tcMar>
              <w:top w:w="80" w:type="dxa"/>
              <w:left w:w="90" w:type="dxa"/>
              <w:bottom w:w="80" w:type="dxa"/>
              <w:right w:w="90" w:type="dxa"/>
            </w:tcMar>
          </w:tcPr>
          <w:p w14:paraId="44B584D5" w14:textId="77777777" w:rsidR="003F0521" w:rsidRDefault="00000000">
            <w:r>
              <w:rPr>
                <w:sz w:val="20"/>
              </w:rPr>
              <w:lastRenderedPageBreak/>
              <w:t>Pierwotny dokument 10-K i jego pakiet XBRL</w:t>
            </w:r>
          </w:p>
        </w:tc>
        <w:tc>
          <w:tcPr>
            <w:tcW w:w="2672" w:type="dxa"/>
            <w:tcMar>
              <w:top w:w="80" w:type="dxa"/>
              <w:left w:w="90" w:type="dxa"/>
              <w:bottom w:w="80" w:type="dxa"/>
              <w:right w:w="90" w:type="dxa"/>
            </w:tcMar>
          </w:tcPr>
          <w:p w14:paraId="02B5C6DC" w14:textId="77777777" w:rsidR="003F0521" w:rsidRDefault="00000000">
            <w:r>
              <w:rPr>
                <w:sz w:val="20"/>
              </w:rPr>
              <w:t>Pełne roczne sprawozdania, kontekst jednostki raportującej, struktura podstawowych sprawozdań oraz ścieżka pochodzenia faktów.</w:t>
            </w:r>
          </w:p>
        </w:tc>
        <w:tc>
          <w:tcPr>
            <w:tcW w:w="4200" w:type="dxa"/>
            <w:tcMar>
              <w:top w:w="80" w:type="dxa"/>
              <w:left w:w="90" w:type="dxa"/>
              <w:bottom w:w="80" w:type="dxa"/>
              <w:right w:w="90" w:type="dxa"/>
            </w:tcMar>
          </w:tcPr>
          <w:p w14:paraId="129A937B" w14:textId="77777777" w:rsidR="003F0521" w:rsidRDefault="00000000">
            <w:r>
              <w:rPr>
                <w:sz w:val="20"/>
              </w:rPr>
              <w:t>Rozstrzyganie ekonomicznego zakresu sprawozdania, własności tego zakresu, roli współrejestrujących oraz późniejsza ekstrakcja danych finansowych.</w:t>
            </w:r>
          </w:p>
        </w:tc>
      </w:tr>
      <w:tr w:rsidR="003F0521" w14:paraId="656C6913" w14:textId="77777777">
        <w:trPr>
          <w:cantSplit/>
          <w:jc w:val="center"/>
        </w:trPr>
        <w:tc>
          <w:tcPr>
            <w:tcW w:w="1854" w:type="dxa"/>
            <w:tcMar>
              <w:top w:w="80" w:type="dxa"/>
              <w:left w:w="90" w:type="dxa"/>
              <w:bottom w:w="80" w:type="dxa"/>
              <w:right w:w="90" w:type="dxa"/>
            </w:tcMar>
          </w:tcPr>
          <w:p w14:paraId="7DD6B599" w14:textId="77777777" w:rsidR="003F0521" w:rsidRDefault="00000000">
            <w:r>
              <w:rPr>
                <w:sz w:val="20"/>
              </w:rPr>
              <w:t>Oficjalna lista kodów SIC SEC</w:t>
            </w:r>
          </w:p>
        </w:tc>
        <w:tc>
          <w:tcPr>
            <w:tcW w:w="2672" w:type="dxa"/>
            <w:tcMar>
              <w:top w:w="80" w:type="dxa"/>
              <w:left w:w="90" w:type="dxa"/>
              <w:bottom w:w="80" w:type="dxa"/>
              <w:right w:w="90" w:type="dxa"/>
            </w:tcMar>
          </w:tcPr>
          <w:p w14:paraId="3101A2DF" w14:textId="77777777" w:rsidR="003F0521" w:rsidRDefault="00000000">
            <w:r>
              <w:rPr>
                <w:sz w:val="20"/>
              </w:rPr>
              <w:t>Kod i opis rodzaju działalności przypisany do emitenta w EDGAR.</w:t>
            </w:r>
          </w:p>
        </w:tc>
        <w:tc>
          <w:tcPr>
            <w:tcW w:w="4200" w:type="dxa"/>
            <w:tcMar>
              <w:top w:w="80" w:type="dxa"/>
              <w:left w:w="90" w:type="dxa"/>
              <w:bottom w:w="80" w:type="dxa"/>
              <w:right w:w="90" w:type="dxa"/>
            </w:tcMar>
          </w:tcPr>
          <w:p w14:paraId="26D21B42" w14:textId="77777777" w:rsidR="003F0521" w:rsidRDefault="00000000">
            <w:r>
              <w:rPr>
                <w:sz w:val="20"/>
              </w:rPr>
              <w:t>Zastosowanie zamrożonej polityki sektorowej i opis branży, bez zastępowania historycznego SIC współczesną klasyfikacją.</w:t>
            </w:r>
          </w:p>
        </w:tc>
      </w:tr>
      <w:tr w:rsidR="003F0521" w14:paraId="5B8A1150" w14:textId="77777777">
        <w:trPr>
          <w:cantSplit/>
          <w:jc w:val="center"/>
        </w:trPr>
        <w:tc>
          <w:tcPr>
            <w:tcW w:w="1854" w:type="dxa"/>
            <w:tcMar>
              <w:top w:w="80" w:type="dxa"/>
              <w:left w:w="90" w:type="dxa"/>
              <w:bottom w:w="80" w:type="dxa"/>
              <w:right w:w="90" w:type="dxa"/>
            </w:tcMar>
          </w:tcPr>
          <w:p w14:paraId="0B07DD4A" w14:textId="77777777" w:rsidR="003F0521" w:rsidRPr="00284ADC" w:rsidRDefault="00000000">
            <w:pPr>
              <w:rPr>
                <w:lang w:val="en-US"/>
              </w:rPr>
            </w:pPr>
            <w:proofErr w:type="spellStart"/>
            <w:r w:rsidRPr="00284ADC">
              <w:rPr>
                <w:sz w:val="20"/>
                <w:lang w:val="en-US"/>
              </w:rPr>
              <w:t>Interfejsy</w:t>
            </w:r>
            <w:proofErr w:type="spellEnd"/>
            <w:r w:rsidRPr="00284ADC">
              <w:rPr>
                <w:sz w:val="20"/>
                <w:lang w:val="en-US"/>
              </w:rPr>
              <w:t xml:space="preserve"> EDGAR XBRL / Company Facts</w:t>
            </w:r>
          </w:p>
        </w:tc>
        <w:tc>
          <w:tcPr>
            <w:tcW w:w="2672" w:type="dxa"/>
            <w:tcMar>
              <w:top w:w="80" w:type="dxa"/>
              <w:left w:w="90" w:type="dxa"/>
              <w:bottom w:w="80" w:type="dxa"/>
              <w:right w:w="90" w:type="dxa"/>
            </w:tcMar>
          </w:tcPr>
          <w:p w14:paraId="47C11C20" w14:textId="77777777" w:rsidR="003F0521" w:rsidRDefault="00000000">
            <w:r>
              <w:rPr>
                <w:sz w:val="20"/>
              </w:rPr>
              <w:t>Fakty XBRL zagregowane dla spółki i koncepcji sprawozdawczej.</w:t>
            </w:r>
          </w:p>
        </w:tc>
        <w:tc>
          <w:tcPr>
            <w:tcW w:w="4200" w:type="dxa"/>
            <w:tcMar>
              <w:top w:w="80" w:type="dxa"/>
              <w:left w:w="90" w:type="dxa"/>
              <w:bottom w:w="80" w:type="dxa"/>
              <w:right w:w="90" w:type="dxa"/>
            </w:tcMar>
          </w:tcPr>
          <w:p w14:paraId="5660D2F6" w14:textId="77777777" w:rsidR="003F0521" w:rsidRDefault="00000000">
            <w:r>
              <w:rPr>
                <w:sz w:val="20"/>
              </w:rPr>
              <w:t>Źródło pomocnicze dla późniejszej ekstrakcji i kontroli faktów finansowych; nie stanowiło filtra przynależności do historycznej populacji.</w:t>
            </w:r>
          </w:p>
        </w:tc>
      </w:tr>
    </w:tbl>
    <w:p w14:paraId="5AC7241F" w14:textId="77777777" w:rsidR="003F0521" w:rsidRDefault="00000000">
      <w:pPr>
        <w:pStyle w:val="rdotabeli"/>
      </w:pPr>
      <w:r>
        <w:rPr>
          <w:color w:val="000000"/>
          <w:szCs w:val="18"/>
        </w:rPr>
        <w:t>Źródło: opracowanie własne na podstawie dokumentacji SEC oraz zamrożonej specyfikacji populacji badawczej.</w:t>
      </w:r>
      <w:r>
        <w:rPr>
          <w:color w:val="000000"/>
          <w:szCs w:val="18"/>
        </w:rPr>
        <w:footnoteReference w:id="4"/>
      </w:r>
    </w:p>
    <w:p w14:paraId="24C18EFB" w14:textId="77777777" w:rsidR="003F0521" w:rsidRDefault="00000000">
      <w:pPr>
        <w:spacing w:after="0" w:line="360" w:lineRule="auto"/>
        <w:ind w:firstLine="709"/>
        <w:jc w:val="both"/>
      </w:pPr>
      <w:r>
        <w:t xml:space="preserve">Zastosowanie kilku uzupełniających się źródeł było celowe. Zbiory FSDS mają postać ustrukturyzowaną i umożliwiają masowe odtworzenie metadanych oraz danych finansowych, jednak SEC zaznacza, że są one pochodną informacji przekazanych przez emitentów, mogą zawierać błędy przetwarzania i nie zastępują pełnych zgłoszeń. Przy ustalaniu historycznego kodu SIC oraz formalnych przesłanek członkostwa wykorzystywano metadane powiązane z tym samym zgłoszeniem kotwiczącym: tablicę SUB dla zgodnego głównego CIK oraz właściwy blok FILER w nagłówku zgłoszenia dla współrejestrujących i przypadków uzupełniających. Pierwotny dokument 10-K i jego pakiet XBRL były natomiast źródłem rozstrzygającym przy identyfikacji podmiotu raportującego, własności pełnego zestawu sprawozdań oraz ekonomicznego zakresu sprawozdania. Przyjęto podejście konserwatywne: sprzeczność źródeł lub brak jednoznacznego dowodu skutkowały statusem </w:t>
      </w:r>
      <w:r>
        <w:rPr>
          <w:i/>
        </w:rPr>
        <w:t>ambiguous</w:t>
      </w:r>
      <w:r>
        <w:t>, zamiast arbitralnego włączenia obserwacji do populacji.</w:t>
      </w:r>
    </w:p>
    <w:p w14:paraId="3097053B" w14:textId="77777777" w:rsidR="003F0521" w:rsidRDefault="00000000">
      <w:pPr>
        <w:spacing w:after="0" w:line="360" w:lineRule="auto"/>
        <w:ind w:firstLine="709"/>
        <w:jc w:val="both"/>
      </w:pPr>
      <w:r>
        <w:rPr>
          <w:b/>
        </w:rPr>
        <w:t xml:space="preserve">Jednostka obserwacji. </w:t>
      </w:r>
      <w:r>
        <w:t xml:space="preserve">Podstawową jednostką historycznego panelu jest emitent-rok obrotowy (registrant-fiscal year), identyfikowany przez CIK i rok cech. CIK jest trwałym identyfikatorem przypisywanym przez SEC podmiotowi składającemu zgłoszenia, dlatego zmiana tickera albo giełdy nie tworzy nowej jednostki obserwacji. Jednocześnie następca prawny lub organizacyjny posługujący się innym CIK pozostaje odrębnym emitentem; powiązań między CIK nie rekonstruowano wyłącznie na podstawie podobnej nazwy lub symbolu giełdowego. Takie rozwiązanie ogranicza ryzyko niekontrolowanego łączenia różnych bytów prawnych oraz umożliwia </w:t>
      </w:r>
      <w:r>
        <w:lastRenderedPageBreak/>
        <w:t>zachowanie historii spółek, które później zostały przejęte, zlikwidowane, wycofane z obrotu albo przestały być aktywnymi emitentami.</w:t>
      </w:r>
    </w:p>
    <w:p w14:paraId="2CB07E4E" w14:textId="77777777" w:rsidR="003F0521" w:rsidRDefault="00000000">
      <w:pPr>
        <w:spacing w:after="0" w:line="360" w:lineRule="auto"/>
        <w:ind w:firstLine="709"/>
        <w:jc w:val="both"/>
      </w:pPr>
      <w:r>
        <w:rPr>
          <w:b/>
        </w:rPr>
        <w:t xml:space="preserve">Zakres czasowy. </w:t>
      </w:r>
      <w:r>
        <w:t>Historyczna populacja obejmuje lata cech 2011–2024. Zakres plików indeksowych i zgłoszeń wykorzystywanych do konstrukcji populacji rozszerzono do 2025 r., ponieważ raport roczny dotyczący roku obrotowego t może zostać złożony w następnym roku kalendarzowym. Rok publikacji pliku nie jest więc tożsamy z rokiem obserwacji. W panelu zachowywano rok fiskalny emitenta, numer accession wybranego raportu oraz dokładny moment przyjęcia zgłoszenia przez EDGAR. Dla każdego CIK i roku obrotowego kotwicą członkostwa był najwcześniejszy oryginalny 10-K, wybierany najpierw według czasu przyjęcia (</w:t>
      </w:r>
      <w:r>
        <w:rPr>
          <w:i/>
        </w:rPr>
        <w:t>accepted_at</w:t>
      </w:r>
      <w:r>
        <w:t>), następnie według daty złożenia (</w:t>
      </w:r>
      <w:r>
        <w:rPr>
          <w:i/>
        </w:rPr>
        <w:t>filed</w:t>
      </w:r>
      <w:r>
        <w:t>), a na końcu według numeru accession jako deterministycznego kryterium rozstrzygającego remis. Odrębny sposób wykorzystania raportu za rok t+1 do konstrukcji zmiennej docelowej przedstawiono w podrozdziale 4.2.</w:t>
      </w:r>
    </w:p>
    <w:p w14:paraId="09EA2FF6" w14:textId="77777777" w:rsidR="003F0521" w:rsidRDefault="00000000">
      <w:pPr>
        <w:spacing w:after="0" w:line="360" w:lineRule="auto"/>
        <w:ind w:firstLine="709"/>
        <w:jc w:val="both"/>
      </w:pPr>
      <w:r>
        <w:rPr>
          <w:b/>
        </w:rPr>
        <w:t xml:space="preserve">Podejście rozpoczynające się od zgłoszenia źródłowego i ograniczenie błędu przeżywalności. </w:t>
      </w:r>
      <w:r>
        <w:t>Bieżące pliki łączące symbole giełdowe (tickery) z CIK są użyteczne do wyszukiwania aktywnych emitentów, lecz nie stanowią pełnego historycznego spisu podmiotów. Oparcie badania wyłącznie na dzisiejszych członkach rynku prowadziłoby do pominięcia spółek wycofanych z obrotu, przejętych lub zlikwidowanych i mogłoby systematycznie usuwać z danych podmioty o słabszej kondycji. Jest to klasyczny mechanizm błędu przeżywalności (survivorship bias), który może zniekształcać zależności oraz zawyżać ocenę jakości modeli. W niniejszym badaniu warunkiem członkostwa było historyczne złożenie kwalifikującego 10-K i spełnienie reguł obowiązujących dla tego samego numeru accession, a nie obecność spółki w aktualnym wykazie tickerów. Bieżące dane o tickerze i giełdzie służyły wyłącznie do audytu różnic między populacją historyczną a bieżącym przekrojem danych.</w:t>
      </w:r>
      <w:r>
        <w:footnoteReference w:id="5"/>
      </w:r>
    </w:p>
    <w:p w14:paraId="783E97A0" w14:textId="77777777" w:rsidR="003F0521" w:rsidRDefault="00000000">
      <w:pPr>
        <w:spacing w:after="0" w:line="360" w:lineRule="auto"/>
        <w:ind w:firstLine="709"/>
        <w:jc w:val="both"/>
      </w:pPr>
      <w:r>
        <w:rPr>
          <w:b/>
        </w:rPr>
        <w:t xml:space="preserve">Historyczna klasyfikacja branżowa. </w:t>
      </w:r>
      <w:r>
        <w:t xml:space="preserve">Kod SIC przypisywano na poziomie konkretnego zgłoszenia kotwiczącego (anchor accession). W pierwszej kolejności wykorzystywano zapis z FSDS SUB dla zgodnego głównego CIK; dla współrejestrujących oraz przypadków uzupełniających korzystano z ich własnych bloków FILER w nagłówku zgłoszenia. Kod przypisany głównemu rejestrującemu nie mógł być automatycznie skopiowany na innego współrejestrującego, a konflikt </w:t>
      </w:r>
      <w:r>
        <w:lastRenderedPageBreak/>
        <w:t xml:space="preserve">pomiędzy źródłami prowadził do statusu </w:t>
      </w:r>
      <w:r>
        <w:rPr>
          <w:i/>
        </w:rPr>
        <w:t>ambiguous</w:t>
      </w:r>
      <w:r>
        <w:t>. Nie stosowano bieżącego SIC jako zastępstwa dla brakującej klasyfikacji historycznej. Dzięki temu zakres sektorowy odpowiadał informacji ujawnionej w momencie badanego zgłoszenia, a nie późniejszej zmianie profilu działalności. Zamrożone reguły włączenia do historycznej populacji zestawiono w tabeli 4.2.</w:t>
      </w:r>
    </w:p>
    <w:p w14:paraId="144BDC39" w14:textId="77777777" w:rsidR="003F0521" w:rsidRDefault="00000000">
      <w:pPr>
        <w:pStyle w:val="Podpistabeli"/>
        <w:keepLines/>
      </w:pPr>
      <w:r>
        <w:rPr>
          <w:color w:val="000000"/>
          <w:szCs w:val="20"/>
        </w:rPr>
        <w:t>Tabela 4.2. Reguły włączenia do historycznej populacji badawczej</w:t>
      </w:r>
    </w:p>
    <w:tbl>
      <w:tblPr>
        <w:tblStyle w:val="TableGrid"/>
        <w:tblW w:w="8504" w:type="dxa"/>
        <w:jc w:val="center"/>
        <w:tblLayout w:type="fixed"/>
        <w:tblLook w:val="04A0" w:firstRow="1" w:lastRow="0" w:firstColumn="1" w:lastColumn="0" w:noHBand="0" w:noVBand="1"/>
      </w:tblPr>
      <w:tblGrid>
        <w:gridCol w:w="1703"/>
        <w:gridCol w:w="2976"/>
        <w:gridCol w:w="3825"/>
      </w:tblGrid>
      <w:tr w:rsidR="003F0521" w14:paraId="4EABFA6D" w14:textId="77777777">
        <w:trPr>
          <w:cantSplit/>
          <w:tblHeader/>
          <w:jc w:val="center"/>
        </w:trPr>
        <w:tc>
          <w:tcPr>
            <w:tcW w:w="1745" w:type="dxa"/>
            <w:shd w:val="clear" w:color="auto" w:fill="D9E2F3"/>
            <w:tcMar>
              <w:top w:w="80" w:type="dxa"/>
              <w:left w:w="90" w:type="dxa"/>
              <w:bottom w:w="80" w:type="dxa"/>
              <w:right w:w="90" w:type="dxa"/>
            </w:tcMar>
          </w:tcPr>
          <w:p w14:paraId="3D4C3D5D" w14:textId="77777777" w:rsidR="003F0521" w:rsidRDefault="00000000">
            <w:r>
              <w:rPr>
                <w:b/>
                <w:sz w:val="20"/>
              </w:rPr>
              <w:t>Obszar</w:t>
            </w:r>
          </w:p>
        </w:tc>
        <w:tc>
          <w:tcPr>
            <w:tcW w:w="3054" w:type="dxa"/>
            <w:shd w:val="clear" w:color="auto" w:fill="D9E2F3"/>
            <w:tcMar>
              <w:top w:w="80" w:type="dxa"/>
              <w:left w:w="90" w:type="dxa"/>
              <w:bottom w:w="80" w:type="dxa"/>
              <w:right w:w="90" w:type="dxa"/>
            </w:tcMar>
          </w:tcPr>
          <w:p w14:paraId="30DAFDA4" w14:textId="77777777" w:rsidR="003F0521" w:rsidRDefault="00000000">
            <w:r>
              <w:rPr>
                <w:b/>
                <w:sz w:val="20"/>
              </w:rPr>
              <w:t>Zamrożona reguła</w:t>
            </w:r>
          </w:p>
        </w:tc>
        <w:tc>
          <w:tcPr>
            <w:tcW w:w="3927" w:type="dxa"/>
            <w:shd w:val="clear" w:color="auto" w:fill="D9E2F3"/>
            <w:tcMar>
              <w:top w:w="80" w:type="dxa"/>
              <w:left w:w="90" w:type="dxa"/>
              <w:bottom w:w="80" w:type="dxa"/>
              <w:right w:w="90" w:type="dxa"/>
            </w:tcMar>
          </w:tcPr>
          <w:p w14:paraId="5C4142C9" w14:textId="77777777" w:rsidR="003F0521" w:rsidRDefault="00000000">
            <w:r>
              <w:rPr>
                <w:b/>
                <w:sz w:val="20"/>
              </w:rPr>
              <w:t>Znaczenie dla zakresu badania</w:t>
            </w:r>
          </w:p>
        </w:tc>
      </w:tr>
      <w:tr w:rsidR="003F0521" w14:paraId="10611094" w14:textId="77777777">
        <w:trPr>
          <w:cantSplit/>
          <w:jc w:val="center"/>
        </w:trPr>
        <w:tc>
          <w:tcPr>
            <w:tcW w:w="1745" w:type="dxa"/>
            <w:tcMar>
              <w:top w:w="80" w:type="dxa"/>
              <w:left w:w="90" w:type="dxa"/>
              <w:bottom w:w="80" w:type="dxa"/>
              <w:right w:w="90" w:type="dxa"/>
            </w:tcMar>
          </w:tcPr>
          <w:p w14:paraId="36B30688" w14:textId="77777777" w:rsidR="003F0521" w:rsidRDefault="00000000">
            <w:r>
              <w:rPr>
                <w:sz w:val="20"/>
              </w:rPr>
              <w:t>Formularz</w:t>
            </w:r>
          </w:p>
        </w:tc>
        <w:tc>
          <w:tcPr>
            <w:tcW w:w="3054" w:type="dxa"/>
            <w:tcMar>
              <w:top w:w="80" w:type="dxa"/>
              <w:left w:w="90" w:type="dxa"/>
              <w:bottom w:w="80" w:type="dxa"/>
              <w:right w:w="90" w:type="dxa"/>
            </w:tcMar>
          </w:tcPr>
          <w:p w14:paraId="0D0E6E92" w14:textId="77777777" w:rsidR="003F0521" w:rsidRDefault="00000000">
            <w:r>
              <w:rPr>
                <w:sz w:val="20"/>
              </w:rPr>
              <w:t>Najwcześniejszy oryginalny Form 10-K dla CIK i roku fiskalnego; 10-K/A, 10-KT i 10-KT/A nie kwalifikują się jako dokument kotwiczący.</w:t>
            </w:r>
          </w:p>
        </w:tc>
        <w:tc>
          <w:tcPr>
            <w:tcW w:w="3927" w:type="dxa"/>
            <w:tcMar>
              <w:top w:w="80" w:type="dxa"/>
              <w:left w:w="90" w:type="dxa"/>
              <w:bottom w:w="80" w:type="dxa"/>
              <w:right w:w="90" w:type="dxa"/>
            </w:tcMar>
          </w:tcPr>
          <w:p w14:paraId="7DB47E5F" w14:textId="77777777" w:rsidR="003F0521" w:rsidRDefault="00000000">
            <w:r>
              <w:rPr>
                <w:sz w:val="20"/>
              </w:rPr>
              <w:t>Jednolity roczny dokument źródłowy i brak wykorzystania późniejszych poprawek jako wiedzy dostępnej w chwili pierwotnej publikacji.</w:t>
            </w:r>
          </w:p>
        </w:tc>
      </w:tr>
      <w:tr w:rsidR="003F0521" w14:paraId="2C3ACA5E" w14:textId="77777777">
        <w:trPr>
          <w:cantSplit/>
          <w:jc w:val="center"/>
        </w:trPr>
        <w:tc>
          <w:tcPr>
            <w:tcW w:w="1745" w:type="dxa"/>
            <w:tcMar>
              <w:top w:w="80" w:type="dxa"/>
              <w:left w:w="90" w:type="dxa"/>
              <w:bottom w:w="80" w:type="dxa"/>
              <w:right w:w="90" w:type="dxa"/>
            </w:tcMar>
          </w:tcPr>
          <w:p w14:paraId="76C5C039" w14:textId="77777777" w:rsidR="003F0521" w:rsidRDefault="00000000">
            <w:r>
              <w:rPr>
                <w:sz w:val="20"/>
              </w:rPr>
              <w:t>Identyfikacja podmiotu</w:t>
            </w:r>
          </w:p>
        </w:tc>
        <w:tc>
          <w:tcPr>
            <w:tcW w:w="3054" w:type="dxa"/>
            <w:tcMar>
              <w:top w:w="80" w:type="dxa"/>
              <w:left w:w="90" w:type="dxa"/>
              <w:bottom w:w="80" w:type="dxa"/>
              <w:right w:w="90" w:type="dxa"/>
            </w:tcMar>
          </w:tcPr>
          <w:p w14:paraId="1B6C4F55" w14:textId="77777777" w:rsidR="003F0521" w:rsidRDefault="00000000">
            <w:r>
              <w:rPr>
                <w:sz w:val="20"/>
              </w:rPr>
              <w:t>CIK jest identyfikatorem podstawowym; ticker i giełda nie są filtrami członkostwa.</w:t>
            </w:r>
          </w:p>
        </w:tc>
        <w:tc>
          <w:tcPr>
            <w:tcW w:w="3927" w:type="dxa"/>
            <w:tcMar>
              <w:top w:w="80" w:type="dxa"/>
              <w:left w:w="90" w:type="dxa"/>
              <w:bottom w:w="80" w:type="dxa"/>
              <w:right w:w="90" w:type="dxa"/>
            </w:tcMar>
          </w:tcPr>
          <w:p w14:paraId="252C36B0" w14:textId="77777777" w:rsidR="003F0521" w:rsidRDefault="00000000">
            <w:r>
              <w:rPr>
                <w:sz w:val="20"/>
              </w:rPr>
              <w:t>Zachowanie historii podmiotów po zmianie tickera, wycofaniu z obrotu, przejęciu lub zakończeniu raportowania.</w:t>
            </w:r>
          </w:p>
        </w:tc>
      </w:tr>
      <w:tr w:rsidR="003F0521" w14:paraId="4B18F21D" w14:textId="77777777">
        <w:trPr>
          <w:cantSplit/>
          <w:jc w:val="center"/>
        </w:trPr>
        <w:tc>
          <w:tcPr>
            <w:tcW w:w="1745" w:type="dxa"/>
            <w:tcMar>
              <w:top w:w="80" w:type="dxa"/>
              <w:left w:w="90" w:type="dxa"/>
              <w:bottom w:w="80" w:type="dxa"/>
              <w:right w:w="90" w:type="dxa"/>
            </w:tcMar>
          </w:tcPr>
          <w:p w14:paraId="6672361D" w14:textId="77777777" w:rsidR="003F0521" w:rsidRDefault="00000000">
            <w:r>
              <w:rPr>
                <w:sz w:val="20"/>
              </w:rPr>
              <w:t>Wyłączenia sektorowe</w:t>
            </w:r>
          </w:p>
        </w:tc>
        <w:tc>
          <w:tcPr>
            <w:tcW w:w="3054" w:type="dxa"/>
            <w:tcMar>
              <w:top w:w="80" w:type="dxa"/>
              <w:left w:w="90" w:type="dxa"/>
              <w:bottom w:w="80" w:type="dxa"/>
              <w:right w:w="90" w:type="dxa"/>
            </w:tcMar>
          </w:tcPr>
          <w:p w14:paraId="4692D8B1" w14:textId="77777777" w:rsidR="003F0521" w:rsidRDefault="00000000">
            <w:r>
              <w:rPr>
                <w:sz w:val="20"/>
              </w:rPr>
              <w:t>SIC 6000–6799: sektor finansowy, ubezpieczenia i nieruchomości; SIC 4900–4999: przedsiębiorstwa użyteczności publicznej (utilities).</w:t>
            </w:r>
          </w:p>
        </w:tc>
        <w:tc>
          <w:tcPr>
            <w:tcW w:w="3927" w:type="dxa"/>
            <w:tcMar>
              <w:top w:w="80" w:type="dxa"/>
              <w:left w:w="90" w:type="dxa"/>
              <w:bottom w:w="80" w:type="dxa"/>
              <w:right w:w="90" w:type="dxa"/>
            </w:tcMar>
          </w:tcPr>
          <w:p w14:paraId="0A8FD632" w14:textId="77777777" w:rsidR="003F0521" w:rsidRDefault="00000000">
            <w:r>
              <w:rPr>
                <w:sz w:val="20"/>
              </w:rPr>
              <w:t>Ograniczenie heterogeniczności wynikającej z odmiennej struktury bilansu, regulacji i ekonomiki działalności.</w:t>
            </w:r>
          </w:p>
        </w:tc>
      </w:tr>
      <w:tr w:rsidR="003F0521" w14:paraId="7956B2D6" w14:textId="77777777">
        <w:trPr>
          <w:cantSplit/>
          <w:jc w:val="center"/>
        </w:trPr>
        <w:tc>
          <w:tcPr>
            <w:tcW w:w="1745" w:type="dxa"/>
            <w:tcMar>
              <w:top w:w="80" w:type="dxa"/>
              <w:left w:w="90" w:type="dxa"/>
              <w:bottom w:w="80" w:type="dxa"/>
              <w:right w:w="90" w:type="dxa"/>
            </w:tcMar>
          </w:tcPr>
          <w:p w14:paraId="170D13FC" w14:textId="77777777" w:rsidR="003F0521" w:rsidRDefault="00000000">
            <w:r>
              <w:rPr>
                <w:sz w:val="20"/>
              </w:rPr>
              <w:t>Grupy objęte badaniem</w:t>
            </w:r>
          </w:p>
        </w:tc>
        <w:tc>
          <w:tcPr>
            <w:tcW w:w="3054" w:type="dxa"/>
            <w:tcMar>
              <w:top w:w="80" w:type="dxa"/>
              <w:left w:w="90" w:type="dxa"/>
              <w:bottom w:w="80" w:type="dxa"/>
              <w:right w:w="90" w:type="dxa"/>
            </w:tcMar>
          </w:tcPr>
          <w:p w14:paraId="6BC46F07" w14:textId="77777777" w:rsidR="003F0521" w:rsidRDefault="00000000">
            <w:r>
              <w:rPr>
                <w:sz w:val="20"/>
              </w:rPr>
              <w:t>Technology; Retail; Industrials/Manufacturing; Extended Candidate, zgodnie z zamrożonymi zakresami SIC i regułami pierwszeństwa.</w:t>
            </w:r>
          </w:p>
        </w:tc>
        <w:tc>
          <w:tcPr>
            <w:tcW w:w="3927" w:type="dxa"/>
            <w:tcMar>
              <w:top w:w="80" w:type="dxa"/>
              <w:left w:w="90" w:type="dxa"/>
              <w:bottom w:w="80" w:type="dxa"/>
              <w:right w:w="90" w:type="dxa"/>
            </w:tcMar>
          </w:tcPr>
          <w:p w14:paraId="69E4607E" w14:textId="77777777" w:rsidR="003F0521" w:rsidRDefault="00000000">
            <w:r>
              <w:rPr>
                <w:sz w:val="20"/>
              </w:rPr>
              <w:t>Zdefiniowany, szeroki zbiór spółek niefinansowych, przy zachowaniu jawnej klasyfikacji sektorowej.</w:t>
            </w:r>
          </w:p>
        </w:tc>
      </w:tr>
      <w:tr w:rsidR="003F0521" w14:paraId="098A5144" w14:textId="77777777">
        <w:trPr>
          <w:cantSplit/>
          <w:jc w:val="center"/>
        </w:trPr>
        <w:tc>
          <w:tcPr>
            <w:tcW w:w="1745" w:type="dxa"/>
            <w:tcMar>
              <w:top w:w="80" w:type="dxa"/>
              <w:left w:w="90" w:type="dxa"/>
              <w:bottom w:w="80" w:type="dxa"/>
              <w:right w:w="90" w:type="dxa"/>
            </w:tcMar>
          </w:tcPr>
          <w:p w14:paraId="0E17BF9F" w14:textId="77777777" w:rsidR="003F0521" w:rsidRDefault="00000000">
            <w:r>
              <w:rPr>
                <w:sz w:val="20"/>
              </w:rPr>
              <w:t>Pozostałe prawidłowe kody SIC</w:t>
            </w:r>
          </w:p>
        </w:tc>
        <w:tc>
          <w:tcPr>
            <w:tcW w:w="3054" w:type="dxa"/>
            <w:tcMar>
              <w:top w:w="80" w:type="dxa"/>
              <w:left w:w="90" w:type="dxa"/>
              <w:bottom w:w="80" w:type="dxa"/>
              <w:right w:w="90" w:type="dxa"/>
            </w:tcMar>
          </w:tcPr>
          <w:p w14:paraId="401EDE40" w14:textId="77777777" w:rsidR="003F0521" w:rsidRDefault="00000000">
            <w:r>
              <w:rPr>
                <w:sz w:val="20"/>
              </w:rPr>
              <w:t xml:space="preserve">SIC poza zamrożonymi zakresami objętymi badaniem skutkuje statusem </w:t>
            </w:r>
            <w:r>
              <w:rPr>
                <w:i/>
                <w:sz w:val="20"/>
              </w:rPr>
              <w:t>excluded</w:t>
            </w:r>
            <w:r>
              <w:rPr>
                <w:sz w:val="20"/>
              </w:rPr>
              <w:t xml:space="preserve"> i kodem przyczyny </w:t>
            </w:r>
            <w:r>
              <w:rPr>
                <w:i/>
                <w:sz w:val="20"/>
              </w:rPr>
              <w:t>out_of_scope_sector</w:t>
            </w:r>
            <w:r>
              <w:rPr>
                <w:sz w:val="20"/>
              </w:rPr>
              <w:t>.</w:t>
            </w:r>
          </w:p>
        </w:tc>
        <w:tc>
          <w:tcPr>
            <w:tcW w:w="3927" w:type="dxa"/>
            <w:tcMar>
              <w:top w:w="80" w:type="dxa"/>
              <w:left w:w="90" w:type="dxa"/>
              <w:bottom w:w="80" w:type="dxa"/>
              <w:right w:w="90" w:type="dxa"/>
            </w:tcMar>
          </w:tcPr>
          <w:p w14:paraId="7B410C85" w14:textId="77777777" w:rsidR="003F0521" w:rsidRDefault="00000000">
            <w:r>
              <w:rPr>
                <w:sz w:val="20"/>
              </w:rPr>
              <w:t>Jawne wyłączenie branż nieobjętych zakresem bez przypisywania ich do najbliższej grupy sektorowej.</w:t>
            </w:r>
          </w:p>
        </w:tc>
      </w:tr>
      <w:tr w:rsidR="003F0521" w14:paraId="712EAFB1" w14:textId="77777777">
        <w:trPr>
          <w:cantSplit/>
          <w:jc w:val="center"/>
        </w:trPr>
        <w:tc>
          <w:tcPr>
            <w:tcW w:w="1745" w:type="dxa"/>
            <w:tcMar>
              <w:top w:w="80" w:type="dxa"/>
              <w:left w:w="90" w:type="dxa"/>
              <w:bottom w:w="80" w:type="dxa"/>
              <w:right w:w="90" w:type="dxa"/>
            </w:tcMar>
          </w:tcPr>
          <w:p w14:paraId="1A5C566D" w14:textId="77777777" w:rsidR="003F0521" w:rsidRDefault="00000000">
            <w:r>
              <w:rPr>
                <w:sz w:val="20"/>
              </w:rPr>
              <w:t>Brak historycznego SIC lub konflikt</w:t>
            </w:r>
          </w:p>
        </w:tc>
        <w:tc>
          <w:tcPr>
            <w:tcW w:w="3054" w:type="dxa"/>
            <w:tcMar>
              <w:top w:w="80" w:type="dxa"/>
              <w:left w:w="90" w:type="dxa"/>
              <w:bottom w:w="80" w:type="dxa"/>
              <w:right w:w="90" w:type="dxa"/>
            </w:tcMar>
          </w:tcPr>
          <w:p w14:paraId="636C5A54" w14:textId="77777777" w:rsidR="003F0521" w:rsidRDefault="00000000">
            <w:r>
              <w:rPr>
                <w:sz w:val="20"/>
              </w:rPr>
              <w:t xml:space="preserve">Status </w:t>
            </w:r>
            <w:r>
              <w:rPr>
                <w:i/>
                <w:sz w:val="20"/>
              </w:rPr>
              <w:t>ambiguous</w:t>
            </w:r>
            <w:r>
              <w:rPr>
                <w:sz w:val="20"/>
              </w:rPr>
              <w:t>; brak automatycznego rozwiązania zastępczego opartego na współczesnych metadanych.</w:t>
            </w:r>
          </w:p>
        </w:tc>
        <w:tc>
          <w:tcPr>
            <w:tcW w:w="3927" w:type="dxa"/>
            <w:tcMar>
              <w:top w:w="80" w:type="dxa"/>
              <w:left w:w="90" w:type="dxa"/>
              <w:bottom w:w="80" w:type="dxa"/>
              <w:right w:w="90" w:type="dxa"/>
            </w:tcMar>
          </w:tcPr>
          <w:p w14:paraId="4ED23456" w14:textId="77777777" w:rsidR="003F0521" w:rsidRDefault="00000000">
            <w:r>
              <w:rPr>
                <w:sz w:val="20"/>
              </w:rPr>
              <w:t>Konserwatywne podejście (fail-closed) i brak sztucznego zwiększania pokrycia danych.</w:t>
            </w:r>
          </w:p>
        </w:tc>
      </w:tr>
      <w:tr w:rsidR="003F0521" w14:paraId="6A1FBAAF" w14:textId="77777777">
        <w:trPr>
          <w:cantSplit/>
          <w:jc w:val="center"/>
        </w:trPr>
        <w:tc>
          <w:tcPr>
            <w:tcW w:w="1745" w:type="dxa"/>
            <w:tcMar>
              <w:top w:w="80" w:type="dxa"/>
              <w:left w:w="90" w:type="dxa"/>
              <w:bottom w:w="80" w:type="dxa"/>
              <w:right w:w="90" w:type="dxa"/>
            </w:tcMar>
          </w:tcPr>
          <w:p w14:paraId="2716FB16" w14:textId="77777777" w:rsidR="003F0521" w:rsidRDefault="00000000">
            <w:r>
              <w:rPr>
                <w:sz w:val="20"/>
              </w:rPr>
              <w:t>Brak XBRL lub zmiennej docelowej</w:t>
            </w:r>
          </w:p>
        </w:tc>
        <w:tc>
          <w:tcPr>
            <w:tcW w:w="3054" w:type="dxa"/>
            <w:tcMar>
              <w:top w:w="80" w:type="dxa"/>
              <w:left w:w="90" w:type="dxa"/>
              <w:bottom w:w="80" w:type="dxa"/>
              <w:right w:w="90" w:type="dxa"/>
            </w:tcMar>
          </w:tcPr>
          <w:p w14:paraId="37AB301E" w14:textId="77777777" w:rsidR="003F0521" w:rsidRDefault="00000000">
            <w:r>
              <w:rPr>
                <w:sz w:val="20"/>
              </w:rPr>
              <w:t xml:space="preserve">Nie usuwa obserwacji z populacji; </w:t>
            </w:r>
            <w:r>
              <w:rPr>
                <w:i/>
                <w:sz w:val="20"/>
              </w:rPr>
              <w:t>x_t_status</w:t>
            </w:r>
            <w:r>
              <w:rPr>
                <w:sz w:val="20"/>
              </w:rPr>
              <w:t xml:space="preserve"> i </w:t>
            </w:r>
            <w:r>
              <w:rPr>
                <w:i/>
                <w:sz w:val="20"/>
              </w:rPr>
              <w:t>target_status</w:t>
            </w:r>
            <w:r>
              <w:rPr>
                <w:sz w:val="20"/>
              </w:rPr>
              <w:t xml:space="preserve"> są oceniane oddzielnie.</w:t>
            </w:r>
          </w:p>
        </w:tc>
        <w:tc>
          <w:tcPr>
            <w:tcW w:w="3927" w:type="dxa"/>
            <w:tcMar>
              <w:top w:w="80" w:type="dxa"/>
              <w:left w:w="90" w:type="dxa"/>
              <w:bottom w:w="80" w:type="dxa"/>
              <w:right w:w="90" w:type="dxa"/>
            </w:tcMar>
          </w:tcPr>
          <w:p w14:paraId="3D61C06C" w14:textId="77777777" w:rsidR="003F0521" w:rsidRDefault="00000000">
            <w:r>
              <w:rPr>
                <w:sz w:val="20"/>
              </w:rPr>
              <w:t>Rozdzielenie populacji źródłowej od późniejszej selekcji do modelowania oraz możliwość audytu obciążenia selekcyjnego.</w:t>
            </w:r>
          </w:p>
        </w:tc>
      </w:tr>
    </w:tbl>
    <w:p w14:paraId="5E49C867" w14:textId="77777777" w:rsidR="003F0521" w:rsidRPr="00284ADC" w:rsidRDefault="00000000">
      <w:pPr>
        <w:pStyle w:val="rdotabeli"/>
        <w:rPr>
          <w:lang w:val="en-US"/>
        </w:rPr>
      </w:pPr>
      <w:proofErr w:type="spellStart"/>
      <w:r w:rsidRPr="00284ADC">
        <w:rPr>
          <w:color w:val="000000"/>
          <w:szCs w:val="18"/>
          <w:lang w:val="en-US"/>
        </w:rPr>
        <w:t>Źródło</w:t>
      </w:r>
      <w:proofErr w:type="spellEnd"/>
      <w:r w:rsidRPr="00284ADC">
        <w:rPr>
          <w:color w:val="000000"/>
          <w:szCs w:val="18"/>
          <w:lang w:val="en-US"/>
        </w:rPr>
        <w:t xml:space="preserve">: </w:t>
      </w:r>
      <w:proofErr w:type="spellStart"/>
      <w:r w:rsidRPr="00284ADC">
        <w:rPr>
          <w:color w:val="000000"/>
          <w:szCs w:val="18"/>
          <w:lang w:val="en-US"/>
        </w:rPr>
        <w:t>opracowanie</w:t>
      </w:r>
      <w:proofErr w:type="spellEnd"/>
      <w:r w:rsidRPr="00284ADC">
        <w:rPr>
          <w:color w:val="000000"/>
          <w:szCs w:val="18"/>
          <w:lang w:val="en-US"/>
        </w:rPr>
        <w:t xml:space="preserve"> </w:t>
      </w:r>
      <w:proofErr w:type="spellStart"/>
      <w:r w:rsidRPr="00284ADC">
        <w:rPr>
          <w:color w:val="000000"/>
          <w:szCs w:val="18"/>
          <w:lang w:val="en-US"/>
        </w:rPr>
        <w:t>własne</w:t>
      </w:r>
      <w:proofErr w:type="spellEnd"/>
      <w:r w:rsidRPr="00284ADC">
        <w:rPr>
          <w:color w:val="000000"/>
          <w:szCs w:val="18"/>
          <w:lang w:val="en-US"/>
        </w:rPr>
        <w:t xml:space="preserve"> </w:t>
      </w:r>
      <w:proofErr w:type="spellStart"/>
      <w:r w:rsidRPr="00284ADC">
        <w:rPr>
          <w:color w:val="000000"/>
          <w:szCs w:val="18"/>
          <w:lang w:val="en-US"/>
        </w:rPr>
        <w:t>na</w:t>
      </w:r>
      <w:proofErr w:type="spellEnd"/>
      <w:r w:rsidRPr="00284ADC">
        <w:rPr>
          <w:color w:val="000000"/>
          <w:szCs w:val="18"/>
          <w:lang w:val="en-US"/>
        </w:rPr>
        <w:t xml:space="preserve"> </w:t>
      </w:r>
      <w:proofErr w:type="spellStart"/>
      <w:r w:rsidRPr="00284ADC">
        <w:rPr>
          <w:color w:val="000000"/>
          <w:szCs w:val="18"/>
          <w:lang w:val="en-US"/>
        </w:rPr>
        <w:t>podstawie</w:t>
      </w:r>
      <w:proofErr w:type="spellEnd"/>
      <w:r w:rsidRPr="00284ADC">
        <w:rPr>
          <w:color w:val="000000"/>
          <w:szCs w:val="18"/>
          <w:lang w:val="en-US"/>
        </w:rPr>
        <w:t xml:space="preserve"> configs/</w:t>
      </w:r>
      <w:proofErr w:type="spellStart"/>
      <w:r w:rsidRPr="00284ADC">
        <w:rPr>
          <w:color w:val="000000"/>
          <w:szCs w:val="18"/>
          <w:lang w:val="en-US"/>
        </w:rPr>
        <w:t>research_universe_pit.yaml</w:t>
      </w:r>
      <w:proofErr w:type="spellEnd"/>
      <w:r w:rsidRPr="00284ADC">
        <w:rPr>
          <w:color w:val="000000"/>
          <w:szCs w:val="18"/>
          <w:lang w:val="en-US"/>
        </w:rPr>
        <w:t xml:space="preserve"> </w:t>
      </w:r>
      <w:proofErr w:type="spellStart"/>
      <w:r w:rsidRPr="00284ADC">
        <w:rPr>
          <w:color w:val="000000"/>
          <w:szCs w:val="18"/>
          <w:lang w:val="en-US"/>
        </w:rPr>
        <w:t>i</w:t>
      </w:r>
      <w:proofErr w:type="spellEnd"/>
      <w:r w:rsidRPr="00284ADC">
        <w:rPr>
          <w:color w:val="000000"/>
          <w:szCs w:val="18"/>
          <w:lang w:val="en-US"/>
        </w:rPr>
        <w:t xml:space="preserve"> docs/05_1_historical_research_universe_pit_frozen_specification.md.</w:t>
      </w:r>
    </w:p>
    <w:p w14:paraId="4F9A08C9" w14:textId="77777777" w:rsidR="003F0521" w:rsidRDefault="00000000">
      <w:pPr>
        <w:spacing w:after="0" w:line="360" w:lineRule="auto"/>
        <w:ind w:firstLine="709"/>
        <w:jc w:val="both"/>
      </w:pPr>
      <w:r>
        <w:rPr>
          <w:b/>
        </w:rPr>
        <w:t xml:space="preserve">Polityka sektorowa. </w:t>
      </w:r>
      <w:r>
        <w:t xml:space="preserve">Reguły stosowano w ustalonej kolejności. Najpierw wykonywano bezwzględne wyłączenia sektora finansowego, ubezpieczeń, nieruchomości i przedsiębiorstw użyteczności publicznej (utilities). Do grupy Technology zaliczano kody SIC 3570–3579, 3660–3669, 3670–3679, 3810–3819, 3820–3829 i 7370–7379, a także opisy zawierające zamrożone słowa kluczowe: computer, software, semiconductor, data processing, electronic lub communications equipment. Po zastosowaniu tej reguły grupa Retail obejmowała SIC 5200–5999, a </w:t>
      </w:r>
      <w:r>
        <w:lastRenderedPageBreak/>
        <w:t xml:space="preserve">Industrials/Manufacturing – SIC 2000–3999. Grupa Extended Candidate obejmowała zakresy 1000–1499, 1500–1799, 4000–4899, 5000–5199 i 7000–8999, z odrębnym oznaczeniem usług ochrony zdrowia 8000–8099. Kolejność reguł rozstrzygała nakładające się zakresy. Pozostałe prawidłowe kody SIC, które nie należały do żadnego z zamrożonych zakresów objętych badaniem, prowadziły do wykluczenia obserwacji ze statusem </w:t>
      </w:r>
      <w:r>
        <w:rPr>
          <w:i/>
        </w:rPr>
        <w:t>excluded</w:t>
      </w:r>
      <w:r>
        <w:t xml:space="preserve"> i kodem przyczyny </w:t>
      </w:r>
      <w:r>
        <w:rPr>
          <w:i/>
        </w:rPr>
        <w:t>out_of_scope_sector</w:t>
      </w:r>
      <w:r>
        <w:t>. Nazwa spółki nie była samodzielną podstawą wyłączenia, ponieważ określenia „finance” lub „capital” mogą występować także w nazwie podmiotu prowadzącego rzeczywistą działalność operacyjną.</w:t>
      </w:r>
    </w:p>
    <w:p w14:paraId="634FDA0A" w14:textId="77777777" w:rsidR="003F0521" w:rsidRDefault="00000000">
      <w:pPr>
        <w:spacing w:after="0" w:line="360" w:lineRule="auto"/>
        <w:ind w:firstLine="709"/>
        <w:jc w:val="both"/>
      </w:pPr>
      <w:r>
        <w:rPr>
          <w:b/>
        </w:rPr>
        <w:t xml:space="preserve">Zgłoszenia wspólne i ekonomiczny zakres sprawozdania. </w:t>
      </w:r>
      <w:r>
        <w:t xml:space="preserve">Szczególnej kontroli wymagały zgłoszenia wspólne (joint filings), w których jeden numer accession obejmował kilka CIK. Sama obecność podmiotu na stronie tytułowej nie oznaczała, że stanowi on odrębną jednostkę ekonomiczną z własnym pełnym zestawem rocznych sprawozdań. Dla każdego zgłoszenia analizowano ekonomiczny zakres sprawozdania (economic statement scope), obejmujący co najmniej bilans, rachunek wyników oraz rachunek przepływów pieniężnych. Jeżeli różne CIK współdzieliły dokładnie ten sam skonsolidowany zestaw sprawozdań, jako </w:t>
      </w:r>
      <w:r>
        <w:rPr>
          <w:i/>
        </w:rPr>
        <w:t>eligible</w:t>
      </w:r>
      <w:r>
        <w:t xml:space="preserve"> pozostawiano najwyżej jednego reprezentanta. Pozostałe CIK zachowywano w kanonicznym artefakcie jako wiersze </w:t>
      </w:r>
      <w:r>
        <w:rPr>
          <w:i/>
        </w:rPr>
        <w:t>excluded</w:t>
      </w:r>
      <w:r>
        <w:t xml:space="preserve">, wraz z kodem przyczyny </w:t>
      </w:r>
      <w:r>
        <w:rPr>
          <w:i/>
        </w:rPr>
        <w:t>duplicate_registrant_same_statement_scope</w:t>
      </w:r>
      <w:r>
        <w:t xml:space="preserve">, powiązaniem z reprezentującym CIK i pełną ścieżką pochodzenia danych. Jeżeli natomiast dokument potwierdzał odrębny pełny zestaw sprawozdań dla kilku rejestrujących, każdy z nich mógł pozostać osobną obserwacją. Brak jednoznacznego dowodu własności ekonomicznego zakresu sprawozdania skutkował statusem </w:t>
      </w:r>
      <w:r>
        <w:rPr>
          <w:i/>
        </w:rPr>
        <w:t>ambiguous</w:t>
      </w:r>
      <w:r>
        <w:t>, a nie arbitralnym wyborem.</w:t>
      </w:r>
    </w:p>
    <w:p w14:paraId="096C955E" w14:textId="77777777" w:rsidR="003F0521" w:rsidRDefault="00000000">
      <w:pPr>
        <w:spacing w:after="0" w:line="360" w:lineRule="auto"/>
        <w:ind w:firstLine="709"/>
        <w:jc w:val="both"/>
      </w:pPr>
      <w:r>
        <w:t xml:space="preserve">Do identyfikacji tych relacji wprowadzono dwa odrębne identyfikatory. </w:t>
      </w:r>
      <w:r>
        <w:rPr>
          <w:i/>
        </w:rPr>
        <w:t>economic_statement_scope_id</w:t>
      </w:r>
      <w:r>
        <w:t xml:space="preserve"> wskazuje konkretny roczny zakres sprawozdania i uniemożliwia wielokrotne wykorzystanie tej samej skonsolidowanej informacji finansowej jako kilku niezależnych obserwacji. </w:t>
      </w:r>
      <w:r>
        <w:rPr>
          <w:i/>
        </w:rPr>
        <w:t>economic_group_id</w:t>
      </w:r>
      <w:r>
        <w:t xml:space="preserve"> łączy natomiast CIK historycznie powiązane przez wspólne zgłoszenia w konserwatywne grupy zależności. Identyfikator grupy nie zmienia członkostwa, nie zastępuje CIK i nie jest zmienną objaśniającą. Jest wykorzystywany później do diagnostyki zależności i przecieku między powiązanymi emitentami, bootstrapu klastrowego oraz opcjonalnej walidacji krzyżowej uwzględniającej strukturę grup. Takie rozdzielenie ogranicza </w:t>
      </w:r>
      <w:r>
        <w:lastRenderedPageBreak/>
        <w:t>ryzyko pozornej poprawy jakości modelu wynikającej z powielania tej samej jednostki ekonomicznej.</w:t>
      </w:r>
      <w:r>
        <w:footnoteReference w:id="6"/>
      </w:r>
    </w:p>
    <w:p w14:paraId="25AAE18F" w14:textId="77777777" w:rsidR="003F0521" w:rsidRDefault="00000000">
      <w:pPr>
        <w:spacing w:after="0" w:line="360" w:lineRule="auto"/>
        <w:ind w:firstLine="709"/>
        <w:jc w:val="both"/>
      </w:pPr>
      <w:r>
        <w:rPr>
          <w:b/>
        </w:rPr>
        <w:t xml:space="preserve">Rozdzielenie członkostwa, cech i zmiennej docelowej. </w:t>
      </w:r>
      <w:r>
        <w:t xml:space="preserve">Populacja badawcza nie była definiowana przez kompletność danych potrzebnych do uczenia nadzorowanego. Każda historyczna obserwacja emitent-rok obrotowy otrzymywała osobny </w:t>
      </w:r>
      <w:r>
        <w:rPr>
          <w:i/>
        </w:rPr>
        <w:t>membership_status</w:t>
      </w:r>
      <w:r>
        <w:t xml:space="preserve">: </w:t>
      </w:r>
      <w:r>
        <w:rPr>
          <w:i/>
        </w:rPr>
        <w:t>eligible</w:t>
      </w:r>
      <w:r>
        <w:t xml:space="preserve">, </w:t>
      </w:r>
      <w:r>
        <w:rPr>
          <w:i/>
        </w:rPr>
        <w:t>excluded</w:t>
      </w:r>
      <w:r>
        <w:t xml:space="preserve"> albo </w:t>
      </w:r>
      <w:r>
        <w:rPr>
          <w:i/>
        </w:rPr>
        <w:t>ambiguous</w:t>
      </w:r>
      <w:r>
        <w:t xml:space="preserve">. Niezależnie od tego wyznaczano później </w:t>
      </w:r>
      <w:r>
        <w:rPr>
          <w:i/>
        </w:rPr>
        <w:t>x_t_status</w:t>
      </w:r>
      <w:r>
        <w:t xml:space="preserve">, opisujący dostępność cech w chwili t, oraz </w:t>
      </w:r>
      <w:r>
        <w:rPr>
          <w:i/>
        </w:rPr>
        <w:t>target_status</w:t>
      </w:r>
      <w:r>
        <w:t>, opisujący możliwość wiarygodnego ustalenia zdarzenia pomiędzy t i t+1. Brak raportu za rok t+1, brak XBRL, brak pojedynczej pozycji finansowej albo niejednoznaczna prezentacja przychodów nie usuwały obserwacji z historycznej populacji. Takie przypadki pozostawały widoczne w audycie i dopiero na etapie tworzenia próby uczenia nadzorowanego decydowały o możliwości użycia wiersza. Pozwala to odróżnić rzeczywisty zakres historycznej populacji od warunkowej próby modelowej oraz jawnie ocenić ryzyko obciążenia selekcyjnego i obciążenia wynikającego z potencjalnie nieprzypadkowej dostępności zmiennej docelowej.</w:t>
      </w:r>
      <w:r>
        <w:footnoteReference w:id="7"/>
      </w:r>
    </w:p>
    <w:p w14:paraId="279BFD72" w14:textId="77777777" w:rsidR="003F0521" w:rsidRDefault="00000000">
      <w:pPr>
        <w:spacing w:after="0" w:line="360" w:lineRule="auto"/>
        <w:ind w:firstLine="709"/>
        <w:jc w:val="both"/>
      </w:pPr>
      <w:r>
        <w:rPr>
          <w:b/>
        </w:rPr>
        <w:t xml:space="preserve">Role czasowe poszczególnych okresów. </w:t>
      </w:r>
      <w:r>
        <w:t>Zakres 2011–2024 nie oznacza, że wszystkie lata pełnią tę samą funkcję analityczną. Lata 2011–2020 służą konstrukcji i wewnętrznej walidacji czasowej modeli, lata 2021–2022 stanowią ujawniony okres rozwojowy (design-exposed spent development period), a lata 2023–2024 – czasowy zbiór odłożony do oceny modeli (temporal model-performance holdout) z udokumentowaną wcześniejszą ekspozycją zagregowanych statystyk zmiennej docelowej. Szczegółowy status tych okresów, bramki dostępu oraz zasady jednorazowej oceny przedstawiono w podrozdziale 4.5.</w:t>
      </w:r>
      <w:r>
        <w:footnoteReference w:id="8"/>
      </w:r>
      <w:r>
        <w:footnoteReference w:id="9"/>
      </w:r>
    </w:p>
    <w:p w14:paraId="2656D7BB" w14:textId="77777777" w:rsidR="003F0521" w:rsidRDefault="00000000">
      <w:pPr>
        <w:spacing w:after="0" w:line="360" w:lineRule="auto"/>
        <w:ind w:firstLine="709"/>
        <w:jc w:val="both"/>
      </w:pPr>
      <w:r>
        <w:t xml:space="preserve">Przyjęty zakres badania należy interpretować warunkowo. Populacja źródłowa obejmuje historycznych emitentów składających oryginalne 10-K w zdefiniowanych sektorach niefinansowych, a nie wszystkie podmioty występujące w EDGAR. Wyłączono przedsiębiorstwa finansowe, ubezpieczeniowe, nieruchomościowe i </w:t>
      </w:r>
      <w:r>
        <w:lastRenderedPageBreak/>
        <w:t xml:space="preserve">przedsiębiorstwa użyteczności publicznej (utilities), nie włączano formularzy 20-F ani przejściowych formularzy 10-KT oraz nie utożsamiano braku bieżącego tickera z brakiem historycznej działalności. Przyjęte wyłączenia zwiększają porównywalność ekonomiczną i sprawozdawczą próby, lecz ograniczają możliwość bezpośredniego uogólniania wyników na instytucje finansowe, przedsiębiorstwa użyteczności publicznej, zagranicznych emitentów prywatnych oraz podmioty raportujące w niestandardowych okresach przejściowych. Ponadto przynależność do populacji nie gwarantuje późniejszej dostępności zmiennej docelowej ani kompletnego zestawu cech. W konsekwencji wnioski z modeli odnoszą się bezpośrednio do obserwacji emitent-rok obrotowy spełniających odrębne kryteria członkostwa, dostępności zmiennej docelowej i dopuszczalnej wartości pola </w:t>
      </w:r>
      <w:r>
        <w:rPr>
          <w:i/>
        </w:rPr>
        <w:t>x_t_status</w:t>
      </w:r>
      <w:r>
        <w:t>. Przepływ liczebności od wszystkich historycznych zgłoszeń kotwiczących do końcowej próby uczenia nadzorowanego oraz różnice w pokryciu danych pomiędzy latami i grupami spółek przedstawiono w podrozdziale 5.1.</w:t>
      </w:r>
    </w:p>
    <w:p w14:paraId="6C9EE830" w14:textId="77777777" w:rsidR="003F0521" w:rsidRDefault="00000000">
      <w:pPr>
        <w:spacing w:after="0" w:line="360" w:lineRule="auto"/>
        <w:ind w:firstLine="709"/>
        <w:jc w:val="both"/>
      </w:pPr>
      <w:r>
        <w:t>Reprodukowalność konstrukcji populacji wspierano przez rozdzielenie specyfikacji opisowej, konfiguracji maszynowej, kodu budującego, kodu audytującego oraz manifestu zamrożenia. Zamrożona wersja 1.1.0 określa źródła, zakres lat, kwalifikujące formularze, reguły historycznego SIC, logikę zgłoszeń wspólnych, dozwolone statusy i wymaganą ścieżkę pochodzenia danych. Każda późniejsza zmiana któregokolwiek z tych elementów wymaga nowej wersji, ponownego audytu i zachowania poprzedniego artefaktu jako punktu odniesienia. Wersjonowanie konfiguracji, kodu, manifestów oraz skrótów SHA-256 umożliwia odtworzenie logiki konstrukcji populacji i zweryfikowanie zgodności ponownie pozyskanych plików ze źródłami wykorzystanymi w badaniu. Reprodukcja identyczna na poziomie bajtów pozostaje jednak zależna od dostępności tych samych wersji źródeł SEC, ponieważ surowe pliki źródłowe nie są przechowywane w repozytorium Git.</w:t>
      </w:r>
    </w:p>
    <w:p w14:paraId="273E6FAD" w14:textId="77777777" w:rsidR="003F0521" w:rsidRDefault="00000000">
      <w:pPr>
        <w:spacing w:after="0" w:line="360" w:lineRule="auto"/>
        <w:ind w:firstLine="709"/>
        <w:jc w:val="both"/>
      </w:pPr>
      <w:r>
        <w:t>Tak zdefiniowana warstwa źródłowa stanowi podstawę dalszych etapów badania. W podrozdziale 4.2 przedstawiono sposób przygotowania danych i konstrukcji zmiennej docelowej mierzącej przyszłe, wielowymiarowe pogorszenie kondycji finansowej, natomiast w podrozdziale 4.3 opisano ekstrakcję cech finansowych zgodną z zasadą point-in-time, ich grupowanie oraz przetwarzanie wstępne (preprocessing) stosowane przed modelowaniem. Podział czasowy, procedurę walidacji i zasady dostępu do okresów odłożonych przedstawiono w podrozdziale 4.5.</w:t>
      </w:r>
    </w:p>
    <w:p w14:paraId="214F0B74" w14:textId="77777777" w:rsidR="003F0521" w:rsidRDefault="00000000">
      <w:pPr>
        <w:pStyle w:val="Heading2"/>
      </w:pPr>
      <w:r>
        <w:lastRenderedPageBreak/>
        <w:t>4.2. Przygotowanie danych i konstrukcja zmiennej docelowej</w:t>
      </w:r>
    </w:p>
    <w:p w14:paraId="70771F2E" w14:textId="77777777" w:rsidR="003F0521" w:rsidRDefault="00000000">
      <w:pPr>
        <w:spacing w:after="0" w:line="360" w:lineRule="auto"/>
        <w:ind w:firstLine="709"/>
        <w:jc w:val="both"/>
      </w:pPr>
      <w:r>
        <w:t>Po zdefiniowaniu historycznej populacji badawczej kolejnym etapem było przygotowanie informacji finansowych potrzebnych do konstrukcji zmiennej docelowej. W badaniu przyjęto kompozytową etykietę oznaczającą istotne, wielowymiarowe pogorszenie kondycji finansowej spółki w horyzoncie jednego roku. Formalnym identyfikatorem zamrożonej specyfikacji jest target_candidate_v2_pit_b, a wersja konstruktu wynosi 1.0.0. W wynikowych artefaktach danych sama etykieta binarna jest zapisywana w polu target_candidate_v2; rozróżnienie to dotyczy wyłącznie nazwy specyfikacji i nazwy kolumny, a nie dwóch odmiennych zmiennych docelowych. Zmienna docelowa nie jest bezpośrednią etykietą bankructwa, niewypłacalności, oszustwa, postępowania regulacyjnego ani manipulacji sprawozdawczej. Odpowiada na węższe pytanie: czy pomiędzy rokiem t i t+1 wystąpiło jednoczesne, ekonomicznie istotne pogorszenie w co najmniej trzech spośród pięciu obszarów kondycji przedsiębiorstwa.</w:t>
      </w:r>
      <w:r>
        <w:footnoteReference w:id="10"/>
      </w:r>
    </w:p>
    <w:p w14:paraId="24F410D6" w14:textId="77777777" w:rsidR="003F0521" w:rsidRDefault="00000000">
      <w:pPr>
        <w:spacing w:after="0" w:line="360" w:lineRule="auto"/>
        <w:ind w:firstLine="709"/>
        <w:jc w:val="both"/>
      </w:pPr>
      <w:r>
        <w:t>Zastosowanie kilku sygnałów zamiast pojedynczego wskaźnika ogranicza zależność etykiety od jednego elementu sprawozdania i pozwala objąć równocześnie rentowność, generowanie gotówki, płynność, zadłużenie oraz skalę działalności operacyjnej. Takie podejście wpisuje się w tradycję wielowskaźnikowej oceny kondycji finansowej, obecną między innymi w badaniach nad ryzykiem niewypłacalności i analizą fundamentalną. Konstrukcja zastosowana w niniejszej pracy nie jest jednak implementacją modelu Altmana, testu Beavera ani F-score Piotroskiego: wykorzystuje inny cel, inne progi, inną logikę czasową i własną definicję klasy pozytywnej. Progi sygnałów oraz reguła co najmniej trzech z pięciu wymiarów mają charakter konstrukcyjny i zostały określone przed modelowaniem jako granice zmian uznanych w badaniu za ekonomicznie istotne. Nie są one przedstawiane jako uniwersalne normy literaturowe; zależność wniosków od tych wartości jest oceniana za pomocą z góry określonych analiz odporności.</w:t>
      </w:r>
      <w:r>
        <w:footnoteReference w:id="11"/>
      </w:r>
    </w:p>
    <w:p w14:paraId="4236B596" w14:textId="77777777" w:rsidR="003F0521" w:rsidRDefault="00000000">
      <w:pPr>
        <w:spacing w:after="0" w:line="360" w:lineRule="auto"/>
        <w:ind w:firstLine="709"/>
        <w:jc w:val="both"/>
      </w:pPr>
      <w:r>
        <w:rPr>
          <w:b/>
        </w:rPr>
        <w:t xml:space="preserve">Jednostka analizy i granica informacji. </w:t>
      </w:r>
      <w:r>
        <w:t xml:space="preserve">Jednostką zmiennej docelowej jest spółka-rok (i, t). Cechy wykorzystywane później przez modele opisują stan znany w </w:t>
      </w:r>
      <w:r>
        <w:lastRenderedPageBreak/>
        <w:t>chwili predykcji dla roku t, natomiast etykieta jest konstruowana na podstawie zmiany pomiędzy t i dokładnie następnym rokiem t+1. Dane z t+1 mogą być użyte wyłącznie do utworzenia zmiennej docelowej, jej kontroli i analiz odporności. Nie mogą występować w X_t ani w żadnym etapie dopasowywania przetwarzania wstępnego lub modelu. Rozdzielenie to jest podstawową kontrolą wycieku informacji w czasie (temporal leakage): model ma przewidywać przyszłe pogorszenie na podstawie informacji dostępnych wcześniej, a nie odtwarzać je z danych przyszłych.</w:t>
      </w:r>
    </w:p>
    <w:p w14:paraId="47E11F26" w14:textId="77777777" w:rsidR="003F0521" w:rsidRDefault="00000000">
      <w:pPr>
        <w:spacing w:after="0" w:line="360" w:lineRule="auto"/>
        <w:ind w:firstLine="709"/>
        <w:jc w:val="both"/>
      </w:pPr>
      <w:r>
        <w:rPr>
          <w:b/>
        </w:rPr>
        <w:t xml:space="preserve">Polityka wersji danych PIT-B. </w:t>
      </w:r>
      <w:r>
        <w:t>Dla obserwacji z roku t raportem odniesienia dla zmiennej docelowej jest najwcześniejszy oryginalny raport Form 10-K za rok t+1. Wartości dotyczące t+1 są odczytywane jako wartości bieżące (current) z tego zgłoszenia, natomiast wartości dotyczące t jako wartości porównawcze (comparative) przedstawione w tym samym accession. Obie strony porównania pochodzą więc z jednego dokumentu, jednej wersji sprawozdania i zgodnego zakresu jednostki raportującej. Nie wykorzystuje się 10-K/A, późniejszych przekształceń danych ani faktów pochodzących z późniejszych zgłoszeń. Wartość porównawcza dla t z raportu t+1 służy wyłącznie do zdefiniowania przyszłego wyniku na spójnej podstawie księgowej; nie jest włączana do X_t ani do dopasowania modelu. Z tego względu rozwiązanie nie dostarcza modelowi informacji z przyszłości, lecz poprawia porównywalność dwóch składników etykiety. Nazwę PIT-B zastosowano, aby odróżnić tę politykę od wcześniejszych, pre-PIT sposobów łączenia wartości z różnych wersji i dat publikacji.</w:t>
      </w:r>
      <w:r>
        <w:footnoteReference w:id="12"/>
      </w:r>
    </w:p>
    <w:p w14:paraId="2274BE9C" w14:textId="77777777" w:rsidR="003F0521" w:rsidRDefault="00000000">
      <w:pPr>
        <w:pStyle w:val="Podpistabeli"/>
        <w:keepLines/>
      </w:pPr>
      <w:r>
        <w:rPr>
          <w:color w:val="000000"/>
          <w:szCs w:val="20"/>
        </w:rPr>
        <w:t>Tabela 4.3. Etapy przygotowania zmiennej docelowej PIT-B</w:t>
      </w:r>
    </w:p>
    <w:tbl>
      <w:tblPr>
        <w:tblStyle w:val="TableGrid"/>
        <w:tblW w:w="8504" w:type="dxa"/>
        <w:jc w:val="center"/>
        <w:tblLayout w:type="fixed"/>
        <w:tblLook w:val="04A0" w:firstRow="1" w:lastRow="0" w:firstColumn="1" w:lastColumn="0" w:noHBand="0" w:noVBand="1"/>
      </w:tblPr>
      <w:tblGrid>
        <w:gridCol w:w="1416"/>
        <w:gridCol w:w="3402"/>
        <w:gridCol w:w="3686"/>
      </w:tblGrid>
      <w:tr w:rsidR="003F0521" w14:paraId="55843D4F" w14:textId="77777777">
        <w:trPr>
          <w:cantSplit/>
          <w:tblHeader/>
          <w:jc w:val="center"/>
        </w:trPr>
        <w:tc>
          <w:tcPr>
            <w:tcW w:w="1363" w:type="dxa"/>
            <w:shd w:val="clear" w:color="auto" w:fill="D9E1F2"/>
            <w:vAlign w:val="center"/>
          </w:tcPr>
          <w:p w14:paraId="73C13D49" w14:textId="77777777" w:rsidR="003F0521" w:rsidRDefault="00000000">
            <w:r>
              <w:rPr>
                <w:b/>
                <w:sz w:val="18"/>
              </w:rPr>
              <w:t>Etap</w:t>
            </w:r>
          </w:p>
        </w:tc>
        <w:tc>
          <w:tcPr>
            <w:tcW w:w="3273" w:type="dxa"/>
            <w:shd w:val="clear" w:color="auto" w:fill="D9E1F2"/>
            <w:vAlign w:val="center"/>
          </w:tcPr>
          <w:p w14:paraId="575918D2" w14:textId="77777777" w:rsidR="003F0521" w:rsidRDefault="00000000">
            <w:r>
              <w:rPr>
                <w:b/>
                <w:sz w:val="18"/>
              </w:rPr>
              <w:t>Działanie</w:t>
            </w:r>
          </w:p>
        </w:tc>
        <w:tc>
          <w:tcPr>
            <w:tcW w:w="3546" w:type="dxa"/>
            <w:shd w:val="clear" w:color="auto" w:fill="D9E1F2"/>
            <w:vAlign w:val="center"/>
          </w:tcPr>
          <w:p w14:paraId="101A2182" w14:textId="77777777" w:rsidR="003F0521" w:rsidRDefault="00000000">
            <w:r>
              <w:rPr>
                <w:b/>
                <w:sz w:val="18"/>
              </w:rPr>
              <w:t>Najważniejsza kontrola</w:t>
            </w:r>
          </w:p>
        </w:tc>
      </w:tr>
      <w:tr w:rsidR="003F0521" w14:paraId="64F71C5D" w14:textId="77777777">
        <w:trPr>
          <w:cantSplit/>
          <w:jc w:val="center"/>
        </w:trPr>
        <w:tc>
          <w:tcPr>
            <w:tcW w:w="1363" w:type="dxa"/>
            <w:vAlign w:val="center"/>
          </w:tcPr>
          <w:p w14:paraId="4D30EBAC" w14:textId="77777777" w:rsidR="003F0521" w:rsidRDefault="00000000">
            <w:r>
              <w:rPr>
                <w:sz w:val="18"/>
              </w:rPr>
              <w:t>1. Wyznaczenie pary spółka-rok</w:t>
            </w:r>
          </w:p>
        </w:tc>
        <w:tc>
          <w:tcPr>
            <w:tcW w:w="3273" w:type="dxa"/>
            <w:vAlign w:val="center"/>
          </w:tcPr>
          <w:p w14:paraId="68CDF581" w14:textId="77777777" w:rsidR="003F0521" w:rsidRDefault="00000000">
            <w:r>
              <w:rPr>
                <w:sz w:val="18"/>
              </w:rPr>
              <w:t>Dla obserwacji (i, t) identyfikowany jest dokładnie kolejny rok t+1 w obrębie tej samej historycznej jednostki raportującej.</w:t>
            </w:r>
          </w:p>
        </w:tc>
        <w:tc>
          <w:tcPr>
            <w:tcW w:w="3546" w:type="dxa"/>
            <w:vAlign w:val="center"/>
          </w:tcPr>
          <w:p w14:paraId="405055C4" w14:textId="77777777" w:rsidR="003F0521" w:rsidRDefault="00000000">
            <w:r>
              <w:rPr>
                <w:sz w:val="18"/>
              </w:rPr>
              <w:t>Bez wyznaczania następstwa na podstawie nazwy lub tickera; kontrola CIK, accession oraz ciągłości jednostki raportującej.</w:t>
            </w:r>
          </w:p>
        </w:tc>
      </w:tr>
      <w:tr w:rsidR="003F0521" w14:paraId="15E5131F" w14:textId="77777777">
        <w:trPr>
          <w:cantSplit/>
          <w:jc w:val="center"/>
        </w:trPr>
        <w:tc>
          <w:tcPr>
            <w:tcW w:w="1363" w:type="dxa"/>
            <w:vAlign w:val="center"/>
          </w:tcPr>
          <w:p w14:paraId="770805A8" w14:textId="77777777" w:rsidR="003F0521" w:rsidRDefault="00000000">
            <w:r>
              <w:rPr>
                <w:sz w:val="18"/>
              </w:rPr>
              <w:t>2. Wybór raportu t+1</w:t>
            </w:r>
          </w:p>
        </w:tc>
        <w:tc>
          <w:tcPr>
            <w:tcW w:w="3273" w:type="dxa"/>
            <w:vAlign w:val="center"/>
          </w:tcPr>
          <w:p w14:paraId="09CDF120" w14:textId="77777777" w:rsidR="003F0521" w:rsidRDefault="00000000">
            <w:r>
              <w:rPr>
                <w:sz w:val="18"/>
              </w:rPr>
              <w:t>Wybierany jest najwcześniejszy oryginalny raport Form 10-K za rok t+1.</w:t>
            </w:r>
          </w:p>
        </w:tc>
        <w:tc>
          <w:tcPr>
            <w:tcW w:w="3546" w:type="dxa"/>
            <w:vAlign w:val="center"/>
          </w:tcPr>
          <w:p w14:paraId="3CA80C1A" w14:textId="77777777" w:rsidR="003F0521" w:rsidRDefault="00000000">
            <w:r>
              <w:rPr>
                <w:sz w:val="18"/>
              </w:rPr>
              <w:t>Wyłączenie 10-K/A, późniejszych przekształceń danych i późniejszych zgłoszeń.</w:t>
            </w:r>
          </w:p>
        </w:tc>
      </w:tr>
      <w:tr w:rsidR="003F0521" w14:paraId="417E4114" w14:textId="77777777">
        <w:trPr>
          <w:cantSplit/>
          <w:jc w:val="center"/>
        </w:trPr>
        <w:tc>
          <w:tcPr>
            <w:tcW w:w="1363" w:type="dxa"/>
            <w:vAlign w:val="center"/>
          </w:tcPr>
          <w:p w14:paraId="101B3F4B" w14:textId="77777777" w:rsidR="003F0521" w:rsidRDefault="00000000">
            <w:r>
              <w:rPr>
                <w:sz w:val="18"/>
              </w:rPr>
              <w:t>3. Ekstrakcja current/comparative</w:t>
            </w:r>
          </w:p>
        </w:tc>
        <w:tc>
          <w:tcPr>
            <w:tcW w:w="3273" w:type="dxa"/>
            <w:vAlign w:val="center"/>
          </w:tcPr>
          <w:p w14:paraId="0057C81D" w14:textId="77777777" w:rsidR="003F0521" w:rsidRDefault="00000000">
            <w:r>
              <w:rPr>
                <w:sz w:val="18"/>
              </w:rPr>
              <w:t>Wartości t+1 pobierane są jako current, a wartości t jako comparative z tego samego accession.</w:t>
            </w:r>
          </w:p>
        </w:tc>
        <w:tc>
          <w:tcPr>
            <w:tcW w:w="3546" w:type="dxa"/>
            <w:vAlign w:val="center"/>
          </w:tcPr>
          <w:p w14:paraId="42A4A5ED" w14:textId="77777777" w:rsidR="003F0521" w:rsidRDefault="00000000">
            <w:r>
              <w:rPr>
                <w:sz w:val="18"/>
              </w:rPr>
              <w:t>Jedno źródło, zgodny koncept XBRL, zgodny okres roczny i zgodny kontekst jednostki raportującej.</w:t>
            </w:r>
          </w:p>
        </w:tc>
      </w:tr>
      <w:tr w:rsidR="003F0521" w14:paraId="6F35D44D" w14:textId="77777777">
        <w:trPr>
          <w:cantSplit/>
          <w:jc w:val="center"/>
        </w:trPr>
        <w:tc>
          <w:tcPr>
            <w:tcW w:w="1363" w:type="dxa"/>
            <w:vAlign w:val="center"/>
          </w:tcPr>
          <w:p w14:paraId="2393652C" w14:textId="77777777" w:rsidR="003F0521" w:rsidRDefault="00000000">
            <w:r>
              <w:rPr>
                <w:sz w:val="18"/>
              </w:rPr>
              <w:t>4. Walidacja semantyczna i okresowa</w:t>
            </w:r>
          </w:p>
        </w:tc>
        <w:tc>
          <w:tcPr>
            <w:tcW w:w="3273" w:type="dxa"/>
            <w:vAlign w:val="center"/>
          </w:tcPr>
          <w:p w14:paraId="689D18B5" w14:textId="77777777" w:rsidR="003F0521" w:rsidRDefault="00000000">
            <w:r>
              <w:rPr>
                <w:sz w:val="18"/>
              </w:rPr>
              <w:t>Sprawdzane są definicje ekonomiczne pozycji, typ okresu, długość roku, mianowniki, znaki i ciągłość jednostki.</w:t>
            </w:r>
          </w:p>
        </w:tc>
        <w:tc>
          <w:tcPr>
            <w:tcW w:w="3546" w:type="dxa"/>
            <w:vAlign w:val="center"/>
          </w:tcPr>
          <w:p w14:paraId="6DC9BBC8" w14:textId="77777777" w:rsidR="003F0521" w:rsidRDefault="00000000">
            <w:r>
              <w:rPr>
                <w:sz w:val="18"/>
              </w:rPr>
              <w:t>Zasada fail-closed: brak pewności oznacza NA, a nie wybór zwiększający dostępność danych.</w:t>
            </w:r>
          </w:p>
        </w:tc>
      </w:tr>
      <w:tr w:rsidR="003F0521" w14:paraId="516DD3C3" w14:textId="77777777">
        <w:trPr>
          <w:cantSplit/>
          <w:jc w:val="center"/>
        </w:trPr>
        <w:tc>
          <w:tcPr>
            <w:tcW w:w="1363" w:type="dxa"/>
            <w:vAlign w:val="center"/>
          </w:tcPr>
          <w:p w14:paraId="7F1E7658" w14:textId="77777777" w:rsidR="003F0521" w:rsidRDefault="00000000">
            <w:r>
              <w:rPr>
                <w:sz w:val="18"/>
              </w:rPr>
              <w:t>5. Obliczenie D1-D5</w:t>
            </w:r>
          </w:p>
        </w:tc>
        <w:tc>
          <w:tcPr>
            <w:tcW w:w="3273" w:type="dxa"/>
            <w:vAlign w:val="center"/>
          </w:tcPr>
          <w:p w14:paraId="4EAF0F38" w14:textId="77777777" w:rsidR="003F0521" w:rsidRDefault="00000000">
            <w:r>
              <w:rPr>
                <w:sz w:val="18"/>
              </w:rPr>
              <w:t>Z pięciu zwalidowanych zmian tworzone są binarne sygnały pogorszenia.</w:t>
            </w:r>
          </w:p>
        </w:tc>
        <w:tc>
          <w:tcPr>
            <w:tcW w:w="3546" w:type="dxa"/>
            <w:vAlign w:val="center"/>
          </w:tcPr>
          <w:p w14:paraId="2CE7BDEC" w14:textId="77777777" w:rsidR="003F0521" w:rsidRDefault="00000000">
            <w:r>
              <w:rPr>
                <w:sz w:val="18"/>
              </w:rPr>
              <w:t>Progi określono przed modelowaniem; nie są wybierane na podstawie wyników modeli.</w:t>
            </w:r>
          </w:p>
        </w:tc>
      </w:tr>
      <w:tr w:rsidR="003F0521" w14:paraId="06D3EF9D" w14:textId="77777777">
        <w:trPr>
          <w:cantSplit/>
          <w:jc w:val="center"/>
        </w:trPr>
        <w:tc>
          <w:tcPr>
            <w:tcW w:w="1363" w:type="dxa"/>
            <w:vAlign w:val="center"/>
          </w:tcPr>
          <w:p w14:paraId="7D61AF2F" w14:textId="77777777" w:rsidR="003F0521" w:rsidRDefault="00000000">
            <w:r>
              <w:rPr>
                <w:sz w:val="18"/>
              </w:rPr>
              <w:t>6. Agregacja i zapis pochodzenia danych</w:t>
            </w:r>
          </w:p>
        </w:tc>
        <w:tc>
          <w:tcPr>
            <w:tcW w:w="3273" w:type="dxa"/>
            <w:vAlign w:val="center"/>
          </w:tcPr>
          <w:p w14:paraId="278AABFD" w14:textId="77777777" w:rsidR="003F0521" w:rsidRDefault="00000000">
            <w:r>
              <w:rPr>
                <w:sz w:val="18"/>
              </w:rPr>
              <w:t>Sygnały są sumowane do deterioration_score_1y, a następnie wyznaczana jest etykieta binarna.</w:t>
            </w:r>
          </w:p>
        </w:tc>
        <w:tc>
          <w:tcPr>
            <w:tcW w:w="3546" w:type="dxa"/>
            <w:vAlign w:val="center"/>
          </w:tcPr>
          <w:p w14:paraId="0DF4E3CD" w14:textId="77777777" w:rsidR="003F0521" w:rsidRDefault="00000000">
            <w:r>
              <w:rPr>
                <w:sz w:val="18"/>
              </w:rPr>
              <w:t>Zachowanie pięciu flag, pełnej sumy, statusu, kodu przyczyny, accession oraz źródeł faktów.</w:t>
            </w:r>
          </w:p>
        </w:tc>
      </w:tr>
    </w:tbl>
    <w:p w14:paraId="0B9C2019" w14:textId="77777777" w:rsidR="003F0521" w:rsidRDefault="00000000">
      <w:pPr>
        <w:pStyle w:val="rdotabeli"/>
      </w:pPr>
      <w:r>
        <w:rPr>
          <w:color w:val="000000"/>
          <w:szCs w:val="18"/>
        </w:rPr>
        <w:t>Źródło: opracowanie własne na podstawie zamrożonej specyfikacji PIT-B v1.0.0.</w:t>
      </w:r>
    </w:p>
    <w:p w14:paraId="7F880C2F" w14:textId="77777777" w:rsidR="003F0521" w:rsidRDefault="00000000">
      <w:pPr>
        <w:spacing w:after="0" w:line="360" w:lineRule="auto"/>
        <w:ind w:firstLine="709"/>
        <w:jc w:val="both"/>
      </w:pPr>
      <w:r>
        <w:rPr>
          <w:b/>
        </w:rPr>
        <w:lastRenderedPageBreak/>
        <w:t xml:space="preserve">Ekstrakcja i harmonizacja wartości finansowych. </w:t>
      </w:r>
      <w:r>
        <w:t>Do obliczenia pięciu sygnałów potrzebne są wartości siedmiu podstawowych pozycji: aktywów, zobowiązań, aktywów obrotowych, zobowiązań krótkoterminowych, przychodów, wyniku netto oraz przepływów pieniężnych z działalności operacyjnej. Fakty XBRL nie były wybierane według prostego kryterium dostępności. Dla każdej pozycji zdefiniowano uporządkowane strategie rozstrzygania konceptów XBRL (concept resolution), rozróżniono wartości punktowe (instant) i okresowe (duration) oraz wymagano zgodności semantycznej pomiędzy current i comparative. Strategia o niższym priorytecie nie mogła zastąpić niejednoznacznej strategii o wyższym priorytecie wyłącznie po to, aby zwiększyć liczbę kompletnych obserwacji.</w:t>
      </w:r>
    </w:p>
    <w:p w14:paraId="2148749E" w14:textId="77777777" w:rsidR="003F0521" w:rsidRDefault="00000000">
      <w:pPr>
        <w:spacing w:after="0" w:line="360" w:lineRule="auto"/>
        <w:ind w:firstLine="709"/>
        <w:jc w:val="both"/>
      </w:pPr>
      <w:r>
        <w:t>Kontrola okresu wymagała, aby fakty duration reprezentowały rok obrotowy, a fakty instant odnosiły się do właściwych dat bilansowych. Dopuszczono standardowe lata 52- i 53-tygodniowe; w implementacji okres roczny musiał mieścić się w zamrożonym przedziale od 300 do 400 dni, z tolerancją 14 dni dla początku okresu porównawczego. Okres przejściowy, konflikt roku fiskalnego lub nierozstrzygnięty kontekst prowadził do braku zmiennej docelowej. Dla ilorazów wymagano także ekonomicznie poprawnych mianowników: aktywa, zobowiązania krótkoterminowe i przychody wykorzystywane w odpowiednich formułach musiały przekraczać 1 000 USD w obu porównywanych okresach. Dla sygnału płynności dodatkowo wymagano dodatniego current ratio w roku t oraz nieujemnego current ratio w roku t+1. Zmienna docelowa nie była imputowana, winsoryzowana ani obliczana z częściowego zestawu sygnałów.</w:t>
      </w:r>
      <w:r>
        <w:footnoteReference w:id="13"/>
      </w:r>
    </w:p>
    <w:p w14:paraId="73AE8984" w14:textId="77777777" w:rsidR="003F0521" w:rsidRDefault="00000000">
      <w:pPr>
        <w:pStyle w:val="Podpistabeli"/>
        <w:keepLines/>
      </w:pPr>
      <w:r>
        <w:rPr>
          <w:color w:val="000000"/>
          <w:szCs w:val="20"/>
        </w:rPr>
        <w:t>Tabela 4.4. Wielkości wejściowe wykorzystywane do konstrukcji zmiennej docelowej</w:t>
      </w:r>
    </w:p>
    <w:tbl>
      <w:tblPr>
        <w:tblStyle w:val="TableGrid"/>
        <w:tblW w:w="8504" w:type="dxa"/>
        <w:jc w:val="center"/>
        <w:tblLayout w:type="fixed"/>
        <w:tblLook w:val="04A0" w:firstRow="1" w:lastRow="0" w:firstColumn="1" w:lastColumn="0" w:noHBand="0" w:noVBand="1"/>
      </w:tblPr>
      <w:tblGrid>
        <w:gridCol w:w="1701"/>
        <w:gridCol w:w="2835"/>
        <w:gridCol w:w="3968"/>
      </w:tblGrid>
      <w:tr w:rsidR="003F0521" w14:paraId="70391273" w14:textId="77777777">
        <w:trPr>
          <w:cantSplit/>
          <w:tblHeader/>
          <w:jc w:val="center"/>
        </w:trPr>
        <w:tc>
          <w:tcPr>
            <w:tcW w:w="1637" w:type="dxa"/>
            <w:shd w:val="clear" w:color="auto" w:fill="D9E1F2"/>
            <w:vAlign w:val="center"/>
          </w:tcPr>
          <w:p w14:paraId="09DE8F08" w14:textId="77777777" w:rsidR="003F0521" w:rsidRDefault="00000000">
            <w:r>
              <w:rPr>
                <w:b/>
                <w:sz w:val="18"/>
              </w:rPr>
              <w:t>Wielkość</w:t>
            </w:r>
          </w:p>
        </w:tc>
        <w:tc>
          <w:tcPr>
            <w:tcW w:w="2728" w:type="dxa"/>
            <w:shd w:val="clear" w:color="auto" w:fill="D9E1F2"/>
            <w:vAlign w:val="center"/>
          </w:tcPr>
          <w:p w14:paraId="3A21E5F8" w14:textId="77777777" w:rsidR="003F0521" w:rsidRDefault="00000000">
            <w:r>
              <w:rPr>
                <w:b/>
                <w:sz w:val="18"/>
              </w:rPr>
              <w:t>Formuła dla roku y</w:t>
            </w:r>
          </w:p>
        </w:tc>
        <w:tc>
          <w:tcPr>
            <w:tcW w:w="3819" w:type="dxa"/>
            <w:shd w:val="clear" w:color="auto" w:fill="D9E1F2"/>
            <w:vAlign w:val="center"/>
          </w:tcPr>
          <w:p w14:paraId="4180408C" w14:textId="77777777" w:rsidR="003F0521" w:rsidRDefault="00000000">
            <w:r>
              <w:rPr>
                <w:b/>
                <w:sz w:val="18"/>
              </w:rPr>
              <w:t>Rola w konstrukcji zmiennej docelowej</w:t>
            </w:r>
          </w:p>
        </w:tc>
      </w:tr>
      <w:tr w:rsidR="003F0521" w14:paraId="2748FCC4" w14:textId="77777777">
        <w:trPr>
          <w:cantSplit/>
          <w:jc w:val="center"/>
        </w:trPr>
        <w:tc>
          <w:tcPr>
            <w:tcW w:w="1637" w:type="dxa"/>
            <w:vAlign w:val="center"/>
          </w:tcPr>
          <w:p w14:paraId="5885AC94" w14:textId="77777777" w:rsidR="003F0521" w:rsidRDefault="00000000">
            <w:r>
              <w:rPr>
                <w:sz w:val="18"/>
              </w:rPr>
              <w:t>ROA (definicja badania)</w:t>
            </w:r>
          </w:p>
        </w:tc>
        <w:tc>
          <w:tcPr>
            <w:tcW w:w="2728" w:type="dxa"/>
            <w:vAlign w:val="center"/>
          </w:tcPr>
          <w:p w14:paraId="1B3A8BB3" w14:textId="77777777" w:rsidR="003F0521" w:rsidRDefault="00000000">
            <w:r>
              <w:rPr>
                <w:sz w:val="18"/>
              </w:rPr>
              <w:t>net_income_y / assets_y, gdzie assets_y oznacza stan na koniec roku</w:t>
            </w:r>
          </w:p>
        </w:tc>
        <w:tc>
          <w:tcPr>
            <w:tcW w:w="3819" w:type="dxa"/>
            <w:vAlign w:val="center"/>
          </w:tcPr>
          <w:p w14:paraId="300E1504" w14:textId="77777777" w:rsidR="003F0521" w:rsidRDefault="00000000">
            <w:r>
              <w:rPr>
                <w:sz w:val="18"/>
              </w:rPr>
              <w:t>Zmiana rentowności aktywów według definicji przyjętej w badaniu; podstawa sygnału D1.</w:t>
            </w:r>
          </w:p>
        </w:tc>
      </w:tr>
      <w:tr w:rsidR="003F0521" w14:paraId="2FBFE311" w14:textId="77777777">
        <w:trPr>
          <w:cantSplit/>
          <w:jc w:val="center"/>
        </w:trPr>
        <w:tc>
          <w:tcPr>
            <w:tcW w:w="1637" w:type="dxa"/>
            <w:vAlign w:val="center"/>
          </w:tcPr>
          <w:p w14:paraId="3615BB87" w14:textId="77777777" w:rsidR="003F0521" w:rsidRDefault="00000000">
            <w:r>
              <w:rPr>
                <w:sz w:val="18"/>
              </w:rPr>
              <w:t>OCF/assets</w:t>
            </w:r>
          </w:p>
        </w:tc>
        <w:tc>
          <w:tcPr>
            <w:tcW w:w="2728" w:type="dxa"/>
            <w:vAlign w:val="center"/>
          </w:tcPr>
          <w:p w14:paraId="7AC7F917" w14:textId="77777777" w:rsidR="003F0521" w:rsidRDefault="00000000">
            <w:r>
              <w:rPr>
                <w:sz w:val="18"/>
              </w:rPr>
              <w:t>operating_cash_flow_y / assets_y (stan aktywów na koniec roku)</w:t>
            </w:r>
          </w:p>
        </w:tc>
        <w:tc>
          <w:tcPr>
            <w:tcW w:w="3819" w:type="dxa"/>
            <w:vAlign w:val="center"/>
          </w:tcPr>
          <w:p w14:paraId="64ABD965" w14:textId="77777777" w:rsidR="003F0521" w:rsidRDefault="00000000">
            <w:r>
              <w:rPr>
                <w:sz w:val="18"/>
              </w:rPr>
              <w:t>Zmiana zdolności aktywów do generowania gotówki operacyjnej; podstawa D2.</w:t>
            </w:r>
          </w:p>
        </w:tc>
      </w:tr>
      <w:tr w:rsidR="003F0521" w14:paraId="0D43D2F3" w14:textId="77777777">
        <w:trPr>
          <w:cantSplit/>
          <w:jc w:val="center"/>
        </w:trPr>
        <w:tc>
          <w:tcPr>
            <w:tcW w:w="1637" w:type="dxa"/>
            <w:vAlign w:val="center"/>
          </w:tcPr>
          <w:p w14:paraId="6F76C1D0" w14:textId="77777777" w:rsidR="003F0521" w:rsidRDefault="00000000">
            <w:r>
              <w:rPr>
                <w:sz w:val="18"/>
              </w:rPr>
              <w:t>Current ratio</w:t>
            </w:r>
          </w:p>
        </w:tc>
        <w:tc>
          <w:tcPr>
            <w:tcW w:w="2728" w:type="dxa"/>
            <w:vAlign w:val="center"/>
          </w:tcPr>
          <w:p w14:paraId="39F64312" w14:textId="77777777" w:rsidR="003F0521" w:rsidRPr="00284ADC" w:rsidRDefault="00000000">
            <w:pPr>
              <w:rPr>
                <w:lang w:val="en-US"/>
              </w:rPr>
            </w:pPr>
            <w:proofErr w:type="spellStart"/>
            <w:r w:rsidRPr="00284ADC">
              <w:rPr>
                <w:sz w:val="18"/>
                <w:lang w:val="en-US"/>
              </w:rPr>
              <w:t>current_assets_y</w:t>
            </w:r>
            <w:proofErr w:type="spellEnd"/>
            <w:r w:rsidRPr="00284ADC">
              <w:rPr>
                <w:sz w:val="18"/>
                <w:lang w:val="en-US"/>
              </w:rPr>
              <w:t xml:space="preserve"> / </w:t>
            </w:r>
            <w:proofErr w:type="spellStart"/>
            <w:r w:rsidRPr="00284ADC">
              <w:rPr>
                <w:sz w:val="18"/>
                <w:lang w:val="en-US"/>
              </w:rPr>
              <w:t>current_liabilities_y</w:t>
            </w:r>
            <w:proofErr w:type="spellEnd"/>
          </w:p>
        </w:tc>
        <w:tc>
          <w:tcPr>
            <w:tcW w:w="3819" w:type="dxa"/>
            <w:vAlign w:val="center"/>
          </w:tcPr>
          <w:p w14:paraId="3777E2C8" w14:textId="77777777" w:rsidR="003F0521" w:rsidRDefault="00000000">
            <w:r>
              <w:rPr>
                <w:sz w:val="18"/>
              </w:rPr>
              <w:t>Zmiana krótkoterminowej płynności; podstawa D3.</w:t>
            </w:r>
          </w:p>
        </w:tc>
      </w:tr>
      <w:tr w:rsidR="003F0521" w14:paraId="2C109AA1" w14:textId="77777777">
        <w:trPr>
          <w:cantSplit/>
          <w:jc w:val="center"/>
        </w:trPr>
        <w:tc>
          <w:tcPr>
            <w:tcW w:w="1637" w:type="dxa"/>
            <w:vAlign w:val="center"/>
          </w:tcPr>
          <w:p w14:paraId="7E0061E8" w14:textId="77777777" w:rsidR="003F0521" w:rsidRDefault="00000000">
            <w:r>
              <w:rPr>
                <w:sz w:val="18"/>
              </w:rPr>
              <w:t>Liabilities/assets</w:t>
            </w:r>
          </w:p>
        </w:tc>
        <w:tc>
          <w:tcPr>
            <w:tcW w:w="2728" w:type="dxa"/>
            <w:vAlign w:val="center"/>
          </w:tcPr>
          <w:p w14:paraId="6FB8F2DF" w14:textId="77777777" w:rsidR="003F0521" w:rsidRDefault="00000000">
            <w:r>
              <w:rPr>
                <w:sz w:val="18"/>
              </w:rPr>
              <w:t>liabilities_y / assets_y</w:t>
            </w:r>
          </w:p>
        </w:tc>
        <w:tc>
          <w:tcPr>
            <w:tcW w:w="3819" w:type="dxa"/>
            <w:vAlign w:val="center"/>
          </w:tcPr>
          <w:p w14:paraId="254A3CF0" w14:textId="77777777" w:rsidR="003F0521" w:rsidRDefault="00000000">
            <w:r>
              <w:rPr>
                <w:sz w:val="18"/>
              </w:rPr>
              <w:t>Zmiana udziału zobowiązań w finansowaniu aktywów; podstawa D4.</w:t>
            </w:r>
          </w:p>
        </w:tc>
      </w:tr>
      <w:tr w:rsidR="003F0521" w14:paraId="4157669B" w14:textId="77777777">
        <w:trPr>
          <w:cantSplit/>
          <w:jc w:val="center"/>
        </w:trPr>
        <w:tc>
          <w:tcPr>
            <w:tcW w:w="1637" w:type="dxa"/>
            <w:vAlign w:val="center"/>
          </w:tcPr>
          <w:p w14:paraId="1408EB5B" w14:textId="77777777" w:rsidR="003F0521" w:rsidRDefault="00000000">
            <w:r>
              <w:rPr>
                <w:sz w:val="18"/>
              </w:rPr>
              <w:t>Revenues</w:t>
            </w:r>
          </w:p>
        </w:tc>
        <w:tc>
          <w:tcPr>
            <w:tcW w:w="2728" w:type="dxa"/>
            <w:vAlign w:val="center"/>
          </w:tcPr>
          <w:p w14:paraId="3539C5DF" w14:textId="77777777" w:rsidR="003F0521" w:rsidRDefault="00000000">
            <w:r>
              <w:rPr>
                <w:sz w:val="18"/>
              </w:rPr>
              <w:t>roczne skonsolidowane przychody_y</w:t>
            </w:r>
          </w:p>
        </w:tc>
        <w:tc>
          <w:tcPr>
            <w:tcW w:w="3819" w:type="dxa"/>
            <w:vAlign w:val="center"/>
          </w:tcPr>
          <w:p w14:paraId="0468BE41" w14:textId="77777777" w:rsidR="003F0521" w:rsidRDefault="00000000">
            <w:r>
              <w:rPr>
                <w:sz w:val="18"/>
              </w:rPr>
              <w:t>Zmiana skali sprzedaży lub działalności operacyjnej; podstawa D5.</w:t>
            </w:r>
          </w:p>
        </w:tc>
      </w:tr>
    </w:tbl>
    <w:p w14:paraId="51081B7A" w14:textId="77777777" w:rsidR="003F0521" w:rsidRDefault="00000000">
      <w:pPr>
        <w:pStyle w:val="rdotabeli"/>
      </w:pPr>
      <w:r>
        <w:rPr>
          <w:color w:val="000000"/>
          <w:szCs w:val="18"/>
        </w:rPr>
        <w:t>Źródło: opracowanie własne na podstawie zamrożonej definicji sygnałów i konfiguracji PIT-B.</w:t>
      </w:r>
    </w:p>
    <w:p w14:paraId="584C9A71" w14:textId="6BB2F396" w:rsidR="003F0521" w:rsidRDefault="00000000" w:rsidP="00284ADC">
      <w:pPr>
        <w:spacing w:after="0" w:line="360" w:lineRule="auto"/>
        <w:ind w:firstLine="709"/>
        <w:jc w:val="both"/>
      </w:pPr>
      <w:r>
        <w:rPr>
          <w:b/>
        </w:rPr>
        <w:lastRenderedPageBreak/>
        <w:t xml:space="preserve">Sygnały pogorszenia D1-D5. </w:t>
      </w:r>
      <w:r>
        <w:t>Każdy sygnał przyjmuje wartość 1, jeżeli zwalidowana zmiana spełnia ustalony warunek pogorszenia, oraz 0, jeżeli wymagane dane są dostępne, lecz warunek nie został spełniony. Progi 0,03 i 0,10 w sygnałach opartych na różnicy wskaźników oznaczają odpowiednio 3 i 10 punktów procentowych. Dla current ratio i przychodów zastosowano zmianę względną, ponieważ bezwzględna różnica tych wielkości nie ma jednolitej interpretacji między spółkami o odmiennej skali i strukturze. Wartości graniczne są elementem autorskiej operacjonalizacji ekonomicznie istotnego pogorszenia, ustalonym przed modelowaniem; nie wynikają bezpośrednio z modeli Beavera, Altmana ani Piotroskiego i nie były dostrajane do jakości predykcyjnej modeli. Dalsze analizy odporności sprawdzają wrażliwość wniosków na próg agregacji, nie zmieniając zamrożonych progów samych sygnałów.</w:t>
      </w:r>
    </w:p>
    <w:p w14:paraId="0DCDB44D" w14:textId="77777777" w:rsidR="003F0521" w:rsidRDefault="00000000">
      <w:pPr>
        <w:pStyle w:val="Podpistabeli"/>
        <w:keepLines/>
      </w:pPr>
      <w:r>
        <w:rPr>
          <w:color w:val="000000"/>
          <w:szCs w:val="20"/>
        </w:rPr>
        <w:t>Tabela 4.5. Definicje pięciu sygnałów pogorszenia kondycji finansowej</w:t>
      </w:r>
    </w:p>
    <w:tbl>
      <w:tblPr>
        <w:tblStyle w:val="TableGrid"/>
        <w:tblW w:w="8504" w:type="dxa"/>
        <w:jc w:val="center"/>
        <w:tblLayout w:type="fixed"/>
        <w:tblLook w:val="04A0" w:firstRow="1" w:lastRow="0" w:firstColumn="1" w:lastColumn="0" w:noHBand="0" w:noVBand="1"/>
      </w:tblPr>
      <w:tblGrid>
        <w:gridCol w:w="737"/>
        <w:gridCol w:w="1757"/>
        <w:gridCol w:w="3062"/>
        <w:gridCol w:w="2948"/>
      </w:tblGrid>
      <w:tr w:rsidR="003F0521" w14:paraId="41E26A64" w14:textId="77777777">
        <w:trPr>
          <w:cantSplit/>
          <w:tblHeader/>
          <w:jc w:val="center"/>
        </w:trPr>
        <w:tc>
          <w:tcPr>
            <w:tcW w:w="709" w:type="dxa"/>
            <w:shd w:val="clear" w:color="auto" w:fill="D9E1F2"/>
            <w:vAlign w:val="center"/>
          </w:tcPr>
          <w:p w14:paraId="278A99E2" w14:textId="77777777" w:rsidR="003F0521" w:rsidRDefault="00000000">
            <w:r>
              <w:rPr>
                <w:b/>
                <w:sz w:val="17"/>
              </w:rPr>
              <w:t>Sygnał</w:t>
            </w:r>
          </w:p>
        </w:tc>
        <w:tc>
          <w:tcPr>
            <w:tcW w:w="1690" w:type="dxa"/>
            <w:shd w:val="clear" w:color="auto" w:fill="D9E1F2"/>
            <w:vAlign w:val="center"/>
          </w:tcPr>
          <w:p w14:paraId="0B3E3784" w14:textId="77777777" w:rsidR="003F0521" w:rsidRDefault="00000000">
            <w:r>
              <w:rPr>
                <w:b/>
                <w:sz w:val="17"/>
              </w:rPr>
              <w:t>Obszar</w:t>
            </w:r>
          </w:p>
        </w:tc>
        <w:tc>
          <w:tcPr>
            <w:tcW w:w="2945" w:type="dxa"/>
            <w:shd w:val="clear" w:color="auto" w:fill="D9E1F2"/>
            <w:vAlign w:val="center"/>
          </w:tcPr>
          <w:p w14:paraId="6CE47035" w14:textId="77777777" w:rsidR="003F0521" w:rsidRDefault="00000000">
            <w:r>
              <w:rPr>
                <w:b/>
                <w:sz w:val="17"/>
              </w:rPr>
              <w:t>Warunek przypisania wartości 1</w:t>
            </w:r>
          </w:p>
        </w:tc>
        <w:tc>
          <w:tcPr>
            <w:tcW w:w="2836" w:type="dxa"/>
            <w:shd w:val="clear" w:color="auto" w:fill="D9E1F2"/>
            <w:vAlign w:val="center"/>
          </w:tcPr>
          <w:p w14:paraId="12B1965F" w14:textId="77777777" w:rsidR="003F0521" w:rsidRDefault="00000000">
            <w:r>
              <w:rPr>
                <w:b/>
                <w:sz w:val="17"/>
              </w:rPr>
              <w:t>Interpretacja</w:t>
            </w:r>
          </w:p>
        </w:tc>
      </w:tr>
      <w:tr w:rsidR="003F0521" w14:paraId="108B08B9" w14:textId="77777777">
        <w:trPr>
          <w:cantSplit/>
          <w:jc w:val="center"/>
        </w:trPr>
        <w:tc>
          <w:tcPr>
            <w:tcW w:w="709" w:type="dxa"/>
            <w:vAlign w:val="center"/>
          </w:tcPr>
          <w:p w14:paraId="26185ACB" w14:textId="77777777" w:rsidR="003F0521" w:rsidRDefault="00000000">
            <w:r>
              <w:rPr>
                <w:sz w:val="17"/>
              </w:rPr>
              <w:t>D1</w:t>
            </w:r>
          </w:p>
        </w:tc>
        <w:tc>
          <w:tcPr>
            <w:tcW w:w="1690" w:type="dxa"/>
            <w:vAlign w:val="center"/>
          </w:tcPr>
          <w:p w14:paraId="0F5FD6C5" w14:textId="77777777" w:rsidR="003F0521" w:rsidRDefault="00000000">
            <w:r>
              <w:rPr>
                <w:sz w:val="17"/>
              </w:rPr>
              <w:t>Rentowność</w:t>
            </w:r>
          </w:p>
        </w:tc>
        <w:tc>
          <w:tcPr>
            <w:tcW w:w="2945" w:type="dxa"/>
            <w:vAlign w:val="center"/>
          </w:tcPr>
          <w:p w14:paraId="6ABEFFCE" w14:textId="77777777" w:rsidR="003F0521" w:rsidRDefault="00000000">
            <w:r>
              <w:rPr>
                <w:sz w:val="17"/>
              </w:rPr>
              <w:t>ROA_t+1 - ROA_t ≤ -0,03</w:t>
            </w:r>
          </w:p>
        </w:tc>
        <w:tc>
          <w:tcPr>
            <w:tcW w:w="2836" w:type="dxa"/>
            <w:vAlign w:val="center"/>
          </w:tcPr>
          <w:p w14:paraId="3C68838A" w14:textId="77777777" w:rsidR="003F0521" w:rsidRDefault="00000000">
            <w:r>
              <w:rPr>
                <w:sz w:val="17"/>
              </w:rPr>
              <w:t>Spadek ROA o co najmniej 3 p.p.</w:t>
            </w:r>
          </w:p>
        </w:tc>
      </w:tr>
      <w:tr w:rsidR="003F0521" w14:paraId="2080DE50" w14:textId="77777777">
        <w:trPr>
          <w:cantSplit/>
          <w:jc w:val="center"/>
        </w:trPr>
        <w:tc>
          <w:tcPr>
            <w:tcW w:w="709" w:type="dxa"/>
            <w:vAlign w:val="center"/>
          </w:tcPr>
          <w:p w14:paraId="40DA4E8A" w14:textId="77777777" w:rsidR="003F0521" w:rsidRDefault="00000000">
            <w:r>
              <w:rPr>
                <w:sz w:val="17"/>
              </w:rPr>
              <w:t>D2</w:t>
            </w:r>
          </w:p>
        </w:tc>
        <w:tc>
          <w:tcPr>
            <w:tcW w:w="1690" w:type="dxa"/>
            <w:vAlign w:val="center"/>
          </w:tcPr>
          <w:p w14:paraId="1203D9DB" w14:textId="77777777" w:rsidR="003F0521" w:rsidRDefault="00000000">
            <w:r>
              <w:rPr>
                <w:sz w:val="17"/>
              </w:rPr>
              <w:t>Gotówka operacyjna</w:t>
            </w:r>
          </w:p>
        </w:tc>
        <w:tc>
          <w:tcPr>
            <w:tcW w:w="2945" w:type="dxa"/>
            <w:vAlign w:val="center"/>
          </w:tcPr>
          <w:p w14:paraId="38C9523E" w14:textId="77777777" w:rsidR="003F0521" w:rsidRDefault="00000000">
            <w:r>
              <w:rPr>
                <w:sz w:val="17"/>
              </w:rPr>
              <w:t>OCF/assets_t+1 - OCF/assets_t ≤ -0,03</w:t>
            </w:r>
          </w:p>
        </w:tc>
        <w:tc>
          <w:tcPr>
            <w:tcW w:w="2836" w:type="dxa"/>
            <w:vAlign w:val="center"/>
          </w:tcPr>
          <w:p w14:paraId="1E64EA65" w14:textId="77777777" w:rsidR="003F0521" w:rsidRDefault="00000000">
            <w:r>
              <w:rPr>
                <w:sz w:val="17"/>
              </w:rPr>
              <w:t>Spadek OCF/assets o co najmniej 3 p.p.</w:t>
            </w:r>
          </w:p>
        </w:tc>
      </w:tr>
      <w:tr w:rsidR="003F0521" w14:paraId="1C5F1725" w14:textId="77777777">
        <w:trPr>
          <w:cantSplit/>
          <w:jc w:val="center"/>
        </w:trPr>
        <w:tc>
          <w:tcPr>
            <w:tcW w:w="709" w:type="dxa"/>
            <w:vAlign w:val="center"/>
          </w:tcPr>
          <w:p w14:paraId="0ADD70B1" w14:textId="77777777" w:rsidR="003F0521" w:rsidRDefault="00000000">
            <w:r>
              <w:rPr>
                <w:sz w:val="17"/>
              </w:rPr>
              <w:t>D3</w:t>
            </w:r>
          </w:p>
        </w:tc>
        <w:tc>
          <w:tcPr>
            <w:tcW w:w="1690" w:type="dxa"/>
            <w:vAlign w:val="center"/>
          </w:tcPr>
          <w:p w14:paraId="6C38F0AB" w14:textId="77777777" w:rsidR="003F0521" w:rsidRDefault="00000000">
            <w:r>
              <w:rPr>
                <w:sz w:val="17"/>
              </w:rPr>
              <w:t>Płynność</w:t>
            </w:r>
          </w:p>
        </w:tc>
        <w:tc>
          <w:tcPr>
            <w:tcW w:w="2945" w:type="dxa"/>
            <w:vAlign w:val="center"/>
          </w:tcPr>
          <w:p w14:paraId="5F75BD11" w14:textId="77777777" w:rsidR="003F0521" w:rsidRPr="00284ADC" w:rsidRDefault="00000000">
            <w:pPr>
              <w:rPr>
                <w:lang w:val="en-US"/>
              </w:rPr>
            </w:pPr>
            <w:r w:rsidRPr="00284ADC">
              <w:rPr>
                <w:sz w:val="17"/>
                <w:lang w:val="en-US"/>
              </w:rPr>
              <w:t xml:space="preserve">current_ratio_t+1 / </w:t>
            </w:r>
            <w:proofErr w:type="spellStart"/>
            <w:r w:rsidRPr="00284ADC">
              <w:rPr>
                <w:sz w:val="17"/>
                <w:lang w:val="en-US"/>
              </w:rPr>
              <w:t>current_ratio_t</w:t>
            </w:r>
            <w:proofErr w:type="spellEnd"/>
            <w:r w:rsidRPr="00284ADC">
              <w:rPr>
                <w:sz w:val="17"/>
                <w:lang w:val="en-US"/>
              </w:rPr>
              <w:t xml:space="preserve"> ≤ 0,80; </w:t>
            </w:r>
            <w:proofErr w:type="spellStart"/>
            <w:r w:rsidRPr="00284ADC">
              <w:rPr>
                <w:sz w:val="17"/>
                <w:lang w:val="en-US"/>
              </w:rPr>
              <w:t>current_ratio_t</w:t>
            </w:r>
            <w:proofErr w:type="spellEnd"/>
            <w:r w:rsidRPr="00284ADC">
              <w:rPr>
                <w:sz w:val="17"/>
                <w:lang w:val="en-US"/>
              </w:rPr>
              <w:t xml:space="preserve"> &gt; 0; current_ratio_t+1 ≥ 0</w:t>
            </w:r>
          </w:p>
        </w:tc>
        <w:tc>
          <w:tcPr>
            <w:tcW w:w="2836" w:type="dxa"/>
            <w:vAlign w:val="center"/>
          </w:tcPr>
          <w:p w14:paraId="42E31310" w14:textId="77777777" w:rsidR="003F0521" w:rsidRDefault="00000000">
            <w:r>
              <w:rPr>
                <w:sz w:val="17"/>
              </w:rPr>
              <w:t>Względny spadek current ratio o co najmniej 20%, przy poprawnych znakach wskaźnika.</w:t>
            </w:r>
          </w:p>
        </w:tc>
      </w:tr>
      <w:tr w:rsidR="003F0521" w14:paraId="23A747FB" w14:textId="77777777">
        <w:trPr>
          <w:cantSplit/>
          <w:jc w:val="center"/>
        </w:trPr>
        <w:tc>
          <w:tcPr>
            <w:tcW w:w="709" w:type="dxa"/>
            <w:vAlign w:val="center"/>
          </w:tcPr>
          <w:p w14:paraId="0707A11D" w14:textId="77777777" w:rsidR="003F0521" w:rsidRDefault="00000000">
            <w:r>
              <w:rPr>
                <w:sz w:val="17"/>
              </w:rPr>
              <w:t>D4</w:t>
            </w:r>
          </w:p>
        </w:tc>
        <w:tc>
          <w:tcPr>
            <w:tcW w:w="1690" w:type="dxa"/>
            <w:vAlign w:val="center"/>
          </w:tcPr>
          <w:p w14:paraId="4ABC91A1" w14:textId="77777777" w:rsidR="003F0521" w:rsidRDefault="00000000">
            <w:r>
              <w:rPr>
                <w:sz w:val="17"/>
              </w:rPr>
              <w:t>Zadłużenie</w:t>
            </w:r>
          </w:p>
        </w:tc>
        <w:tc>
          <w:tcPr>
            <w:tcW w:w="2945" w:type="dxa"/>
            <w:vAlign w:val="center"/>
          </w:tcPr>
          <w:p w14:paraId="3F2B9AE4" w14:textId="77777777" w:rsidR="003F0521" w:rsidRPr="00284ADC" w:rsidRDefault="00000000">
            <w:pPr>
              <w:rPr>
                <w:lang w:val="en-US"/>
              </w:rPr>
            </w:pPr>
            <w:r w:rsidRPr="00284ADC">
              <w:rPr>
                <w:sz w:val="17"/>
                <w:lang w:val="en-US"/>
              </w:rPr>
              <w:t>liabilities/assets_t+1 - liabilities/</w:t>
            </w:r>
            <w:proofErr w:type="spellStart"/>
            <w:r w:rsidRPr="00284ADC">
              <w:rPr>
                <w:sz w:val="17"/>
                <w:lang w:val="en-US"/>
              </w:rPr>
              <w:t>assets_t</w:t>
            </w:r>
            <w:proofErr w:type="spellEnd"/>
            <w:r w:rsidRPr="00284ADC">
              <w:rPr>
                <w:sz w:val="17"/>
                <w:lang w:val="en-US"/>
              </w:rPr>
              <w:t xml:space="preserve"> ≥ 0,10</w:t>
            </w:r>
          </w:p>
        </w:tc>
        <w:tc>
          <w:tcPr>
            <w:tcW w:w="2836" w:type="dxa"/>
            <w:vAlign w:val="center"/>
          </w:tcPr>
          <w:p w14:paraId="06E1E8A9" w14:textId="77777777" w:rsidR="003F0521" w:rsidRDefault="00000000">
            <w:r>
              <w:rPr>
                <w:sz w:val="17"/>
              </w:rPr>
              <w:t>Wzrost liabilities/assets o co najmniej 10 p.p.</w:t>
            </w:r>
          </w:p>
        </w:tc>
      </w:tr>
      <w:tr w:rsidR="003F0521" w14:paraId="72FDB20F" w14:textId="77777777">
        <w:trPr>
          <w:cantSplit/>
          <w:jc w:val="center"/>
        </w:trPr>
        <w:tc>
          <w:tcPr>
            <w:tcW w:w="709" w:type="dxa"/>
            <w:vAlign w:val="center"/>
          </w:tcPr>
          <w:p w14:paraId="63811E94" w14:textId="77777777" w:rsidR="003F0521" w:rsidRDefault="00000000">
            <w:r>
              <w:rPr>
                <w:sz w:val="17"/>
              </w:rPr>
              <w:t>D5</w:t>
            </w:r>
          </w:p>
        </w:tc>
        <w:tc>
          <w:tcPr>
            <w:tcW w:w="1690" w:type="dxa"/>
            <w:vAlign w:val="center"/>
          </w:tcPr>
          <w:p w14:paraId="6B7F0F05" w14:textId="77777777" w:rsidR="003F0521" w:rsidRDefault="00000000">
            <w:r>
              <w:rPr>
                <w:sz w:val="17"/>
              </w:rPr>
              <w:t>Skala działalności</w:t>
            </w:r>
          </w:p>
        </w:tc>
        <w:tc>
          <w:tcPr>
            <w:tcW w:w="2945" w:type="dxa"/>
            <w:vAlign w:val="center"/>
          </w:tcPr>
          <w:p w14:paraId="04702B4E" w14:textId="77777777" w:rsidR="003F0521" w:rsidRDefault="00000000">
            <w:r>
              <w:rPr>
                <w:sz w:val="17"/>
              </w:rPr>
              <w:t>revenues_t+1 / revenues_t - 1 ≤ -0,10</w:t>
            </w:r>
          </w:p>
        </w:tc>
        <w:tc>
          <w:tcPr>
            <w:tcW w:w="2836" w:type="dxa"/>
            <w:vAlign w:val="center"/>
          </w:tcPr>
          <w:p w14:paraId="5E3A05CF" w14:textId="77777777" w:rsidR="003F0521" w:rsidRDefault="00000000">
            <w:r>
              <w:rPr>
                <w:sz w:val="17"/>
              </w:rPr>
              <w:t>Względny spadek rocznych przychodów o co najmniej 10%.</w:t>
            </w:r>
          </w:p>
        </w:tc>
      </w:tr>
    </w:tbl>
    <w:p w14:paraId="09A4DDD1" w14:textId="77777777" w:rsidR="003F0521" w:rsidRDefault="00000000">
      <w:pPr>
        <w:pStyle w:val="rdotabeli"/>
      </w:pPr>
      <w:r>
        <w:rPr>
          <w:color w:val="000000"/>
          <w:szCs w:val="18"/>
        </w:rPr>
        <w:t>Źródło: opracowanie własne na podstawie zamrożonej specyfikacji target_candidate_v2_pit_b v1.0.0.</w:t>
      </w:r>
    </w:p>
    <w:p w14:paraId="14DE51DA" w14:textId="77777777" w:rsidR="003F0521" w:rsidRDefault="00000000">
      <w:pPr>
        <w:spacing w:after="0" w:line="360" w:lineRule="auto"/>
        <w:ind w:firstLine="709"/>
        <w:jc w:val="both"/>
      </w:pPr>
      <w:r>
        <w:rPr>
          <w:b/>
        </w:rPr>
        <w:t xml:space="preserve">Agregacja sygnałów i główna zmienna docelowa. </w:t>
      </w:r>
      <w:r>
        <w:t>Pięć sygnałów ma równą wagę i jest sumowanych do wyniku całkowitego od 0 do 5. Klasa pozytywna oznacza wystąpienie co najmniej trzech jednoczesnych wymiarów pogorszenia. Kryterium to ma identyfikować szerokie pogorszenie, a nie pojedyncze niekorzystne zdarzenie. Wynik od 0 do 2 prowadzi do klasy negatywnej wyłącznie wtedy, gdy wszystkie pięć sygnałów mogło zostać wiarygodnie policzonych. Reguła trzech z pięciu jest z góry określoną decyzją konstrukcyjną: zapewnia większość sygnałów pogorszenia, lecz nie jest traktowana jako uniwersalna granica ekonomiczna.</w:t>
      </w:r>
    </w:p>
    <w:p w14:paraId="2FF6D124" w14:textId="77777777" w:rsidR="003F0521" w:rsidRDefault="00000000">
      <w:pPr>
        <w:keepLines/>
        <w:shd w:val="clear" w:color="auto" w:fill="F2F2F2"/>
        <w:spacing w:before="100" w:after="100"/>
        <w:ind w:left="454" w:right="454"/>
        <w:jc w:val="center"/>
      </w:pPr>
      <w:r>
        <w:rPr>
          <w:sz w:val="22"/>
        </w:rPr>
        <w:t>S(i,t) = D1(i,t) + D2(i,t) + D3(i,t) + D4(i,t) + D5(i,t)</w:t>
      </w:r>
      <w:r>
        <w:rPr>
          <w:sz w:val="22"/>
        </w:rPr>
        <w:br/>
        <w:t>Y(i,t) = 1, gdy wszystkie D1-D5 są dostępne i S(i,t) ≥ 3</w:t>
      </w:r>
      <w:r>
        <w:rPr>
          <w:sz w:val="22"/>
        </w:rPr>
        <w:br/>
        <w:t>Y(i,t) = 0, gdy wszystkie D1-D5 są dostępne i S(i,t) ≤ 2</w:t>
      </w:r>
      <w:r>
        <w:rPr>
          <w:sz w:val="22"/>
        </w:rPr>
        <w:br/>
        <w:t>Y(i,t) = NA w pozostałych przypadkach</w:t>
      </w:r>
      <w:r>
        <w:rPr>
          <w:sz w:val="22"/>
        </w:rPr>
        <w:br/>
        <w:t>W artefaktach danych S(i,t) odpowiada polu deterioration_score_1y, a Y(i,t) polu target_candidate_v2.</w:t>
      </w:r>
    </w:p>
    <w:p w14:paraId="2AC22DB8" w14:textId="77777777" w:rsidR="003F0521" w:rsidRDefault="00000000">
      <w:pPr>
        <w:spacing w:after="0" w:line="360" w:lineRule="auto"/>
        <w:ind w:firstLine="709"/>
        <w:jc w:val="both"/>
      </w:pPr>
      <w:r>
        <w:t xml:space="preserve">W głównej zmiennej docelowej nie wykorzystuje się samych przejść przez umowne poziomy ROA równego 0, current ratio równego 1,0 ani liabilities/assets równego 0,8. Spółka może pozostawać w słabym stanie, lecz nie wykazywać kolejnego </w:t>
      </w:r>
      <w:r>
        <w:lastRenderedPageBreak/>
        <w:t>dużego pogorszenia, albo wyraźnie pogorszyć się, nadal pozostając po korzystnej stronie typowego progu. Zmienna docelowa mierzy zmianę, a nie sam poziom ryzyka w roku t+1. Z tego względu klasy 0 nie należy interpretować jako dowodu dobrej kondycji, a klasy 1 jako formalnego zdarzenia upadłościowego.</w:t>
      </w:r>
    </w:p>
    <w:p w14:paraId="7660A4F0" w14:textId="77777777" w:rsidR="003F0521" w:rsidRDefault="00000000">
      <w:pPr>
        <w:spacing w:after="0" w:line="360" w:lineRule="auto"/>
        <w:ind w:firstLine="709"/>
        <w:jc w:val="both"/>
      </w:pPr>
      <w:r>
        <w:rPr>
          <w:b/>
        </w:rPr>
        <w:t xml:space="preserve">Konserwatywna procedura wyboru przychodów. </w:t>
      </w:r>
      <w:r>
        <w:t>Najbardziej złożonym elementem przygotowania zmiennej docelowej była identyfikacja skonsolidowanych rocznych przychodów. Taksonomie XBRL pozwalają emitentom stosować kilka standardowych konceptów, a w sprawozdaniu mogą równocześnie występować przychody segmentowe, produktowe, projektowe, z usług, z towarów lub ujawnione wyłącznie w notach. Procedura działała zgodnie z zasadą fail-closed: dopuszczała wyłącznie ten sam koncept dla current i comparative, jednoznacznie potwierdzony jako skonsolidowana pozycja na poziomie emitenta w podstawowym rachunku wyników wskazanym przez FilingSummary. Pozycja segmentowa, komponentowa, projektowa, współpracy, niezafakturowana albo ujawniona wyłącznie w nocie nie mogła zastąpić całkowitych przychodów. Brak jednoznacznego dowodu prowadził do statusu ambiguous i wartości NA, a nie do heurystycznego wyboru zwiększającego dostępność danych.</w:t>
      </w:r>
      <w:r>
        <w:footnoteReference w:id="14"/>
      </w:r>
    </w:p>
    <w:p w14:paraId="74A474C2" w14:textId="77777777" w:rsidR="003F0521" w:rsidRDefault="00000000">
      <w:pPr>
        <w:spacing w:after="0" w:line="360" w:lineRule="auto"/>
        <w:ind w:firstLine="709"/>
        <w:jc w:val="both"/>
      </w:pPr>
      <w:r>
        <w:t>Analogicznie kontrolowano pozostałe wartości bazowe. Aktywa mogły pochodzić bezpośrednio z konceptu Assets albo, w kontrolowanym wariancie, z LiabilitiesAndStockholdersEquity. Zobowiązania mogły być odczytane bezpośrednio lub obliczone jako różnica między sumą pasywów i kapitałem, z dodatkowymi warunkami dotyczącymi udziałów niekontrolujących. Dla wyniku netto i przepływów operacyjnych obowiązywały ustalone priorytety konceptów. Dokładna, przeciwna zmiana znaku dla tej samej wartości przepływu pomiędzy wersjami danych była traktowana jako nierozstrzygnięta semantycznie, a nie automatycznie korygowana przez odwrócenie znaku.</w:t>
      </w:r>
    </w:p>
    <w:p w14:paraId="64203421" w14:textId="77777777" w:rsidR="003F0521" w:rsidRDefault="00000000">
      <w:pPr>
        <w:spacing w:after="0" w:line="360" w:lineRule="auto"/>
        <w:ind w:firstLine="709"/>
        <w:jc w:val="both"/>
      </w:pPr>
      <w:r>
        <w:rPr>
          <w:b/>
        </w:rPr>
        <w:t xml:space="preserve">Ciągłość jednostki raportującej i okresu. </w:t>
      </w:r>
      <w:r>
        <w:t xml:space="preserve">Porównanie t do t+1 jest ekonomicznie uzasadnione tylko wtedy, gdy obie wartości dotyczą porównywalnej jednostki raportującej. Potwierdzona zmiana poprzednika księgowego (accounting predecessor), odwrotne przejęcie, odwrotna rekapitalizacja albo inne istotne przekształcenie historycznej jednostki raportującej prowadziło do statusu hard_exclude. </w:t>
      </w:r>
      <w:r>
        <w:lastRenderedPageBreak/>
        <w:t>Zwykłe reklasyfikacje, działalność zaniechana lub zmiana prezentacji nie powodowały automatycznego wykluczenia, o ile zachowana była porównywalność jednostki i semantyki. Nierozstrzygnięte, istotne przeskalowanie kilku wartości bazowych prowadziło do statusu ambiguous, ponieważ same dane Company Facts nie zawierają pełnej narracji pozwalającej bezpiecznie odtworzyć przyczynę zmiany.</w:t>
      </w:r>
    </w:p>
    <w:p w14:paraId="427CC75B" w14:textId="77777777" w:rsidR="003F0521" w:rsidRDefault="00000000">
      <w:pPr>
        <w:spacing w:after="0" w:line="360" w:lineRule="auto"/>
        <w:ind w:firstLine="709"/>
        <w:jc w:val="both"/>
      </w:pPr>
      <w:r>
        <w:rPr>
          <w:b/>
        </w:rPr>
        <w:t xml:space="preserve">Polityka niedostępnej zmiennej docelowej. </w:t>
      </w:r>
      <w:r>
        <w:t>Wynik jest obliczany wyłącznie dla obserwacji z kompletem pięciu wiarygodnych sygnałów. Brak pojedynczej pozycji, niejednoznaczność konceptu, brak raportu odniesienia t+1, nierozstrzygnięty okres lub potwierdzona zmiana jednostki nie mogą zostać utożsamione z brakiem pogorszenia. Dlatego statusy niedostępności pozostają NA i wyłączają obserwację z uczenia nadzorowanego dla tej zmiennej docelowej. Sam brak kwalifikującego raportu t+1 nie jest klasyfikowany jako zdarzenie negatywne; oznacza brak możliwości wiarygodnego obliczenia etykiety. Wiersz pozostaje jednak w historycznej populacji i raportach diagnostycznych, co umożliwia analizę mechanizmu braków, błędu selekcji oraz potencjalnie informacyjnego cenzurowania. Statusy available, missing, ambiguous i hard_exclude powstają w procedurze PIT-B, natomiast not_computable jest statusem warstwy aplikacyjnej używanym wtedy, gdy zamrożonej etykiety nie można odtworzyć dla obserwacji obecnej w historycznej populacji.</w:t>
      </w:r>
    </w:p>
    <w:p w14:paraId="47F8C114" w14:textId="77777777" w:rsidR="003F0521" w:rsidRDefault="00000000">
      <w:pPr>
        <w:pStyle w:val="Podpistabeli"/>
        <w:keepLines/>
      </w:pPr>
      <w:r>
        <w:rPr>
          <w:color w:val="000000"/>
          <w:szCs w:val="20"/>
        </w:rPr>
        <w:t>Tabela 4.6. Statusy dostępności zmiennej docelowej i sposób ich traktowania</w:t>
      </w:r>
    </w:p>
    <w:tbl>
      <w:tblPr>
        <w:tblStyle w:val="TableGrid"/>
        <w:tblW w:w="8504" w:type="dxa"/>
        <w:jc w:val="center"/>
        <w:tblLayout w:type="fixed"/>
        <w:tblLook w:val="04A0" w:firstRow="1" w:lastRow="0" w:firstColumn="1" w:lastColumn="0" w:noHBand="0" w:noVBand="1"/>
      </w:tblPr>
      <w:tblGrid>
        <w:gridCol w:w="1474"/>
        <w:gridCol w:w="3402"/>
        <w:gridCol w:w="3628"/>
      </w:tblGrid>
      <w:tr w:rsidR="003F0521" w14:paraId="1F707CF8" w14:textId="77777777">
        <w:trPr>
          <w:cantSplit/>
          <w:tblHeader/>
          <w:jc w:val="center"/>
        </w:trPr>
        <w:tc>
          <w:tcPr>
            <w:tcW w:w="1418" w:type="dxa"/>
            <w:shd w:val="clear" w:color="auto" w:fill="D9E1F2"/>
            <w:vAlign w:val="center"/>
          </w:tcPr>
          <w:p w14:paraId="2D13FFFF" w14:textId="77777777" w:rsidR="003F0521" w:rsidRDefault="00000000">
            <w:r>
              <w:rPr>
                <w:b/>
                <w:sz w:val="18"/>
              </w:rPr>
              <w:t>Status</w:t>
            </w:r>
          </w:p>
        </w:tc>
        <w:tc>
          <w:tcPr>
            <w:tcW w:w="3273" w:type="dxa"/>
            <w:shd w:val="clear" w:color="auto" w:fill="D9E1F2"/>
            <w:vAlign w:val="center"/>
          </w:tcPr>
          <w:p w14:paraId="7350AA68" w14:textId="77777777" w:rsidR="003F0521" w:rsidRDefault="00000000">
            <w:r>
              <w:rPr>
                <w:b/>
                <w:sz w:val="18"/>
              </w:rPr>
              <w:t>Znaczenie</w:t>
            </w:r>
          </w:p>
        </w:tc>
        <w:tc>
          <w:tcPr>
            <w:tcW w:w="3491" w:type="dxa"/>
            <w:shd w:val="clear" w:color="auto" w:fill="D9E1F2"/>
            <w:vAlign w:val="center"/>
          </w:tcPr>
          <w:p w14:paraId="78A650A3" w14:textId="77777777" w:rsidR="003F0521" w:rsidRDefault="00000000">
            <w:r>
              <w:rPr>
                <w:b/>
                <w:sz w:val="18"/>
              </w:rPr>
              <w:t>Skutek dla zmiennej docelowej i modelowania</w:t>
            </w:r>
          </w:p>
        </w:tc>
      </w:tr>
      <w:tr w:rsidR="003F0521" w14:paraId="5408040B" w14:textId="77777777">
        <w:trPr>
          <w:cantSplit/>
          <w:jc w:val="center"/>
        </w:trPr>
        <w:tc>
          <w:tcPr>
            <w:tcW w:w="1418" w:type="dxa"/>
            <w:vAlign w:val="center"/>
          </w:tcPr>
          <w:p w14:paraId="39770465" w14:textId="77777777" w:rsidR="003F0521" w:rsidRDefault="00000000">
            <w:r>
              <w:rPr>
                <w:sz w:val="18"/>
              </w:rPr>
              <w:t>available</w:t>
            </w:r>
          </w:p>
        </w:tc>
        <w:tc>
          <w:tcPr>
            <w:tcW w:w="3273" w:type="dxa"/>
            <w:vAlign w:val="center"/>
          </w:tcPr>
          <w:p w14:paraId="25F0696A" w14:textId="77777777" w:rsidR="003F0521" w:rsidRDefault="00000000">
            <w:r>
              <w:rPr>
                <w:sz w:val="18"/>
              </w:rPr>
              <w:t>Potwierdzono wszystkie wymagane wartości, okresy i relacje semantyczne.</w:t>
            </w:r>
          </w:p>
        </w:tc>
        <w:tc>
          <w:tcPr>
            <w:tcW w:w="3491" w:type="dxa"/>
            <w:vAlign w:val="center"/>
          </w:tcPr>
          <w:p w14:paraId="1308CF5E" w14:textId="77777777" w:rsidR="003F0521" w:rsidRDefault="00000000">
            <w:r>
              <w:rPr>
                <w:sz w:val="18"/>
              </w:rPr>
              <w:t>Wynik 0-5 i etykieta 0/1 są zapisywane; obserwacja może wejść do próby uczenia nadzorowanego po spełnieniu odrębnych warunków dla X_t.</w:t>
            </w:r>
          </w:p>
        </w:tc>
      </w:tr>
      <w:tr w:rsidR="003F0521" w14:paraId="65B136ED" w14:textId="77777777">
        <w:trPr>
          <w:cantSplit/>
          <w:jc w:val="center"/>
        </w:trPr>
        <w:tc>
          <w:tcPr>
            <w:tcW w:w="1418" w:type="dxa"/>
            <w:vAlign w:val="center"/>
          </w:tcPr>
          <w:p w14:paraId="528FEAFE" w14:textId="77777777" w:rsidR="003F0521" w:rsidRDefault="00000000">
            <w:r>
              <w:rPr>
                <w:sz w:val="18"/>
              </w:rPr>
              <w:t>missing</w:t>
            </w:r>
          </w:p>
        </w:tc>
        <w:tc>
          <w:tcPr>
            <w:tcW w:w="3273" w:type="dxa"/>
            <w:vAlign w:val="center"/>
          </w:tcPr>
          <w:p w14:paraId="7636F9AC" w14:textId="77777777" w:rsidR="003F0521" w:rsidRDefault="00000000">
            <w:r>
              <w:rPr>
                <w:sz w:val="18"/>
              </w:rPr>
              <w:t>Brakuje raportu odniesienia lub co najmniej jednej wymaganej wartości finansowej.</w:t>
            </w:r>
          </w:p>
        </w:tc>
        <w:tc>
          <w:tcPr>
            <w:tcW w:w="3491" w:type="dxa"/>
            <w:vAlign w:val="center"/>
          </w:tcPr>
          <w:p w14:paraId="36152ECD" w14:textId="77777777" w:rsidR="003F0521" w:rsidRDefault="00000000">
            <w:r>
              <w:rPr>
                <w:sz w:val="18"/>
              </w:rPr>
              <w:t>Etykieta = NA; obserwacja nie jest klasą negatywną.</w:t>
            </w:r>
          </w:p>
        </w:tc>
      </w:tr>
      <w:tr w:rsidR="003F0521" w14:paraId="2A655A68" w14:textId="77777777">
        <w:trPr>
          <w:cantSplit/>
          <w:jc w:val="center"/>
        </w:trPr>
        <w:tc>
          <w:tcPr>
            <w:tcW w:w="1418" w:type="dxa"/>
            <w:vAlign w:val="center"/>
          </w:tcPr>
          <w:p w14:paraId="5A9514BD" w14:textId="77777777" w:rsidR="003F0521" w:rsidRDefault="00000000">
            <w:r>
              <w:rPr>
                <w:sz w:val="18"/>
              </w:rPr>
              <w:t>ambiguous</w:t>
            </w:r>
          </w:p>
        </w:tc>
        <w:tc>
          <w:tcPr>
            <w:tcW w:w="3273" w:type="dxa"/>
            <w:vAlign w:val="center"/>
          </w:tcPr>
          <w:p w14:paraId="24496D0E" w14:textId="77777777" w:rsidR="003F0521" w:rsidRDefault="00000000">
            <w:r>
              <w:rPr>
                <w:sz w:val="18"/>
              </w:rPr>
              <w:t>Dostępne fakty lub konteksty nie pozwalają na jednoznaczny, ekonomicznie uzasadniony wybór.</w:t>
            </w:r>
          </w:p>
        </w:tc>
        <w:tc>
          <w:tcPr>
            <w:tcW w:w="3491" w:type="dxa"/>
            <w:vAlign w:val="center"/>
          </w:tcPr>
          <w:p w14:paraId="2FE9761F" w14:textId="77777777" w:rsidR="003F0521" w:rsidRDefault="00000000">
            <w:r>
              <w:rPr>
                <w:sz w:val="18"/>
              </w:rPr>
              <w:t>Etykieta = NA; zakaz heurystycznego zwiększania dostępności danych.</w:t>
            </w:r>
          </w:p>
        </w:tc>
      </w:tr>
      <w:tr w:rsidR="003F0521" w14:paraId="372C7DA4" w14:textId="77777777">
        <w:trPr>
          <w:cantSplit/>
          <w:jc w:val="center"/>
        </w:trPr>
        <w:tc>
          <w:tcPr>
            <w:tcW w:w="1418" w:type="dxa"/>
            <w:vAlign w:val="center"/>
          </w:tcPr>
          <w:p w14:paraId="0D4A04C7" w14:textId="77777777" w:rsidR="003F0521" w:rsidRDefault="00000000">
            <w:r>
              <w:rPr>
                <w:sz w:val="18"/>
              </w:rPr>
              <w:t>hard_exclude</w:t>
            </w:r>
          </w:p>
        </w:tc>
        <w:tc>
          <w:tcPr>
            <w:tcW w:w="3273" w:type="dxa"/>
            <w:vAlign w:val="center"/>
          </w:tcPr>
          <w:p w14:paraId="6BA5F439" w14:textId="77777777" w:rsidR="003F0521" w:rsidRDefault="00000000">
            <w:r>
              <w:rPr>
                <w:sz w:val="18"/>
              </w:rPr>
              <w:t>Potwierdzono brak porównywalności, np. zmianę accounting predecessor lub niekwalifikujący okres.</w:t>
            </w:r>
          </w:p>
        </w:tc>
        <w:tc>
          <w:tcPr>
            <w:tcW w:w="3491" w:type="dxa"/>
            <w:vAlign w:val="center"/>
          </w:tcPr>
          <w:p w14:paraId="589715CF" w14:textId="77777777" w:rsidR="003F0521" w:rsidRDefault="00000000">
            <w:r>
              <w:rPr>
                <w:sz w:val="18"/>
              </w:rPr>
              <w:t>Etykieta = NA; przypadek pozostaje zapisany w pochodzeniu danych i audycie.</w:t>
            </w:r>
          </w:p>
        </w:tc>
      </w:tr>
      <w:tr w:rsidR="003F0521" w14:paraId="3551F10E" w14:textId="77777777">
        <w:trPr>
          <w:cantSplit/>
          <w:jc w:val="center"/>
        </w:trPr>
        <w:tc>
          <w:tcPr>
            <w:tcW w:w="1418" w:type="dxa"/>
            <w:vAlign w:val="center"/>
          </w:tcPr>
          <w:p w14:paraId="40DCD571" w14:textId="77777777" w:rsidR="003F0521" w:rsidRDefault="00000000">
            <w:r>
              <w:rPr>
                <w:sz w:val="18"/>
              </w:rPr>
              <w:t>not_computable</w:t>
            </w:r>
          </w:p>
        </w:tc>
        <w:tc>
          <w:tcPr>
            <w:tcW w:w="3273" w:type="dxa"/>
            <w:vAlign w:val="center"/>
          </w:tcPr>
          <w:p w14:paraId="72F53A39" w14:textId="77777777" w:rsidR="003F0521" w:rsidRDefault="00000000">
            <w:r>
              <w:rPr>
                <w:sz w:val="18"/>
              </w:rPr>
              <w:t>Warstwa aplikacyjna nie może odtworzyć etykiety zgodnie z zamrożoną polityką, mimo istnienia obserwacji w historycznej populacji.</w:t>
            </w:r>
          </w:p>
        </w:tc>
        <w:tc>
          <w:tcPr>
            <w:tcW w:w="3491" w:type="dxa"/>
            <w:vAlign w:val="center"/>
          </w:tcPr>
          <w:p w14:paraId="44C7854F" w14:textId="77777777" w:rsidR="003F0521" w:rsidRDefault="00000000">
            <w:r>
              <w:rPr>
                <w:sz w:val="18"/>
              </w:rPr>
              <w:t>Etykieta = NA; status jest raportowany oddzielnie, bez mapowania do 0.</w:t>
            </w:r>
          </w:p>
        </w:tc>
      </w:tr>
    </w:tbl>
    <w:p w14:paraId="23997942" w14:textId="77777777" w:rsidR="003F0521" w:rsidRDefault="00000000">
      <w:pPr>
        <w:pStyle w:val="rdotabeli"/>
      </w:pPr>
      <w:r>
        <w:rPr>
          <w:color w:val="000000"/>
          <w:szCs w:val="18"/>
        </w:rPr>
        <w:t>Źródło: opracowanie własne na podstawie zamrożonej specyfikacji PIT-B i warstwy zastosowania etykiety do historycznej populacji.</w:t>
      </w:r>
    </w:p>
    <w:p w14:paraId="51CDA447" w14:textId="77777777" w:rsidR="003F0521" w:rsidRDefault="00000000">
      <w:pPr>
        <w:spacing w:after="0" w:line="360" w:lineRule="auto"/>
        <w:ind w:firstLine="709"/>
        <w:jc w:val="both"/>
      </w:pPr>
      <w:r>
        <w:rPr>
          <w:b/>
        </w:rPr>
        <w:t xml:space="preserve">Z góry określone analizy odporności zmiennej docelowej. </w:t>
      </w:r>
      <w:r>
        <w:t xml:space="preserve">Aby sprawdzić, czy wnioski nie zależą wyłącznie od reguły trzech sygnałów, przed modelowaniem zdefiniowano dwa alternatywne progi agregacji: wynik co najmniej 2 jako wariant łagodniejszy i wynik co najmniej 4 jako wariant bardziej restrykcyjny. Ponadto </w:t>
      </w:r>
      <w:r>
        <w:lastRenderedPageBreak/>
        <w:t>przewidziano wariant ograniczający możliwe podwójne liczenie powiązanych sygnałów D1 i D2. W tym wariancie blok wyników operacyjnych ma wartość max(D1, D2), a następnie jest sumowany z D3-D5; klasa pozytywna wymaga alternative_score &gt;= 3. Wszystkie trzy wersje są wyłącznie analizami odporności. Nie mogą konkurować o wybór na podstawie najwyższej jakości modeli ani zastępować głównej zmiennej docelowej.</w:t>
      </w:r>
    </w:p>
    <w:p w14:paraId="592426B0" w14:textId="77777777" w:rsidR="003F0521" w:rsidRPr="00284ADC" w:rsidRDefault="00000000">
      <w:pPr>
        <w:keepLines/>
        <w:shd w:val="clear" w:color="auto" w:fill="F2F2F2"/>
        <w:spacing w:before="100" w:after="100"/>
        <w:ind w:left="454" w:right="454"/>
        <w:jc w:val="center"/>
        <w:rPr>
          <w:lang w:val="en-US"/>
        </w:rPr>
      </w:pPr>
      <w:r w:rsidRPr="00284ADC">
        <w:rPr>
          <w:sz w:val="22"/>
          <w:lang w:val="en-US"/>
        </w:rPr>
        <w:t xml:space="preserve">target_robustness_score_ge_2 = 1, </w:t>
      </w:r>
      <w:proofErr w:type="spellStart"/>
      <w:r w:rsidRPr="00284ADC">
        <w:rPr>
          <w:sz w:val="22"/>
          <w:lang w:val="en-US"/>
        </w:rPr>
        <w:t>gdy</w:t>
      </w:r>
      <w:proofErr w:type="spellEnd"/>
      <w:r w:rsidRPr="00284ADC">
        <w:rPr>
          <w:sz w:val="22"/>
          <w:lang w:val="en-US"/>
        </w:rPr>
        <w:t xml:space="preserve"> deterioration_score_1y ≥ 2</w:t>
      </w:r>
      <w:r w:rsidRPr="00284ADC">
        <w:rPr>
          <w:sz w:val="22"/>
          <w:lang w:val="en-US"/>
        </w:rPr>
        <w:br/>
        <w:t xml:space="preserve">target_robustness_score_ge_4 = 1, </w:t>
      </w:r>
      <w:proofErr w:type="spellStart"/>
      <w:r w:rsidRPr="00284ADC">
        <w:rPr>
          <w:sz w:val="22"/>
          <w:lang w:val="en-US"/>
        </w:rPr>
        <w:t>gdy</w:t>
      </w:r>
      <w:proofErr w:type="spellEnd"/>
      <w:r w:rsidRPr="00284ADC">
        <w:rPr>
          <w:sz w:val="22"/>
          <w:lang w:val="en-US"/>
        </w:rPr>
        <w:t xml:space="preserve"> deterioration_score_1y ≥ 4</w:t>
      </w:r>
      <w:r w:rsidRPr="00284ADC">
        <w:rPr>
          <w:sz w:val="22"/>
          <w:lang w:val="en-US"/>
        </w:rPr>
        <w:br/>
      </w:r>
      <w:proofErr w:type="spellStart"/>
      <w:r w:rsidRPr="00284ADC">
        <w:rPr>
          <w:sz w:val="22"/>
          <w:lang w:val="en-US"/>
        </w:rPr>
        <w:t>operating_performance</w:t>
      </w:r>
      <w:proofErr w:type="spellEnd"/>
      <w:r w:rsidRPr="00284ADC">
        <w:rPr>
          <w:sz w:val="22"/>
          <w:lang w:val="en-US"/>
        </w:rPr>
        <w:t xml:space="preserve"> = </w:t>
      </w:r>
      <w:proofErr w:type="gramStart"/>
      <w:r w:rsidRPr="00284ADC">
        <w:rPr>
          <w:sz w:val="22"/>
          <w:lang w:val="en-US"/>
        </w:rPr>
        <w:t>max(</w:t>
      </w:r>
      <w:proofErr w:type="gramEnd"/>
      <w:r w:rsidRPr="00284ADC">
        <w:rPr>
          <w:sz w:val="22"/>
          <w:lang w:val="en-US"/>
        </w:rPr>
        <w:t>D1, D2)</w:t>
      </w:r>
      <w:r w:rsidRPr="00284ADC">
        <w:rPr>
          <w:sz w:val="22"/>
          <w:lang w:val="en-US"/>
        </w:rPr>
        <w:br/>
      </w:r>
      <w:proofErr w:type="spellStart"/>
      <w:r w:rsidRPr="00284ADC">
        <w:rPr>
          <w:sz w:val="22"/>
          <w:lang w:val="en-US"/>
        </w:rPr>
        <w:t>alternative_score</w:t>
      </w:r>
      <w:proofErr w:type="spellEnd"/>
      <w:r w:rsidRPr="00284ADC">
        <w:rPr>
          <w:sz w:val="22"/>
          <w:lang w:val="en-US"/>
        </w:rPr>
        <w:t xml:space="preserve"> = </w:t>
      </w:r>
      <w:proofErr w:type="spellStart"/>
      <w:r w:rsidRPr="00284ADC">
        <w:rPr>
          <w:sz w:val="22"/>
          <w:lang w:val="en-US"/>
        </w:rPr>
        <w:t>operating_performance</w:t>
      </w:r>
      <w:proofErr w:type="spellEnd"/>
      <w:r w:rsidRPr="00284ADC">
        <w:rPr>
          <w:sz w:val="22"/>
          <w:lang w:val="en-US"/>
        </w:rPr>
        <w:t xml:space="preserve"> + D3 + D4 + D5</w:t>
      </w:r>
      <w:r w:rsidRPr="00284ADC">
        <w:rPr>
          <w:sz w:val="22"/>
          <w:lang w:val="en-US"/>
        </w:rPr>
        <w:br/>
      </w:r>
      <w:proofErr w:type="spellStart"/>
      <w:r w:rsidRPr="00284ADC">
        <w:rPr>
          <w:sz w:val="22"/>
          <w:lang w:val="en-US"/>
        </w:rPr>
        <w:t>target_robustness_operating_performance</w:t>
      </w:r>
      <w:proofErr w:type="spellEnd"/>
      <w:r w:rsidRPr="00284ADC">
        <w:rPr>
          <w:sz w:val="22"/>
          <w:lang w:val="en-US"/>
        </w:rPr>
        <w:t xml:space="preserve"> = 1, </w:t>
      </w:r>
      <w:proofErr w:type="spellStart"/>
      <w:r w:rsidRPr="00284ADC">
        <w:rPr>
          <w:sz w:val="22"/>
          <w:lang w:val="en-US"/>
        </w:rPr>
        <w:t>gdy</w:t>
      </w:r>
      <w:proofErr w:type="spellEnd"/>
      <w:r w:rsidRPr="00284ADC">
        <w:rPr>
          <w:sz w:val="22"/>
          <w:lang w:val="en-US"/>
        </w:rPr>
        <w:t xml:space="preserve"> </w:t>
      </w:r>
      <w:proofErr w:type="spellStart"/>
      <w:r w:rsidRPr="00284ADC">
        <w:rPr>
          <w:sz w:val="22"/>
          <w:lang w:val="en-US"/>
        </w:rPr>
        <w:t>alternative_score</w:t>
      </w:r>
      <w:proofErr w:type="spellEnd"/>
      <w:r w:rsidRPr="00284ADC">
        <w:rPr>
          <w:sz w:val="22"/>
          <w:lang w:val="en-US"/>
        </w:rPr>
        <w:t xml:space="preserve"> ≥ 3</w:t>
      </w:r>
    </w:p>
    <w:p w14:paraId="5AED012E" w14:textId="77777777" w:rsidR="003F0521" w:rsidRDefault="00000000">
      <w:pPr>
        <w:spacing w:after="0" w:line="360" w:lineRule="auto"/>
        <w:ind w:firstLine="709"/>
        <w:jc w:val="both"/>
      </w:pPr>
      <w:r>
        <w:rPr>
          <w:b/>
        </w:rPr>
        <w:t xml:space="preserve">Wersjonowanie i korekty implementacyjne. </w:t>
      </w:r>
      <w:r>
        <w:t>Konstrukt zmiennej docelowej - definicje D1-D5, progi, reguła wyniku &gt;= 3, polityka PIT-B i zasady niedostępności - pozostaje zamrożony jako target_candidate_v2_pit_b v1.0.0. Po zamrożeniu wykonano dwie korekty techniczne dotyczące danych treningowych 2011-2020: resolver v1.1.0 skorygował pochodzenie wartości bazowych używanych w diagnostyce, a następnie ujednolicono interpretację SEC Acceptance Time w strefie America/New_York i kanonicznym UTC. Żadna z korekt nie zmieniła definicji, statusów ani etykiet; bieżący artefakt treningowy ma wersję 1.2.0.</w:t>
      </w:r>
      <w:r>
        <w:footnoteReference w:id="15"/>
      </w:r>
    </w:p>
    <w:p w14:paraId="51533A58" w14:textId="77777777" w:rsidR="003F0521" w:rsidRDefault="00000000">
      <w:pPr>
        <w:spacing w:after="0" w:line="360" w:lineRule="auto"/>
        <w:ind w:firstLine="709"/>
        <w:jc w:val="both"/>
      </w:pPr>
      <w:r>
        <w:t>Rozróżnienie wersji konstruktu i artefaktu jest istotne dla reprodukowalności. W pracy zmienną docelową należy opisywać jako target_candidate_v2_pit_b v1.0.0, a przy wskazywaniu pliku użytego w pierwszym modelowaniu podać artefakt treningowy v1.2.0 oraz jego hash z aktualnej konfiguracji potoku. Historyczne pliki v1.0.0 zachowano jako dowód kolejności decyzji; nowsze warstwy korekcyjne zmieniają wyłącznie odniesienia do danych i czasu.</w:t>
      </w:r>
    </w:p>
    <w:p w14:paraId="00F22CBF" w14:textId="77777777" w:rsidR="003F0521" w:rsidRDefault="00000000">
      <w:pPr>
        <w:spacing w:after="0" w:line="360" w:lineRule="auto"/>
        <w:ind w:firstLine="709"/>
        <w:jc w:val="both"/>
      </w:pPr>
      <w:r>
        <w:rPr>
          <w:b/>
        </w:rPr>
        <w:t xml:space="preserve">Reprodukowalność, podział czasowy i kontrola zmian. </w:t>
      </w:r>
      <w:r>
        <w:t xml:space="preserve">Specyfikację zmiennej docelowej powiązano z kodem, konfiguracją, testami, dowodami ręcznej weryfikacji i manifestem skrótów SHA-256. Formalne zamrożenie PIT-B obejmowało dane treningowe 2011-2020 oraz walidacyjne 2021-2022. Lata 2023-2024 nie uczestniczyły w rekonstrukcji PIT-B, audycie procedury wyboru przychodów ani decyzji o zamrożeniu i nie mogą służyć do zmiany definicji zmiennej docelowej, cech, </w:t>
      </w:r>
      <w:r>
        <w:lastRenderedPageBreak/>
        <w:t>preprocessingu lub hiperparametrów. Każda zmiana konstruktu wymaga nowej wersji, datowanego uzasadnienia i ponownego audytu.</w:t>
      </w:r>
      <w:r>
        <w:footnoteReference w:id="16"/>
      </w:r>
    </w:p>
    <w:p w14:paraId="65AB48A4" w14:textId="77777777" w:rsidR="003F0521" w:rsidRDefault="00000000">
      <w:pPr>
        <w:spacing w:after="0" w:line="360" w:lineRule="auto"/>
        <w:ind w:firstLine="709"/>
        <w:jc w:val="both"/>
      </w:pPr>
      <w:r>
        <w:t>Konserwatywna polityka zmiennej docelowej zmniejsza liczbę obserwacji dostępnych do modelowania, ale ogranicza ryzyko błędnego przypisania niejednoznacznych przypadków do klasy 0. Główny estimand jest warunkowy na dostępność porównywalnej etykiety PIT-B i nie odnosi się automatycznie do całej populacji emitentów SEC. Zależność dostępności od roku, sektora, wielkości spółki, obecności XBRL i historii raportowania jest analizowana w podrozdziale 5.1, a konsekwencje selection bias i informative censoring omówiono w podrozdziale 5.4.</w:t>
      </w:r>
    </w:p>
    <w:p w14:paraId="770EB0B0" w14:textId="77777777" w:rsidR="003F0521" w:rsidRDefault="00000000">
      <w:pPr>
        <w:spacing w:after="0" w:line="360" w:lineRule="auto"/>
        <w:ind w:firstLine="709"/>
        <w:jc w:val="both"/>
      </w:pPr>
      <w:r>
        <w:t>Ekstrakcję X_t, definicje siedemnastu cech w blokach L, D i R, obsługę braków, skalowanie i redukcję wymiaru dla QNN opisano w podrozdziale 4.3. Oddzielenie tej warstwy od konstrukcji zmiennej docelowej uniezależnia etykietowanie od przetwarzania cech i od wyboru modelu.</w:t>
      </w:r>
    </w:p>
    <w:p w14:paraId="3439E4FB" w14:textId="77777777" w:rsidR="00284ADC" w:rsidRDefault="00284ADC">
      <w:pPr>
        <w:rPr>
          <w:b/>
          <w:sz w:val="28"/>
          <w:szCs w:val="28"/>
        </w:rPr>
      </w:pPr>
      <w:r>
        <w:br w:type="page"/>
      </w:r>
    </w:p>
    <w:p w14:paraId="099D57F0" w14:textId="4B37BC26" w:rsidR="003F0521" w:rsidRDefault="00000000">
      <w:pPr>
        <w:pStyle w:val="Heading2"/>
      </w:pPr>
      <w:r>
        <w:lastRenderedPageBreak/>
        <w:t>4.3. Cechy, przetwarzanie wstępne i redukcja wymiaru</w:t>
      </w:r>
    </w:p>
    <w:p w14:paraId="7443395F" w14:textId="77777777" w:rsidR="003F0521" w:rsidRDefault="00000000">
      <w:pPr>
        <w:spacing w:after="0" w:line="360" w:lineRule="auto"/>
        <w:ind w:firstLine="709"/>
        <w:jc w:val="both"/>
      </w:pPr>
      <w:r>
        <w:t>Po zdefiniowaniu populacji oraz targetu przygotowano zbiór cech Xₜ opisujących sytuację finansową emitenta w chwili, w której dokonywana jest predykcja. Warstwa ta została celowo oddzielona od konstrukcji etykiety: target wykorzystuje zmianę między t i t + 1, natomiast Xₜ może zawierać wyłącznie informacje dostępne z raportu za rok t. Zamrożonym punktem odniesienia pozostaje surowy artefakt point-in-time x_t_pit v1.0.0. Dla pierwszego modelowania na latach 2011–2020 obowiązuje jego korekta resolvera v1.1.0, propagowana przez supervised ML pipeline v1.2.0, natomiast aktywną konfiguracją podziałów temporalnych jest poprawkowy pipeline v1.3.0. Z punktu widzenia modeli wykorzystywanych jest siedemnaście zdefiniowanych z góry cech finansowych, podzielonych na trzy zagnieżdżone bloki L, D i R.</w:t>
      </w:r>
      <w:r>
        <w:footnoteReference w:id="17"/>
      </w:r>
    </w:p>
    <w:p w14:paraId="51FCF1A3" w14:textId="77777777" w:rsidR="003F0521" w:rsidRDefault="00000000">
      <w:pPr>
        <w:spacing w:after="0" w:line="360" w:lineRule="auto"/>
        <w:ind w:firstLine="709"/>
        <w:jc w:val="both"/>
      </w:pPr>
      <w:r>
        <w:t>Przyjęty zestaw łączy poziomy podstawowych wskaźników, ich roczne zmiany oraz moduł przychodowy. Konstrukcja nawiązuje do utrwalonej w badaniach finansowych praktyki wykorzystywania wskaźników rentowności, płynności, zadłużenia, przepływów pieniężnych, skali i dynamiki działalności, a także do badań nad wykrywaniem manipulacji wynikiem oraz istotnych nieprawidłowości sprawozdawczych. Nie jest jednak mechaniczną implementacją jednego historycznego modelu scoringowego. Cechy zostały dobrane tak, aby tworzyły mały, interpretowalny zestaw możliwy do zastosowania zarówno w modelach klasycznych, jak i w eksperymencie QNN, przy zachowaniu jednoznacznej polityki point-in-time.</w:t>
      </w:r>
      <w:r>
        <w:footnoteReference w:id="18"/>
      </w:r>
    </w:p>
    <w:p w14:paraId="6FCEEB47" w14:textId="77777777" w:rsidR="003F0521" w:rsidRDefault="00000000">
      <w:pPr>
        <w:spacing w:after="0" w:line="360" w:lineRule="auto"/>
        <w:ind w:firstLine="709"/>
        <w:jc w:val="both"/>
      </w:pPr>
      <w:r>
        <w:rPr>
          <w:b/>
        </w:rPr>
        <w:t xml:space="preserve">Surowy artefakt a macierz modelowa. </w:t>
      </w:r>
      <w:r>
        <w:t xml:space="preserve">Surowy Xₜ zachowuje jeden wiersz dla każdego eligible company-year z historycznej populacji oraz rozbudowane informacje o pochodzeniu danych (provenance): wartości i statusy wielkości pierwotnych (primitives), elementy taksonomii XBRL, accession, daty okresów, accepted timestamp, informacje o kontekście, źródle i strategii resolvera. Dlatego zamrożony plik ma 1 072 kolumny. Większość z nich służy kontroli jakości, reprodukcji i audytowi, a nie predykcji. Macierz modelowa jest ograniczona do siedemnastu cech finansowych oraz, po przetwarzaniu wstępnym, odpowiadających im wskaźników braków danych. </w:t>
      </w:r>
      <w:r>
        <w:lastRenderedPageBreak/>
        <w:t>Identyfikatory CIK, research_universe_company_year_id, economic_group_id, rok, sektor, historyczny SIC, znaczniki czasu i target pozostają metadanymi i nie mogą wejść do macierzy predyktorów finansowych.</w:t>
      </w:r>
    </w:p>
    <w:p w14:paraId="702506AA" w14:textId="77777777" w:rsidR="003F0521" w:rsidRDefault="00000000">
      <w:pPr>
        <w:spacing w:after="0" w:line="360" w:lineRule="auto"/>
        <w:ind w:firstLine="709"/>
        <w:jc w:val="both"/>
      </w:pPr>
      <w:proofErr w:type="spellStart"/>
      <w:r w:rsidRPr="00284ADC">
        <w:rPr>
          <w:b/>
          <w:lang w:val="en-US"/>
        </w:rPr>
        <w:t>Zasada</w:t>
      </w:r>
      <w:proofErr w:type="spellEnd"/>
      <w:r w:rsidRPr="00284ADC">
        <w:rPr>
          <w:b/>
          <w:lang w:val="en-US"/>
        </w:rPr>
        <w:t xml:space="preserve"> point-in-time </w:t>
      </w:r>
      <w:proofErr w:type="spellStart"/>
      <w:r w:rsidRPr="00284ADC">
        <w:rPr>
          <w:b/>
          <w:lang w:val="en-US"/>
        </w:rPr>
        <w:t>dla</w:t>
      </w:r>
      <w:proofErr w:type="spellEnd"/>
      <w:r w:rsidRPr="00284ADC">
        <w:rPr>
          <w:b/>
          <w:lang w:val="en-US"/>
        </w:rPr>
        <w:t xml:space="preserve"> Xₜ. </w:t>
      </w:r>
      <w:r>
        <w:t>Jedyną dopuszczalną kotwicą (</w:t>
      </w:r>
      <w:proofErr w:type="spellStart"/>
      <w:r>
        <w:t>anchor</w:t>
      </w:r>
      <w:proofErr w:type="spellEnd"/>
      <w:r>
        <w:t>) cech dla obserwacji (i, t) jest najwcześniejszy oryginalny raport 10-K za rok t, wskazany wcześniej przez zamrożony historical research universe. Wartości bieżące t pochodzą wyłącznie z tego accession. Wartości porównawcze t − 1, potrzebne do cech dynamicznych, mogą pochodzić jedynie z rocznych kontekstów porównawczych pokazanych w tym samym raporcie 10-K za rok t. Nie stosuje się późniejszego 10-K, formularza 10-K/A, restatementu ani aktualnej wersji Company Facts jako źródła zastępczego. Moment predykcji odpowiada accepted timestamp kotwicy, a w przypadku rzeczywistego braku godziny stosowany jest konserwatywny wariant zastępczy: 00:00 czasu wschodniego następnego dnia kalendarzowego po filed date.</w:t>
      </w:r>
      <w:r>
        <w:footnoteReference w:id="19"/>
      </w:r>
    </w:p>
    <w:p w14:paraId="577D9BF8" w14:textId="77777777" w:rsidR="003F0521" w:rsidRDefault="00000000">
      <w:pPr>
        <w:spacing w:after="0" w:line="360" w:lineRule="auto"/>
        <w:ind w:firstLine="709"/>
        <w:jc w:val="both"/>
      </w:pPr>
      <w:r>
        <w:rPr>
          <w:b/>
        </w:rPr>
        <w:t xml:space="preserve">Pierwotne wielkości finansowe (primitives). </w:t>
      </w:r>
      <w:r>
        <w:t>Punktem wyjścia jest siedem pozycji ekonomicznych odtwarzanych z raportu: aktywa, zobowiązania, aktywa obrotowe, zobowiązania krótkoterminowe, przychody, wynik netto oraz przepływy pieniężne z działalności operacyjnej. Każda wartość zachowuje status i kod przyczyny. Brak, niejednoznaczny kontekst, konflikt semantyczny albo nieprawidłowa dziedzina obliczenia nie są zastępowane zerem. Nie obowiązuje przy tym globalny próg 1 000 USD stosowany w konstrukcji targetu: dla Xₜ podstawową regułą jest ściśle dodatni mianownik wymagany przez konkretną formułę, a wartości bliskie zeru są raportowane diagnostycznie.</w:t>
      </w:r>
    </w:p>
    <w:p w14:paraId="08D56ECF" w14:textId="77777777" w:rsidR="003F0521" w:rsidRDefault="00000000">
      <w:pPr>
        <w:pStyle w:val="Podpistabeli"/>
        <w:keepLines/>
      </w:pPr>
      <w:r>
        <w:rPr>
          <w:color w:val="000000"/>
          <w:szCs w:val="20"/>
        </w:rPr>
        <w:t>Tabela 4.</w:t>
      </w:r>
      <w:fldSimple w:instr=" SEQ Tabela \r 7 \* ARABIC ">
        <w:r>
          <w:rPr>
            <w:color w:val="000000"/>
            <w:szCs w:val="20"/>
          </w:rPr>
          <w:t>7</w:t>
        </w:r>
      </w:fldSimple>
      <w:r>
        <w:rPr>
          <w:color w:val="000000"/>
          <w:szCs w:val="20"/>
        </w:rPr>
        <w:t>. Surowe wielkości finansowe stanowiące podstawę Xₜ</w:t>
      </w:r>
    </w:p>
    <w:tbl>
      <w:tblPr>
        <w:tblStyle w:val="TableGrid"/>
        <w:tblW w:w="8504" w:type="dxa"/>
        <w:jc w:val="center"/>
        <w:tblLayout w:type="fixed"/>
        <w:tblLook w:val="04A0" w:firstRow="1" w:lastRow="0" w:firstColumn="1" w:lastColumn="0" w:noHBand="0" w:noVBand="1"/>
      </w:tblPr>
      <w:tblGrid>
        <w:gridCol w:w="1984"/>
        <w:gridCol w:w="1417"/>
        <w:gridCol w:w="5103"/>
      </w:tblGrid>
      <w:tr w:rsidR="003F0521" w14:paraId="09F701F6" w14:textId="77777777">
        <w:trPr>
          <w:cantSplit/>
          <w:tblHeader/>
          <w:jc w:val="center"/>
        </w:trPr>
        <w:tc>
          <w:tcPr>
            <w:tcW w:w="1909" w:type="dxa"/>
            <w:shd w:val="clear" w:color="auto" w:fill="D9E1F2"/>
            <w:vAlign w:val="center"/>
          </w:tcPr>
          <w:p w14:paraId="7F08BC62" w14:textId="77777777" w:rsidR="003F0521" w:rsidRDefault="00000000">
            <w:r>
              <w:rPr>
                <w:b/>
                <w:sz w:val="18"/>
              </w:rPr>
              <w:t>Wielkość pierwotna</w:t>
            </w:r>
          </w:p>
        </w:tc>
        <w:tc>
          <w:tcPr>
            <w:tcW w:w="1363" w:type="dxa"/>
            <w:shd w:val="clear" w:color="auto" w:fill="D9E1F2"/>
            <w:vAlign w:val="center"/>
          </w:tcPr>
          <w:p w14:paraId="0D2FFCDB" w14:textId="77777777" w:rsidR="003F0521" w:rsidRDefault="00000000">
            <w:r>
              <w:rPr>
                <w:b/>
                <w:sz w:val="18"/>
              </w:rPr>
              <w:t>Typ okresu</w:t>
            </w:r>
          </w:p>
        </w:tc>
        <w:tc>
          <w:tcPr>
            <w:tcW w:w="4910" w:type="dxa"/>
            <w:shd w:val="clear" w:color="auto" w:fill="D9E1F2"/>
            <w:vAlign w:val="center"/>
          </w:tcPr>
          <w:p w14:paraId="05041DC7" w14:textId="77777777" w:rsidR="003F0521" w:rsidRDefault="00000000">
            <w:r>
              <w:rPr>
                <w:b/>
                <w:sz w:val="18"/>
              </w:rPr>
              <w:t>Najważniejsze zastosowanie w cechach</w:t>
            </w:r>
          </w:p>
        </w:tc>
      </w:tr>
      <w:tr w:rsidR="003F0521" w14:paraId="6FA8C46E" w14:textId="77777777">
        <w:trPr>
          <w:cantSplit/>
          <w:jc w:val="center"/>
        </w:trPr>
        <w:tc>
          <w:tcPr>
            <w:tcW w:w="1909" w:type="dxa"/>
            <w:vAlign w:val="center"/>
          </w:tcPr>
          <w:p w14:paraId="6412E35A" w14:textId="77777777" w:rsidR="003F0521" w:rsidRDefault="00000000">
            <w:r>
              <w:rPr>
                <w:sz w:val="18"/>
              </w:rPr>
              <w:t>assets</w:t>
            </w:r>
          </w:p>
        </w:tc>
        <w:tc>
          <w:tcPr>
            <w:tcW w:w="1363" w:type="dxa"/>
            <w:vAlign w:val="center"/>
          </w:tcPr>
          <w:p w14:paraId="43A8DB3F" w14:textId="77777777" w:rsidR="003F0521" w:rsidRDefault="00000000">
            <w:r>
              <w:rPr>
                <w:sz w:val="18"/>
              </w:rPr>
              <w:t>instant</w:t>
            </w:r>
          </w:p>
        </w:tc>
        <w:tc>
          <w:tcPr>
            <w:tcW w:w="4910" w:type="dxa"/>
            <w:vAlign w:val="center"/>
          </w:tcPr>
          <w:p w14:paraId="3FEFDAC6" w14:textId="77777777" w:rsidR="003F0521" w:rsidRDefault="00000000">
            <w:r>
              <w:rPr>
                <w:sz w:val="18"/>
              </w:rPr>
              <w:t>Skala spółki, mianownik wskaźników oraz wzrost aktywów.</w:t>
            </w:r>
          </w:p>
        </w:tc>
      </w:tr>
      <w:tr w:rsidR="003F0521" w14:paraId="4C9730C8" w14:textId="77777777">
        <w:trPr>
          <w:cantSplit/>
          <w:jc w:val="center"/>
        </w:trPr>
        <w:tc>
          <w:tcPr>
            <w:tcW w:w="1909" w:type="dxa"/>
            <w:vAlign w:val="center"/>
          </w:tcPr>
          <w:p w14:paraId="38849C62" w14:textId="77777777" w:rsidR="003F0521" w:rsidRDefault="00000000">
            <w:r>
              <w:rPr>
                <w:sz w:val="18"/>
              </w:rPr>
              <w:t>liabilities</w:t>
            </w:r>
          </w:p>
        </w:tc>
        <w:tc>
          <w:tcPr>
            <w:tcW w:w="1363" w:type="dxa"/>
            <w:vAlign w:val="center"/>
          </w:tcPr>
          <w:p w14:paraId="52702F25" w14:textId="77777777" w:rsidR="003F0521" w:rsidRDefault="00000000">
            <w:r>
              <w:rPr>
                <w:sz w:val="18"/>
              </w:rPr>
              <w:t>instant</w:t>
            </w:r>
          </w:p>
        </w:tc>
        <w:tc>
          <w:tcPr>
            <w:tcW w:w="4910" w:type="dxa"/>
            <w:vAlign w:val="center"/>
          </w:tcPr>
          <w:p w14:paraId="34CD8C96" w14:textId="77777777" w:rsidR="003F0521" w:rsidRDefault="00000000">
            <w:r>
              <w:rPr>
                <w:sz w:val="18"/>
              </w:rPr>
              <w:t>Udział zobowiązań w aktywach i jego roczna zmiana.</w:t>
            </w:r>
          </w:p>
        </w:tc>
      </w:tr>
      <w:tr w:rsidR="003F0521" w14:paraId="511A034E" w14:textId="77777777">
        <w:trPr>
          <w:cantSplit/>
          <w:jc w:val="center"/>
        </w:trPr>
        <w:tc>
          <w:tcPr>
            <w:tcW w:w="1909" w:type="dxa"/>
            <w:vAlign w:val="center"/>
          </w:tcPr>
          <w:p w14:paraId="5F373DC6" w14:textId="77777777" w:rsidR="003F0521" w:rsidRDefault="00000000">
            <w:r>
              <w:rPr>
                <w:sz w:val="18"/>
              </w:rPr>
              <w:t>current_assets</w:t>
            </w:r>
          </w:p>
        </w:tc>
        <w:tc>
          <w:tcPr>
            <w:tcW w:w="1363" w:type="dxa"/>
            <w:vAlign w:val="center"/>
          </w:tcPr>
          <w:p w14:paraId="6549BBF4" w14:textId="77777777" w:rsidR="003F0521" w:rsidRDefault="00000000">
            <w:r>
              <w:rPr>
                <w:sz w:val="18"/>
              </w:rPr>
              <w:t>instant</w:t>
            </w:r>
          </w:p>
        </w:tc>
        <w:tc>
          <w:tcPr>
            <w:tcW w:w="4910" w:type="dxa"/>
            <w:vAlign w:val="center"/>
          </w:tcPr>
          <w:p w14:paraId="58BC767A" w14:textId="77777777" w:rsidR="003F0521" w:rsidRDefault="00000000">
            <w:r>
              <w:rPr>
                <w:sz w:val="18"/>
              </w:rPr>
              <w:t>Wskaźnik płynności bieżącej oraz kapitał obrotowy do aktywów.</w:t>
            </w:r>
          </w:p>
        </w:tc>
      </w:tr>
      <w:tr w:rsidR="003F0521" w14:paraId="54A5248A" w14:textId="77777777">
        <w:trPr>
          <w:cantSplit/>
          <w:jc w:val="center"/>
        </w:trPr>
        <w:tc>
          <w:tcPr>
            <w:tcW w:w="1909" w:type="dxa"/>
            <w:vAlign w:val="center"/>
          </w:tcPr>
          <w:p w14:paraId="6DFDB122" w14:textId="77777777" w:rsidR="003F0521" w:rsidRDefault="00000000">
            <w:r>
              <w:rPr>
                <w:sz w:val="18"/>
              </w:rPr>
              <w:t>current_liabilities</w:t>
            </w:r>
          </w:p>
        </w:tc>
        <w:tc>
          <w:tcPr>
            <w:tcW w:w="1363" w:type="dxa"/>
            <w:vAlign w:val="center"/>
          </w:tcPr>
          <w:p w14:paraId="38815179" w14:textId="77777777" w:rsidR="003F0521" w:rsidRDefault="00000000">
            <w:r>
              <w:rPr>
                <w:sz w:val="18"/>
              </w:rPr>
              <w:t>instant</w:t>
            </w:r>
          </w:p>
        </w:tc>
        <w:tc>
          <w:tcPr>
            <w:tcW w:w="4910" w:type="dxa"/>
            <w:vAlign w:val="center"/>
          </w:tcPr>
          <w:p w14:paraId="541F6CFE" w14:textId="77777777" w:rsidR="003F0521" w:rsidRDefault="00000000">
            <w:r>
              <w:rPr>
                <w:sz w:val="18"/>
              </w:rPr>
              <w:t>Mianownik wskaźnika płynności i składnik kapitału obrotowego.</w:t>
            </w:r>
          </w:p>
        </w:tc>
      </w:tr>
      <w:tr w:rsidR="003F0521" w14:paraId="2C6C6CA0" w14:textId="77777777">
        <w:trPr>
          <w:cantSplit/>
          <w:jc w:val="center"/>
        </w:trPr>
        <w:tc>
          <w:tcPr>
            <w:tcW w:w="1909" w:type="dxa"/>
            <w:vAlign w:val="center"/>
          </w:tcPr>
          <w:p w14:paraId="5E779AEC" w14:textId="77777777" w:rsidR="003F0521" w:rsidRDefault="00000000">
            <w:r>
              <w:rPr>
                <w:sz w:val="18"/>
              </w:rPr>
              <w:t>revenues</w:t>
            </w:r>
          </w:p>
        </w:tc>
        <w:tc>
          <w:tcPr>
            <w:tcW w:w="1363" w:type="dxa"/>
            <w:vAlign w:val="center"/>
          </w:tcPr>
          <w:p w14:paraId="2D7F32F1" w14:textId="77777777" w:rsidR="003F0521" w:rsidRDefault="00000000">
            <w:r>
              <w:rPr>
                <w:sz w:val="18"/>
              </w:rPr>
              <w:t>duration</w:t>
            </w:r>
          </w:p>
        </w:tc>
        <w:tc>
          <w:tcPr>
            <w:tcW w:w="4910" w:type="dxa"/>
            <w:vAlign w:val="center"/>
          </w:tcPr>
          <w:p w14:paraId="03D20DEA" w14:textId="77777777" w:rsidR="003F0521" w:rsidRDefault="00000000">
            <w:r>
              <w:rPr>
                <w:sz w:val="18"/>
              </w:rPr>
              <w:t>Skala sprzedaży, marże, rotacja aktywów i wzrost przychodów.</w:t>
            </w:r>
          </w:p>
        </w:tc>
      </w:tr>
      <w:tr w:rsidR="003F0521" w14:paraId="45865AFC" w14:textId="77777777">
        <w:trPr>
          <w:cantSplit/>
          <w:jc w:val="center"/>
        </w:trPr>
        <w:tc>
          <w:tcPr>
            <w:tcW w:w="1909" w:type="dxa"/>
            <w:vAlign w:val="center"/>
          </w:tcPr>
          <w:p w14:paraId="56900CD1" w14:textId="77777777" w:rsidR="003F0521" w:rsidRDefault="00000000">
            <w:r>
              <w:rPr>
                <w:sz w:val="18"/>
              </w:rPr>
              <w:t>net_income</w:t>
            </w:r>
          </w:p>
        </w:tc>
        <w:tc>
          <w:tcPr>
            <w:tcW w:w="1363" w:type="dxa"/>
            <w:vAlign w:val="center"/>
          </w:tcPr>
          <w:p w14:paraId="6F488DD5" w14:textId="77777777" w:rsidR="003F0521" w:rsidRDefault="00000000">
            <w:r>
              <w:rPr>
                <w:sz w:val="18"/>
              </w:rPr>
              <w:t>duration</w:t>
            </w:r>
          </w:p>
        </w:tc>
        <w:tc>
          <w:tcPr>
            <w:tcW w:w="4910" w:type="dxa"/>
            <w:vAlign w:val="center"/>
          </w:tcPr>
          <w:p w14:paraId="4D761166" w14:textId="77777777" w:rsidR="003F0521" w:rsidRDefault="00000000">
            <w:r>
              <w:rPr>
                <w:sz w:val="18"/>
              </w:rPr>
              <w:t>ROA, marża zysku i accruals do aktywów.</w:t>
            </w:r>
          </w:p>
        </w:tc>
      </w:tr>
      <w:tr w:rsidR="003F0521" w14:paraId="293D2E45" w14:textId="77777777">
        <w:trPr>
          <w:cantSplit/>
          <w:jc w:val="center"/>
        </w:trPr>
        <w:tc>
          <w:tcPr>
            <w:tcW w:w="1909" w:type="dxa"/>
            <w:vAlign w:val="center"/>
          </w:tcPr>
          <w:p w14:paraId="4E5D42B9" w14:textId="77777777" w:rsidR="003F0521" w:rsidRDefault="00000000">
            <w:r>
              <w:rPr>
                <w:sz w:val="18"/>
              </w:rPr>
              <w:t>operating_cash_flow</w:t>
            </w:r>
          </w:p>
        </w:tc>
        <w:tc>
          <w:tcPr>
            <w:tcW w:w="1363" w:type="dxa"/>
            <w:vAlign w:val="center"/>
          </w:tcPr>
          <w:p w14:paraId="6AD5907E" w14:textId="77777777" w:rsidR="003F0521" w:rsidRDefault="00000000">
            <w:r>
              <w:rPr>
                <w:sz w:val="18"/>
              </w:rPr>
              <w:t>duration</w:t>
            </w:r>
          </w:p>
        </w:tc>
        <w:tc>
          <w:tcPr>
            <w:tcW w:w="4910" w:type="dxa"/>
            <w:vAlign w:val="center"/>
          </w:tcPr>
          <w:p w14:paraId="1E151116" w14:textId="77777777" w:rsidR="003F0521" w:rsidRDefault="00000000">
            <w:r>
              <w:rPr>
                <w:sz w:val="18"/>
              </w:rPr>
              <w:t>OCF/assets, marża OCF i accruals do aktywów.</w:t>
            </w:r>
          </w:p>
        </w:tc>
      </w:tr>
    </w:tbl>
    <w:p w14:paraId="2B24C62A" w14:textId="77777777" w:rsidR="003F0521" w:rsidRDefault="00000000">
      <w:pPr>
        <w:pStyle w:val="rdotabeli"/>
      </w:pPr>
      <w:r>
        <w:rPr>
          <w:color w:val="000000"/>
          <w:szCs w:val="18"/>
        </w:rPr>
        <w:t>Źródło: opracowanie własne na podstawie zamrożonej specyfikacji surowego Xₜ v1.0.0.</w:t>
      </w:r>
    </w:p>
    <w:p w14:paraId="3CD2FC78" w14:textId="77777777" w:rsidR="003F0521" w:rsidRDefault="00000000">
      <w:pPr>
        <w:spacing w:after="0" w:line="360" w:lineRule="auto"/>
        <w:ind w:firstLine="709"/>
        <w:jc w:val="both"/>
      </w:pPr>
      <w:r>
        <w:rPr>
          <w:b/>
        </w:rPr>
        <w:t xml:space="preserve">Blok L – poziomy podstawowych wskaźników. </w:t>
      </w:r>
      <w:r>
        <w:t xml:space="preserve">Blok L zawiera siedem cech opisujących rozmiar oraz bieżącą strukturę finansową emitenta. Logarytm aktywów ogranicza silną prawostronną asymetrię skali. Pozostałe wielkości są wskaźnikami względnymi, co zwiększa porównywalność spółek różniących się rozmiarem, choć nie </w:t>
      </w:r>
      <w:r>
        <w:lastRenderedPageBreak/>
        <w:t>usuwa wszystkich różnic sektorowych ani wpływu małych mianowników. Accruals do aktywów ujmuje rozbieżność między wynikiem księgowym a przepływami operacyjnymi, a working capital do aktywów syntetyzuje pozycję płynnościową w relacji do skali bilansu. Wskaźniki łączące wielkości przepływowe ze skalą bilansu są konsekwentnie dzielone przez aktywa na koniec roku, a nie przez ich średni stan; jest to zamrożona definicja miary wynikająca z konserwatywnej polityki point-in-time.</w:t>
      </w:r>
    </w:p>
    <w:p w14:paraId="052C5ED0" w14:textId="77777777" w:rsidR="003F0521" w:rsidRDefault="00000000">
      <w:pPr>
        <w:pStyle w:val="Podpistabeli"/>
        <w:keepLines/>
      </w:pPr>
      <w:r>
        <w:rPr>
          <w:color w:val="000000"/>
          <w:szCs w:val="20"/>
        </w:rPr>
        <w:t>Tabela 4.</w:t>
      </w:r>
      <w:fldSimple w:instr=" SEQ Tabela \* ARABIC ">
        <w:r>
          <w:rPr>
            <w:color w:val="000000"/>
            <w:szCs w:val="20"/>
          </w:rPr>
          <w:t>8</w:t>
        </w:r>
      </w:fldSimple>
      <w:r>
        <w:rPr>
          <w:color w:val="000000"/>
          <w:szCs w:val="20"/>
        </w:rPr>
        <w:t>. Cechy bloku L – poziomy podstawowych wskaźników</w:t>
      </w:r>
    </w:p>
    <w:tbl>
      <w:tblPr>
        <w:tblStyle w:val="TableGrid"/>
        <w:tblW w:w="8504" w:type="dxa"/>
        <w:jc w:val="center"/>
        <w:tblLayout w:type="fixed"/>
        <w:tblLook w:val="04A0" w:firstRow="1" w:lastRow="0" w:firstColumn="1" w:lastColumn="0" w:noHBand="0" w:noVBand="1"/>
      </w:tblPr>
      <w:tblGrid>
        <w:gridCol w:w="2381"/>
        <w:gridCol w:w="2948"/>
        <w:gridCol w:w="3175"/>
      </w:tblGrid>
      <w:tr w:rsidR="003F0521" w14:paraId="1A26117B" w14:textId="77777777">
        <w:trPr>
          <w:cantSplit/>
          <w:tblHeader/>
          <w:jc w:val="center"/>
        </w:trPr>
        <w:tc>
          <w:tcPr>
            <w:tcW w:w="2291" w:type="dxa"/>
            <w:shd w:val="clear" w:color="auto" w:fill="D9E1F2"/>
            <w:vAlign w:val="center"/>
          </w:tcPr>
          <w:p w14:paraId="123E1587" w14:textId="77777777" w:rsidR="003F0521" w:rsidRDefault="00000000">
            <w:r>
              <w:rPr>
                <w:b/>
                <w:sz w:val="17"/>
              </w:rPr>
              <w:t>Cecha</w:t>
            </w:r>
          </w:p>
        </w:tc>
        <w:tc>
          <w:tcPr>
            <w:tcW w:w="2837" w:type="dxa"/>
            <w:shd w:val="clear" w:color="auto" w:fill="D9E1F2"/>
            <w:vAlign w:val="center"/>
          </w:tcPr>
          <w:p w14:paraId="72CC85DA" w14:textId="77777777" w:rsidR="003F0521" w:rsidRDefault="00000000">
            <w:r>
              <w:rPr>
                <w:b/>
                <w:sz w:val="17"/>
              </w:rPr>
              <w:t>Definicja</w:t>
            </w:r>
          </w:p>
        </w:tc>
        <w:tc>
          <w:tcPr>
            <w:tcW w:w="3055" w:type="dxa"/>
            <w:shd w:val="clear" w:color="auto" w:fill="D9E1F2"/>
            <w:vAlign w:val="center"/>
          </w:tcPr>
          <w:p w14:paraId="2B37E3AC" w14:textId="77777777" w:rsidR="003F0521" w:rsidRDefault="00000000">
            <w:r>
              <w:rPr>
                <w:b/>
                <w:sz w:val="17"/>
              </w:rPr>
              <w:t>Interpretacja</w:t>
            </w:r>
          </w:p>
        </w:tc>
      </w:tr>
      <w:tr w:rsidR="003F0521" w14:paraId="23AE1FAE" w14:textId="77777777">
        <w:trPr>
          <w:cantSplit/>
          <w:jc w:val="center"/>
        </w:trPr>
        <w:tc>
          <w:tcPr>
            <w:tcW w:w="2291" w:type="dxa"/>
            <w:vAlign w:val="center"/>
          </w:tcPr>
          <w:p w14:paraId="417966E9" w14:textId="77777777" w:rsidR="003F0521" w:rsidRDefault="00000000">
            <w:r>
              <w:rPr>
                <w:sz w:val="17"/>
              </w:rPr>
              <w:t>log_assets_t</w:t>
            </w:r>
          </w:p>
        </w:tc>
        <w:tc>
          <w:tcPr>
            <w:tcW w:w="2837" w:type="dxa"/>
            <w:vAlign w:val="center"/>
          </w:tcPr>
          <w:p w14:paraId="696DE091" w14:textId="77777777" w:rsidR="003F0521" w:rsidRDefault="00000000">
            <w:r>
              <w:rPr>
                <w:sz w:val="17"/>
              </w:rPr>
              <w:t>ln(assetsₜ), gdy assetsₜ &gt; 0</w:t>
            </w:r>
          </w:p>
        </w:tc>
        <w:tc>
          <w:tcPr>
            <w:tcW w:w="3055" w:type="dxa"/>
            <w:vAlign w:val="center"/>
          </w:tcPr>
          <w:p w14:paraId="374D1868" w14:textId="77777777" w:rsidR="003F0521" w:rsidRDefault="00000000">
            <w:r>
              <w:rPr>
                <w:sz w:val="17"/>
              </w:rPr>
              <w:t>Logarytmiczna miara wielkości spółki.</w:t>
            </w:r>
          </w:p>
        </w:tc>
      </w:tr>
      <w:tr w:rsidR="003F0521" w14:paraId="403A7365" w14:textId="77777777">
        <w:trPr>
          <w:cantSplit/>
          <w:jc w:val="center"/>
        </w:trPr>
        <w:tc>
          <w:tcPr>
            <w:tcW w:w="2291" w:type="dxa"/>
            <w:vAlign w:val="center"/>
          </w:tcPr>
          <w:p w14:paraId="6A021E24" w14:textId="77777777" w:rsidR="003F0521" w:rsidRDefault="00000000">
            <w:r>
              <w:rPr>
                <w:sz w:val="17"/>
              </w:rPr>
              <w:t>roa_t</w:t>
            </w:r>
          </w:p>
        </w:tc>
        <w:tc>
          <w:tcPr>
            <w:tcW w:w="2837" w:type="dxa"/>
            <w:vAlign w:val="center"/>
          </w:tcPr>
          <w:p w14:paraId="6E4B334D" w14:textId="77777777" w:rsidR="003F0521" w:rsidRDefault="00000000">
            <w:r>
              <w:rPr>
                <w:sz w:val="17"/>
              </w:rPr>
              <w:t>net_incomeₜ / assetsₜ</w:t>
            </w:r>
          </w:p>
        </w:tc>
        <w:tc>
          <w:tcPr>
            <w:tcW w:w="3055" w:type="dxa"/>
            <w:vAlign w:val="center"/>
          </w:tcPr>
          <w:p w14:paraId="55FC0436" w14:textId="77777777" w:rsidR="003F0521" w:rsidRDefault="00000000">
            <w:r>
              <w:rPr>
                <w:sz w:val="17"/>
              </w:rPr>
              <w:t>Rentowność aktywów.</w:t>
            </w:r>
          </w:p>
        </w:tc>
      </w:tr>
      <w:tr w:rsidR="003F0521" w14:paraId="40CFB0DA" w14:textId="77777777">
        <w:trPr>
          <w:cantSplit/>
          <w:jc w:val="center"/>
        </w:trPr>
        <w:tc>
          <w:tcPr>
            <w:tcW w:w="2291" w:type="dxa"/>
            <w:vAlign w:val="center"/>
          </w:tcPr>
          <w:p w14:paraId="1D69B320" w14:textId="77777777" w:rsidR="003F0521" w:rsidRDefault="00000000">
            <w:r>
              <w:rPr>
                <w:sz w:val="17"/>
              </w:rPr>
              <w:t>ocf_to_assets_t</w:t>
            </w:r>
          </w:p>
        </w:tc>
        <w:tc>
          <w:tcPr>
            <w:tcW w:w="2837" w:type="dxa"/>
            <w:vAlign w:val="center"/>
          </w:tcPr>
          <w:p w14:paraId="7B098666" w14:textId="77777777" w:rsidR="003F0521" w:rsidRDefault="00000000">
            <w:r>
              <w:rPr>
                <w:sz w:val="17"/>
              </w:rPr>
              <w:t>operating_cash_flowₜ / assetsₜ</w:t>
            </w:r>
          </w:p>
        </w:tc>
        <w:tc>
          <w:tcPr>
            <w:tcW w:w="3055" w:type="dxa"/>
            <w:vAlign w:val="center"/>
          </w:tcPr>
          <w:p w14:paraId="3775E49A" w14:textId="77777777" w:rsidR="003F0521" w:rsidRDefault="00000000">
            <w:r>
              <w:rPr>
                <w:sz w:val="17"/>
              </w:rPr>
              <w:t>Gotówka operacyjna generowana przez aktywa.</w:t>
            </w:r>
          </w:p>
        </w:tc>
      </w:tr>
      <w:tr w:rsidR="003F0521" w14:paraId="3C8E2146" w14:textId="77777777">
        <w:trPr>
          <w:cantSplit/>
          <w:jc w:val="center"/>
        </w:trPr>
        <w:tc>
          <w:tcPr>
            <w:tcW w:w="2291" w:type="dxa"/>
            <w:vAlign w:val="center"/>
          </w:tcPr>
          <w:p w14:paraId="7AC06AEA" w14:textId="77777777" w:rsidR="003F0521" w:rsidRDefault="00000000">
            <w:r>
              <w:rPr>
                <w:sz w:val="17"/>
              </w:rPr>
              <w:t>current_ratio_t</w:t>
            </w:r>
          </w:p>
        </w:tc>
        <w:tc>
          <w:tcPr>
            <w:tcW w:w="2837" w:type="dxa"/>
            <w:vAlign w:val="center"/>
          </w:tcPr>
          <w:p w14:paraId="42D29D67" w14:textId="77777777" w:rsidR="003F0521" w:rsidRDefault="00000000">
            <w:r>
              <w:rPr>
                <w:sz w:val="17"/>
              </w:rPr>
              <w:t>current_assetsₜ / current_liabilitiesₜ</w:t>
            </w:r>
          </w:p>
        </w:tc>
        <w:tc>
          <w:tcPr>
            <w:tcW w:w="3055" w:type="dxa"/>
            <w:vAlign w:val="center"/>
          </w:tcPr>
          <w:p w14:paraId="24ED3EC7" w14:textId="77777777" w:rsidR="003F0521" w:rsidRDefault="00000000">
            <w:r>
              <w:rPr>
                <w:sz w:val="17"/>
              </w:rPr>
              <w:t>Krótkoterminowa płynność.</w:t>
            </w:r>
          </w:p>
        </w:tc>
      </w:tr>
      <w:tr w:rsidR="003F0521" w14:paraId="7879A06E" w14:textId="77777777">
        <w:trPr>
          <w:cantSplit/>
          <w:jc w:val="center"/>
        </w:trPr>
        <w:tc>
          <w:tcPr>
            <w:tcW w:w="2291" w:type="dxa"/>
            <w:vAlign w:val="center"/>
          </w:tcPr>
          <w:p w14:paraId="339F511F" w14:textId="77777777" w:rsidR="003F0521" w:rsidRDefault="00000000">
            <w:r>
              <w:rPr>
                <w:sz w:val="17"/>
              </w:rPr>
              <w:t>liabilities_to_assets_t</w:t>
            </w:r>
          </w:p>
        </w:tc>
        <w:tc>
          <w:tcPr>
            <w:tcW w:w="2837" w:type="dxa"/>
            <w:vAlign w:val="center"/>
          </w:tcPr>
          <w:p w14:paraId="01F7F22D" w14:textId="77777777" w:rsidR="003F0521" w:rsidRDefault="00000000">
            <w:r>
              <w:rPr>
                <w:sz w:val="17"/>
              </w:rPr>
              <w:t>liabilitiesₜ / assetsₜ</w:t>
            </w:r>
          </w:p>
        </w:tc>
        <w:tc>
          <w:tcPr>
            <w:tcW w:w="3055" w:type="dxa"/>
            <w:vAlign w:val="center"/>
          </w:tcPr>
          <w:p w14:paraId="201248A5" w14:textId="77777777" w:rsidR="003F0521" w:rsidRDefault="00000000">
            <w:r>
              <w:rPr>
                <w:sz w:val="17"/>
              </w:rPr>
              <w:t>Udział zobowiązań w finansowaniu aktywów.</w:t>
            </w:r>
          </w:p>
        </w:tc>
      </w:tr>
      <w:tr w:rsidR="003F0521" w14:paraId="1478116B" w14:textId="77777777">
        <w:trPr>
          <w:cantSplit/>
          <w:jc w:val="center"/>
        </w:trPr>
        <w:tc>
          <w:tcPr>
            <w:tcW w:w="2291" w:type="dxa"/>
            <w:vAlign w:val="center"/>
          </w:tcPr>
          <w:p w14:paraId="6D0C9F88" w14:textId="77777777" w:rsidR="003F0521" w:rsidRPr="00284ADC" w:rsidRDefault="00000000">
            <w:pPr>
              <w:rPr>
                <w:lang w:val="en-US"/>
              </w:rPr>
            </w:pPr>
            <w:proofErr w:type="spellStart"/>
            <w:r w:rsidRPr="00284ADC">
              <w:rPr>
                <w:sz w:val="17"/>
                <w:lang w:val="en-US"/>
              </w:rPr>
              <w:t>working_capital_to_assets_t</w:t>
            </w:r>
            <w:proofErr w:type="spellEnd"/>
          </w:p>
        </w:tc>
        <w:tc>
          <w:tcPr>
            <w:tcW w:w="2837" w:type="dxa"/>
            <w:vAlign w:val="center"/>
          </w:tcPr>
          <w:p w14:paraId="1851231D" w14:textId="77777777" w:rsidR="003F0521" w:rsidRPr="00284ADC" w:rsidRDefault="00000000">
            <w:pPr>
              <w:rPr>
                <w:lang w:val="en-US"/>
              </w:rPr>
            </w:pPr>
            <w:r w:rsidRPr="00284ADC">
              <w:rPr>
                <w:sz w:val="17"/>
                <w:lang w:val="en-US"/>
              </w:rPr>
              <w:t>(</w:t>
            </w:r>
            <w:proofErr w:type="spellStart"/>
            <w:r w:rsidRPr="00284ADC">
              <w:rPr>
                <w:sz w:val="17"/>
                <w:lang w:val="en-US"/>
              </w:rPr>
              <w:t>current_assets</w:t>
            </w:r>
            <w:proofErr w:type="spellEnd"/>
            <w:r w:rsidRPr="00284ADC">
              <w:rPr>
                <w:sz w:val="17"/>
                <w:lang w:val="en-US"/>
              </w:rPr>
              <w:t xml:space="preserve">ₜ − </w:t>
            </w:r>
            <w:proofErr w:type="spellStart"/>
            <w:r w:rsidRPr="00284ADC">
              <w:rPr>
                <w:sz w:val="17"/>
                <w:lang w:val="en-US"/>
              </w:rPr>
              <w:t>current_liabilities</w:t>
            </w:r>
            <w:proofErr w:type="spellEnd"/>
            <w:r w:rsidRPr="00284ADC">
              <w:rPr>
                <w:sz w:val="17"/>
                <w:lang w:val="en-US"/>
              </w:rPr>
              <w:t>ₜ) / assetsₜ</w:t>
            </w:r>
          </w:p>
        </w:tc>
        <w:tc>
          <w:tcPr>
            <w:tcW w:w="3055" w:type="dxa"/>
            <w:vAlign w:val="center"/>
          </w:tcPr>
          <w:p w14:paraId="7BBCC900" w14:textId="77777777" w:rsidR="003F0521" w:rsidRDefault="00000000">
            <w:r>
              <w:rPr>
                <w:sz w:val="17"/>
              </w:rPr>
              <w:t>Kapitał obrotowy netto w relacji do aktywów.</w:t>
            </w:r>
          </w:p>
        </w:tc>
      </w:tr>
      <w:tr w:rsidR="003F0521" w14:paraId="79519B4B" w14:textId="77777777">
        <w:trPr>
          <w:cantSplit/>
          <w:jc w:val="center"/>
        </w:trPr>
        <w:tc>
          <w:tcPr>
            <w:tcW w:w="2291" w:type="dxa"/>
            <w:vAlign w:val="center"/>
          </w:tcPr>
          <w:p w14:paraId="5D40F87B" w14:textId="77777777" w:rsidR="003F0521" w:rsidRDefault="00000000">
            <w:r>
              <w:rPr>
                <w:sz w:val="17"/>
              </w:rPr>
              <w:t>accruals_to_assets_t</w:t>
            </w:r>
          </w:p>
        </w:tc>
        <w:tc>
          <w:tcPr>
            <w:tcW w:w="2837" w:type="dxa"/>
            <w:vAlign w:val="center"/>
          </w:tcPr>
          <w:p w14:paraId="208972E2" w14:textId="77777777" w:rsidR="003F0521" w:rsidRPr="00284ADC" w:rsidRDefault="00000000">
            <w:pPr>
              <w:rPr>
                <w:lang w:val="en-US"/>
              </w:rPr>
            </w:pPr>
            <w:r w:rsidRPr="00284ADC">
              <w:rPr>
                <w:sz w:val="17"/>
                <w:lang w:val="en-US"/>
              </w:rPr>
              <w:t>(</w:t>
            </w:r>
            <w:proofErr w:type="spellStart"/>
            <w:r w:rsidRPr="00284ADC">
              <w:rPr>
                <w:sz w:val="17"/>
                <w:lang w:val="en-US"/>
              </w:rPr>
              <w:t>net_income</w:t>
            </w:r>
            <w:proofErr w:type="spellEnd"/>
            <w:r w:rsidRPr="00284ADC">
              <w:rPr>
                <w:sz w:val="17"/>
                <w:lang w:val="en-US"/>
              </w:rPr>
              <w:t xml:space="preserve">ₜ − </w:t>
            </w:r>
            <w:proofErr w:type="spellStart"/>
            <w:r w:rsidRPr="00284ADC">
              <w:rPr>
                <w:sz w:val="17"/>
                <w:lang w:val="en-US"/>
              </w:rPr>
              <w:t>operating_cash_flow</w:t>
            </w:r>
            <w:proofErr w:type="spellEnd"/>
            <w:r w:rsidRPr="00284ADC">
              <w:rPr>
                <w:sz w:val="17"/>
                <w:lang w:val="en-US"/>
              </w:rPr>
              <w:t>ₜ) / assetsₜ</w:t>
            </w:r>
          </w:p>
        </w:tc>
        <w:tc>
          <w:tcPr>
            <w:tcW w:w="3055" w:type="dxa"/>
            <w:vAlign w:val="center"/>
          </w:tcPr>
          <w:p w14:paraId="540906AA" w14:textId="77777777" w:rsidR="003F0521" w:rsidRDefault="00000000">
            <w:r>
              <w:rPr>
                <w:sz w:val="17"/>
              </w:rPr>
              <w:t>Różnica wyniku i OCF, skalowana aktywami.</w:t>
            </w:r>
          </w:p>
        </w:tc>
      </w:tr>
    </w:tbl>
    <w:p w14:paraId="4ABF8FE5" w14:textId="77777777" w:rsidR="003F0521" w:rsidRDefault="00000000">
      <w:pPr>
        <w:pStyle w:val="rdotabeli"/>
      </w:pPr>
      <w:r>
        <w:rPr>
          <w:color w:val="000000"/>
          <w:szCs w:val="18"/>
        </w:rPr>
        <w:t>Źródło: opracowanie własne na podstawie docs/06_2_raw_point_in_time_x_t_v1_frozen_specification.md.</w:t>
      </w:r>
    </w:p>
    <w:p w14:paraId="32002394" w14:textId="77777777" w:rsidR="003F0521" w:rsidRDefault="00000000">
      <w:pPr>
        <w:spacing w:after="0" w:line="360" w:lineRule="auto"/>
        <w:ind w:firstLine="709"/>
        <w:jc w:val="both"/>
      </w:pPr>
      <w:r>
        <w:rPr>
          <w:b/>
        </w:rPr>
        <w:t xml:space="preserve">Blok D – roczne zmiany. </w:t>
      </w:r>
      <w:r>
        <w:t>Drugi blok rozszerza poziomy o pięć cech dynamicznych. Indeks t − 1 nie oznacza wartości pobranej z oddzielnego, starszego pliku SEC. Jest to wartość porównawcza pokazana obok wartości t w tym samym anchor accession 10-K za rok t. Takie rozwiązanie ogranicza mieszanie różnych wersji danych, zmian taksonomii i późniejszych przekształceń. Cecha jest dostępna tylko wtedy, gdy obie strony porównania mają zgodną definicję ekonomiczną i prawidłowe roczne konteksty.</w:t>
      </w:r>
    </w:p>
    <w:p w14:paraId="4A61A102" w14:textId="77777777" w:rsidR="003F0521" w:rsidRDefault="00000000">
      <w:pPr>
        <w:pStyle w:val="Podpistabeli"/>
        <w:keepLines/>
      </w:pPr>
      <w:r>
        <w:rPr>
          <w:color w:val="000000"/>
          <w:szCs w:val="20"/>
        </w:rPr>
        <w:t>Tabela 4.</w:t>
      </w:r>
      <w:fldSimple w:instr=" SEQ Tabela \* ARABIC ">
        <w:r>
          <w:rPr>
            <w:color w:val="000000"/>
            <w:szCs w:val="20"/>
          </w:rPr>
          <w:t>9</w:t>
        </w:r>
      </w:fldSimple>
      <w:r>
        <w:rPr>
          <w:color w:val="000000"/>
          <w:szCs w:val="20"/>
        </w:rPr>
        <w:t>. Cechy bloku D – roczne zmiany</w:t>
      </w:r>
    </w:p>
    <w:tbl>
      <w:tblPr>
        <w:tblStyle w:val="TableGrid"/>
        <w:tblW w:w="8504" w:type="dxa"/>
        <w:jc w:val="center"/>
        <w:tblLayout w:type="fixed"/>
        <w:tblLook w:val="04A0" w:firstRow="1" w:lastRow="0" w:firstColumn="1" w:lastColumn="0" w:noHBand="0" w:noVBand="1"/>
      </w:tblPr>
      <w:tblGrid>
        <w:gridCol w:w="2608"/>
        <w:gridCol w:w="2835"/>
        <w:gridCol w:w="3061"/>
      </w:tblGrid>
      <w:tr w:rsidR="003F0521" w14:paraId="1C84F991" w14:textId="77777777">
        <w:trPr>
          <w:cantSplit/>
          <w:tblHeader/>
          <w:jc w:val="center"/>
        </w:trPr>
        <w:tc>
          <w:tcPr>
            <w:tcW w:w="2509" w:type="dxa"/>
            <w:shd w:val="clear" w:color="auto" w:fill="D9E1F2"/>
            <w:vAlign w:val="center"/>
          </w:tcPr>
          <w:p w14:paraId="1E6AA511" w14:textId="77777777" w:rsidR="003F0521" w:rsidRDefault="00000000">
            <w:r>
              <w:rPr>
                <w:b/>
                <w:sz w:val="17"/>
              </w:rPr>
              <w:t>Cecha</w:t>
            </w:r>
          </w:p>
        </w:tc>
        <w:tc>
          <w:tcPr>
            <w:tcW w:w="2728" w:type="dxa"/>
            <w:shd w:val="clear" w:color="auto" w:fill="D9E1F2"/>
            <w:vAlign w:val="center"/>
          </w:tcPr>
          <w:p w14:paraId="7C4B40C2" w14:textId="77777777" w:rsidR="003F0521" w:rsidRDefault="00000000">
            <w:r>
              <w:rPr>
                <w:b/>
                <w:sz w:val="17"/>
              </w:rPr>
              <w:t>Definicja</w:t>
            </w:r>
          </w:p>
        </w:tc>
        <w:tc>
          <w:tcPr>
            <w:tcW w:w="2945" w:type="dxa"/>
            <w:shd w:val="clear" w:color="auto" w:fill="D9E1F2"/>
            <w:vAlign w:val="center"/>
          </w:tcPr>
          <w:p w14:paraId="6E004C88" w14:textId="77777777" w:rsidR="003F0521" w:rsidRDefault="00000000">
            <w:r>
              <w:rPr>
                <w:b/>
                <w:sz w:val="17"/>
              </w:rPr>
              <w:t>Interpretacja</w:t>
            </w:r>
          </w:p>
        </w:tc>
      </w:tr>
      <w:tr w:rsidR="003F0521" w14:paraId="29D00156" w14:textId="77777777">
        <w:trPr>
          <w:cantSplit/>
          <w:jc w:val="center"/>
        </w:trPr>
        <w:tc>
          <w:tcPr>
            <w:tcW w:w="2509" w:type="dxa"/>
            <w:vAlign w:val="center"/>
          </w:tcPr>
          <w:p w14:paraId="3466E267" w14:textId="77777777" w:rsidR="003F0521" w:rsidRDefault="00000000">
            <w:r>
              <w:rPr>
                <w:sz w:val="17"/>
              </w:rPr>
              <w:t>asset_growth_1y</w:t>
            </w:r>
          </w:p>
        </w:tc>
        <w:tc>
          <w:tcPr>
            <w:tcW w:w="2728" w:type="dxa"/>
            <w:vAlign w:val="center"/>
          </w:tcPr>
          <w:p w14:paraId="6A086221" w14:textId="77777777" w:rsidR="003F0521" w:rsidRDefault="00000000">
            <w:r>
              <w:rPr>
                <w:sz w:val="17"/>
              </w:rPr>
              <w:t>assetsₜ / assetsₜ₋₁ − 1</w:t>
            </w:r>
          </w:p>
        </w:tc>
        <w:tc>
          <w:tcPr>
            <w:tcW w:w="2945" w:type="dxa"/>
            <w:vAlign w:val="center"/>
          </w:tcPr>
          <w:p w14:paraId="5EA98E96" w14:textId="77777777" w:rsidR="003F0521" w:rsidRDefault="00000000">
            <w:r>
              <w:rPr>
                <w:sz w:val="17"/>
              </w:rPr>
              <w:t>Roczna względna zmiana skali aktywów.</w:t>
            </w:r>
          </w:p>
        </w:tc>
      </w:tr>
      <w:tr w:rsidR="003F0521" w14:paraId="4A5D1760" w14:textId="77777777">
        <w:trPr>
          <w:cantSplit/>
          <w:jc w:val="center"/>
        </w:trPr>
        <w:tc>
          <w:tcPr>
            <w:tcW w:w="2509" w:type="dxa"/>
            <w:vAlign w:val="center"/>
          </w:tcPr>
          <w:p w14:paraId="2BD008D9" w14:textId="77777777" w:rsidR="003F0521" w:rsidRDefault="00000000">
            <w:r>
              <w:rPr>
                <w:sz w:val="17"/>
              </w:rPr>
              <w:t>delta_roa_1y</w:t>
            </w:r>
          </w:p>
        </w:tc>
        <w:tc>
          <w:tcPr>
            <w:tcW w:w="2728" w:type="dxa"/>
            <w:vAlign w:val="center"/>
          </w:tcPr>
          <w:p w14:paraId="66F0470B" w14:textId="77777777" w:rsidR="003F0521" w:rsidRDefault="00000000">
            <w:r>
              <w:rPr>
                <w:sz w:val="17"/>
              </w:rPr>
              <w:t>roaₜ − roaₜ₋₁</w:t>
            </w:r>
          </w:p>
        </w:tc>
        <w:tc>
          <w:tcPr>
            <w:tcW w:w="2945" w:type="dxa"/>
            <w:vAlign w:val="center"/>
          </w:tcPr>
          <w:p w14:paraId="2AE26583" w14:textId="77777777" w:rsidR="003F0521" w:rsidRDefault="00000000">
            <w:r>
              <w:rPr>
                <w:sz w:val="17"/>
              </w:rPr>
              <w:t>Zmiana rentowności aktywów w punktach wskaźnika.</w:t>
            </w:r>
          </w:p>
        </w:tc>
      </w:tr>
      <w:tr w:rsidR="003F0521" w14:paraId="21796FD1" w14:textId="77777777">
        <w:trPr>
          <w:cantSplit/>
          <w:jc w:val="center"/>
        </w:trPr>
        <w:tc>
          <w:tcPr>
            <w:tcW w:w="2509" w:type="dxa"/>
            <w:vAlign w:val="center"/>
          </w:tcPr>
          <w:p w14:paraId="70568DF9" w14:textId="77777777" w:rsidR="003F0521" w:rsidRPr="00284ADC" w:rsidRDefault="00000000">
            <w:pPr>
              <w:rPr>
                <w:lang w:val="nb-NO"/>
              </w:rPr>
            </w:pPr>
            <w:r w:rsidRPr="00284ADC">
              <w:rPr>
                <w:sz w:val="17"/>
                <w:lang w:val="nb-NO"/>
              </w:rPr>
              <w:t>delta_ocf_to_assets_1y</w:t>
            </w:r>
          </w:p>
        </w:tc>
        <w:tc>
          <w:tcPr>
            <w:tcW w:w="2728" w:type="dxa"/>
            <w:vAlign w:val="center"/>
          </w:tcPr>
          <w:p w14:paraId="439169F7" w14:textId="77777777" w:rsidR="003F0521" w:rsidRPr="00284ADC" w:rsidRDefault="00000000">
            <w:pPr>
              <w:rPr>
                <w:lang w:val="en-US"/>
              </w:rPr>
            </w:pPr>
            <w:proofErr w:type="spellStart"/>
            <w:r w:rsidRPr="00284ADC">
              <w:rPr>
                <w:sz w:val="17"/>
                <w:lang w:val="en-US"/>
              </w:rPr>
              <w:t>ocf_to_assets</w:t>
            </w:r>
            <w:proofErr w:type="spellEnd"/>
            <w:r w:rsidRPr="00284ADC">
              <w:rPr>
                <w:sz w:val="17"/>
                <w:lang w:val="en-US"/>
              </w:rPr>
              <w:t xml:space="preserve">ₜ − </w:t>
            </w:r>
            <w:proofErr w:type="spellStart"/>
            <w:r w:rsidRPr="00284ADC">
              <w:rPr>
                <w:sz w:val="17"/>
                <w:lang w:val="en-US"/>
              </w:rPr>
              <w:t>ocf_to_assets</w:t>
            </w:r>
            <w:proofErr w:type="spellEnd"/>
            <w:r w:rsidRPr="00284ADC">
              <w:rPr>
                <w:sz w:val="17"/>
                <w:lang w:val="en-US"/>
              </w:rPr>
              <w:t>ₜ₋₁</w:t>
            </w:r>
          </w:p>
        </w:tc>
        <w:tc>
          <w:tcPr>
            <w:tcW w:w="2945" w:type="dxa"/>
            <w:vAlign w:val="center"/>
          </w:tcPr>
          <w:p w14:paraId="3C9B00C6" w14:textId="77777777" w:rsidR="003F0521" w:rsidRDefault="00000000">
            <w:r>
              <w:rPr>
                <w:sz w:val="17"/>
              </w:rPr>
              <w:t>Zmiana zdolności aktywów do generowania gotówki.</w:t>
            </w:r>
          </w:p>
        </w:tc>
      </w:tr>
      <w:tr w:rsidR="003F0521" w14:paraId="5666486A" w14:textId="77777777">
        <w:trPr>
          <w:cantSplit/>
          <w:jc w:val="center"/>
        </w:trPr>
        <w:tc>
          <w:tcPr>
            <w:tcW w:w="2509" w:type="dxa"/>
            <w:vAlign w:val="center"/>
          </w:tcPr>
          <w:p w14:paraId="4AC36E21" w14:textId="77777777" w:rsidR="003F0521" w:rsidRDefault="00000000">
            <w:r>
              <w:rPr>
                <w:sz w:val="17"/>
              </w:rPr>
              <w:t>current_ratio_change_1y</w:t>
            </w:r>
          </w:p>
        </w:tc>
        <w:tc>
          <w:tcPr>
            <w:tcW w:w="2728" w:type="dxa"/>
            <w:vAlign w:val="center"/>
          </w:tcPr>
          <w:p w14:paraId="4664D396" w14:textId="77777777" w:rsidR="003F0521" w:rsidRDefault="00000000">
            <w:r>
              <w:rPr>
                <w:sz w:val="17"/>
              </w:rPr>
              <w:t>current_ratioₜ / current_ratioₜ₋₁ − 1</w:t>
            </w:r>
          </w:p>
        </w:tc>
        <w:tc>
          <w:tcPr>
            <w:tcW w:w="2945" w:type="dxa"/>
            <w:vAlign w:val="center"/>
          </w:tcPr>
          <w:p w14:paraId="2515F50A" w14:textId="77777777" w:rsidR="003F0521" w:rsidRDefault="00000000">
            <w:r>
              <w:rPr>
                <w:sz w:val="17"/>
              </w:rPr>
              <w:t>Względna zmiana płynności bieżącej.</w:t>
            </w:r>
          </w:p>
        </w:tc>
      </w:tr>
      <w:tr w:rsidR="003F0521" w14:paraId="7E801A8D" w14:textId="77777777">
        <w:trPr>
          <w:cantSplit/>
          <w:jc w:val="center"/>
        </w:trPr>
        <w:tc>
          <w:tcPr>
            <w:tcW w:w="2509" w:type="dxa"/>
            <w:vAlign w:val="center"/>
          </w:tcPr>
          <w:p w14:paraId="2CF4E4CC" w14:textId="77777777" w:rsidR="003F0521" w:rsidRDefault="00000000">
            <w:r>
              <w:rPr>
                <w:sz w:val="17"/>
              </w:rPr>
              <w:t>delta_liabilities_to_assets_1y</w:t>
            </w:r>
          </w:p>
        </w:tc>
        <w:tc>
          <w:tcPr>
            <w:tcW w:w="2728" w:type="dxa"/>
            <w:vAlign w:val="center"/>
          </w:tcPr>
          <w:p w14:paraId="49FA3B3A" w14:textId="77777777" w:rsidR="003F0521" w:rsidRPr="00284ADC" w:rsidRDefault="00000000">
            <w:pPr>
              <w:rPr>
                <w:lang w:val="en-US"/>
              </w:rPr>
            </w:pPr>
            <w:proofErr w:type="spellStart"/>
            <w:r w:rsidRPr="00284ADC">
              <w:rPr>
                <w:sz w:val="17"/>
                <w:lang w:val="en-US"/>
              </w:rPr>
              <w:t>liabilities_to_assets</w:t>
            </w:r>
            <w:proofErr w:type="spellEnd"/>
            <w:r w:rsidRPr="00284ADC">
              <w:rPr>
                <w:sz w:val="17"/>
                <w:lang w:val="en-US"/>
              </w:rPr>
              <w:t xml:space="preserve">ₜ − </w:t>
            </w:r>
            <w:proofErr w:type="spellStart"/>
            <w:r w:rsidRPr="00284ADC">
              <w:rPr>
                <w:sz w:val="17"/>
                <w:lang w:val="en-US"/>
              </w:rPr>
              <w:t>liabilities_to_assets</w:t>
            </w:r>
            <w:proofErr w:type="spellEnd"/>
            <w:r w:rsidRPr="00284ADC">
              <w:rPr>
                <w:sz w:val="17"/>
                <w:lang w:val="en-US"/>
              </w:rPr>
              <w:t>ₜ₋₁</w:t>
            </w:r>
          </w:p>
        </w:tc>
        <w:tc>
          <w:tcPr>
            <w:tcW w:w="2945" w:type="dxa"/>
            <w:vAlign w:val="center"/>
          </w:tcPr>
          <w:p w14:paraId="1FBF0719" w14:textId="77777777" w:rsidR="003F0521" w:rsidRDefault="00000000">
            <w:r>
              <w:rPr>
                <w:sz w:val="17"/>
              </w:rPr>
              <w:t>Zmiana udziału zobowiązań w aktywach.</w:t>
            </w:r>
          </w:p>
        </w:tc>
      </w:tr>
    </w:tbl>
    <w:p w14:paraId="13879693" w14:textId="77777777" w:rsidR="003F0521" w:rsidRDefault="00000000">
      <w:pPr>
        <w:pStyle w:val="rdotabeli"/>
      </w:pPr>
      <w:r>
        <w:rPr>
          <w:color w:val="000000"/>
          <w:szCs w:val="18"/>
        </w:rPr>
        <w:t>Źródło: opracowanie własne na podstawie zamrożonego Xₜ v1.0.0; t − 1 oznacza wartość porównawczą z tego samego accession.</w:t>
      </w:r>
    </w:p>
    <w:p w14:paraId="53A848E9" w14:textId="77777777" w:rsidR="003F0521" w:rsidRDefault="00000000">
      <w:pPr>
        <w:spacing w:after="0" w:line="360" w:lineRule="auto"/>
        <w:ind w:firstLine="709"/>
        <w:jc w:val="both"/>
      </w:pPr>
      <w:r>
        <w:rPr>
          <w:b/>
        </w:rPr>
        <w:t xml:space="preserve">Blok R – moduł przychodowy. </w:t>
      </w:r>
      <w:r>
        <w:t xml:space="preserve">Trzeci blok dodaje pięć cech związanych z przychodami. Został wydzielony, ponieważ revenues są szczególnie podatne na różnice taksonomii oraz prezentację pozycji segmentowych, produktowych i usługowych. Wartość jest uznawana wyłącznie wtedy, gdy konserwatywny resolver potwierdzi skonsolidowaną roczną pozycję na podstawowym rachunku wyników. W przeciwnym razie cechy zależne od przychodów pozostają missing lub not_computable. Modułowe </w:t>
      </w:r>
      <w:r>
        <w:lastRenderedPageBreak/>
        <w:t>włączenie R pozwala porównać, czy dodatkowa informacja o skali sprzedaży, marżach i dynamice poprawia wynik względem bardziej stabilnego rdzenia L+D.</w:t>
      </w:r>
    </w:p>
    <w:p w14:paraId="7A0205BB" w14:textId="77777777" w:rsidR="003F0521" w:rsidRDefault="00000000">
      <w:pPr>
        <w:pStyle w:val="Podpistabeli"/>
        <w:keepLines/>
      </w:pPr>
      <w:r>
        <w:rPr>
          <w:color w:val="000000"/>
          <w:szCs w:val="20"/>
        </w:rPr>
        <w:t>Tabela 4.</w:t>
      </w:r>
      <w:fldSimple w:instr=" SEQ Tabela \* ARABIC ">
        <w:r>
          <w:rPr>
            <w:color w:val="000000"/>
            <w:szCs w:val="20"/>
          </w:rPr>
          <w:t>10</w:t>
        </w:r>
      </w:fldSimple>
      <w:r>
        <w:rPr>
          <w:color w:val="000000"/>
          <w:szCs w:val="20"/>
        </w:rPr>
        <w:t>. Cechy bloku R – moduł przychodowy</w:t>
      </w:r>
    </w:p>
    <w:tbl>
      <w:tblPr>
        <w:tblStyle w:val="TableGrid"/>
        <w:tblW w:w="8504" w:type="dxa"/>
        <w:jc w:val="center"/>
        <w:tblLayout w:type="fixed"/>
        <w:tblLook w:val="04A0" w:firstRow="1" w:lastRow="0" w:firstColumn="1" w:lastColumn="0" w:noHBand="0" w:noVBand="1"/>
      </w:tblPr>
      <w:tblGrid>
        <w:gridCol w:w="2324"/>
        <w:gridCol w:w="2835"/>
        <w:gridCol w:w="3345"/>
      </w:tblGrid>
      <w:tr w:rsidR="003F0521" w14:paraId="178E312D" w14:textId="77777777">
        <w:trPr>
          <w:cantSplit/>
          <w:tblHeader/>
          <w:jc w:val="center"/>
        </w:trPr>
        <w:tc>
          <w:tcPr>
            <w:tcW w:w="2236" w:type="dxa"/>
            <w:shd w:val="clear" w:color="auto" w:fill="D9E1F2"/>
            <w:vAlign w:val="center"/>
          </w:tcPr>
          <w:p w14:paraId="3AA2D723" w14:textId="77777777" w:rsidR="003F0521" w:rsidRDefault="00000000">
            <w:r>
              <w:rPr>
                <w:b/>
                <w:sz w:val="17"/>
              </w:rPr>
              <w:t>Cecha</w:t>
            </w:r>
          </w:p>
        </w:tc>
        <w:tc>
          <w:tcPr>
            <w:tcW w:w="2728" w:type="dxa"/>
            <w:shd w:val="clear" w:color="auto" w:fill="D9E1F2"/>
            <w:vAlign w:val="center"/>
          </w:tcPr>
          <w:p w14:paraId="14242B77" w14:textId="77777777" w:rsidR="003F0521" w:rsidRDefault="00000000">
            <w:r>
              <w:rPr>
                <w:b/>
                <w:sz w:val="17"/>
              </w:rPr>
              <w:t>Definicja</w:t>
            </w:r>
          </w:p>
        </w:tc>
        <w:tc>
          <w:tcPr>
            <w:tcW w:w="3219" w:type="dxa"/>
            <w:shd w:val="clear" w:color="auto" w:fill="D9E1F2"/>
            <w:vAlign w:val="center"/>
          </w:tcPr>
          <w:p w14:paraId="4AA42E3A" w14:textId="77777777" w:rsidR="003F0521" w:rsidRDefault="00000000">
            <w:r>
              <w:rPr>
                <w:b/>
                <w:sz w:val="17"/>
              </w:rPr>
              <w:t>Interpretacja</w:t>
            </w:r>
          </w:p>
        </w:tc>
      </w:tr>
      <w:tr w:rsidR="003F0521" w14:paraId="1144606F" w14:textId="77777777">
        <w:trPr>
          <w:cantSplit/>
          <w:jc w:val="center"/>
        </w:trPr>
        <w:tc>
          <w:tcPr>
            <w:tcW w:w="2236" w:type="dxa"/>
            <w:vAlign w:val="center"/>
          </w:tcPr>
          <w:p w14:paraId="4501577A" w14:textId="77777777" w:rsidR="003F0521" w:rsidRDefault="00000000">
            <w:r>
              <w:rPr>
                <w:sz w:val="17"/>
              </w:rPr>
              <w:t>log1p_revenues_t</w:t>
            </w:r>
          </w:p>
        </w:tc>
        <w:tc>
          <w:tcPr>
            <w:tcW w:w="2728" w:type="dxa"/>
            <w:vAlign w:val="center"/>
          </w:tcPr>
          <w:p w14:paraId="5F85ABC6" w14:textId="77777777" w:rsidR="003F0521" w:rsidRDefault="00000000">
            <w:r>
              <w:rPr>
                <w:sz w:val="17"/>
              </w:rPr>
              <w:t>ln(1 + revenuesₜ), gdy revenuesₜ ≥ 0</w:t>
            </w:r>
          </w:p>
        </w:tc>
        <w:tc>
          <w:tcPr>
            <w:tcW w:w="3219" w:type="dxa"/>
            <w:vAlign w:val="center"/>
          </w:tcPr>
          <w:p w14:paraId="261BBD92" w14:textId="77777777" w:rsidR="003F0521" w:rsidRDefault="00000000">
            <w:r>
              <w:rPr>
                <w:sz w:val="17"/>
              </w:rPr>
              <w:t>Logarytmiczna skala przychodów; domena obejmuje zero.</w:t>
            </w:r>
          </w:p>
        </w:tc>
      </w:tr>
      <w:tr w:rsidR="003F0521" w14:paraId="1112AD6B" w14:textId="77777777">
        <w:trPr>
          <w:cantSplit/>
          <w:jc w:val="center"/>
        </w:trPr>
        <w:tc>
          <w:tcPr>
            <w:tcW w:w="2236" w:type="dxa"/>
            <w:vAlign w:val="center"/>
          </w:tcPr>
          <w:p w14:paraId="0734465D" w14:textId="77777777" w:rsidR="003F0521" w:rsidRDefault="00000000">
            <w:r>
              <w:rPr>
                <w:sz w:val="17"/>
              </w:rPr>
              <w:t>profit_margin_t</w:t>
            </w:r>
          </w:p>
        </w:tc>
        <w:tc>
          <w:tcPr>
            <w:tcW w:w="2728" w:type="dxa"/>
            <w:vAlign w:val="center"/>
          </w:tcPr>
          <w:p w14:paraId="7B7C0E8F" w14:textId="77777777" w:rsidR="003F0521" w:rsidRDefault="00000000">
            <w:r>
              <w:rPr>
                <w:sz w:val="17"/>
              </w:rPr>
              <w:t>net_incomeₜ / revenuesₜ</w:t>
            </w:r>
          </w:p>
        </w:tc>
        <w:tc>
          <w:tcPr>
            <w:tcW w:w="3219" w:type="dxa"/>
            <w:vAlign w:val="center"/>
          </w:tcPr>
          <w:p w14:paraId="61478DAA" w14:textId="77777777" w:rsidR="003F0521" w:rsidRDefault="00000000">
            <w:r>
              <w:rPr>
                <w:sz w:val="17"/>
              </w:rPr>
              <w:t>Marża wyniku netto.</w:t>
            </w:r>
          </w:p>
        </w:tc>
      </w:tr>
      <w:tr w:rsidR="003F0521" w14:paraId="15DB223B" w14:textId="77777777">
        <w:trPr>
          <w:cantSplit/>
          <w:jc w:val="center"/>
        </w:trPr>
        <w:tc>
          <w:tcPr>
            <w:tcW w:w="2236" w:type="dxa"/>
            <w:vAlign w:val="center"/>
          </w:tcPr>
          <w:p w14:paraId="1493A29D" w14:textId="77777777" w:rsidR="003F0521" w:rsidRDefault="00000000">
            <w:r>
              <w:rPr>
                <w:sz w:val="17"/>
              </w:rPr>
              <w:t>ocf_margin_t</w:t>
            </w:r>
          </w:p>
        </w:tc>
        <w:tc>
          <w:tcPr>
            <w:tcW w:w="2728" w:type="dxa"/>
            <w:vAlign w:val="center"/>
          </w:tcPr>
          <w:p w14:paraId="7ED2121C" w14:textId="77777777" w:rsidR="003F0521" w:rsidRDefault="00000000">
            <w:r>
              <w:rPr>
                <w:sz w:val="17"/>
              </w:rPr>
              <w:t>operating_cash_flowₜ / revenuesₜ</w:t>
            </w:r>
          </w:p>
        </w:tc>
        <w:tc>
          <w:tcPr>
            <w:tcW w:w="3219" w:type="dxa"/>
            <w:vAlign w:val="center"/>
          </w:tcPr>
          <w:p w14:paraId="5C0DBB66" w14:textId="77777777" w:rsidR="003F0521" w:rsidRDefault="00000000">
            <w:r>
              <w:rPr>
                <w:sz w:val="17"/>
              </w:rPr>
              <w:t>Marża przepływów operacyjnych.</w:t>
            </w:r>
          </w:p>
        </w:tc>
      </w:tr>
      <w:tr w:rsidR="003F0521" w14:paraId="68787418" w14:textId="77777777">
        <w:trPr>
          <w:cantSplit/>
          <w:jc w:val="center"/>
        </w:trPr>
        <w:tc>
          <w:tcPr>
            <w:tcW w:w="2236" w:type="dxa"/>
            <w:vAlign w:val="center"/>
          </w:tcPr>
          <w:p w14:paraId="12BCF3AC" w14:textId="77777777" w:rsidR="003F0521" w:rsidRDefault="00000000">
            <w:r>
              <w:rPr>
                <w:sz w:val="17"/>
              </w:rPr>
              <w:t>asset_turnover_t</w:t>
            </w:r>
          </w:p>
        </w:tc>
        <w:tc>
          <w:tcPr>
            <w:tcW w:w="2728" w:type="dxa"/>
            <w:vAlign w:val="center"/>
          </w:tcPr>
          <w:p w14:paraId="75DCD6D6" w14:textId="77777777" w:rsidR="003F0521" w:rsidRDefault="00000000">
            <w:r>
              <w:rPr>
                <w:sz w:val="17"/>
              </w:rPr>
              <w:t>revenuesₜ / assetsₜ</w:t>
            </w:r>
          </w:p>
        </w:tc>
        <w:tc>
          <w:tcPr>
            <w:tcW w:w="3219" w:type="dxa"/>
            <w:vAlign w:val="center"/>
          </w:tcPr>
          <w:p w14:paraId="342AC947" w14:textId="77777777" w:rsidR="003F0521" w:rsidRDefault="00000000">
            <w:r>
              <w:rPr>
                <w:sz w:val="17"/>
              </w:rPr>
              <w:t>Efektywność wykorzystania aktywów do generowania sprzedaży.</w:t>
            </w:r>
          </w:p>
        </w:tc>
      </w:tr>
      <w:tr w:rsidR="003F0521" w14:paraId="36A5CD3E" w14:textId="77777777">
        <w:trPr>
          <w:cantSplit/>
          <w:jc w:val="center"/>
        </w:trPr>
        <w:tc>
          <w:tcPr>
            <w:tcW w:w="2236" w:type="dxa"/>
            <w:vAlign w:val="center"/>
          </w:tcPr>
          <w:p w14:paraId="700AAB9C" w14:textId="77777777" w:rsidR="003F0521" w:rsidRDefault="00000000">
            <w:r>
              <w:rPr>
                <w:sz w:val="17"/>
              </w:rPr>
              <w:t>revenue_growth_1y</w:t>
            </w:r>
          </w:p>
        </w:tc>
        <w:tc>
          <w:tcPr>
            <w:tcW w:w="2728" w:type="dxa"/>
            <w:vAlign w:val="center"/>
          </w:tcPr>
          <w:p w14:paraId="64667947" w14:textId="77777777" w:rsidR="003F0521" w:rsidRDefault="00000000">
            <w:r>
              <w:rPr>
                <w:sz w:val="17"/>
              </w:rPr>
              <w:t>revenuesₜ / revenuesₜ₋₁ − 1</w:t>
            </w:r>
          </w:p>
        </w:tc>
        <w:tc>
          <w:tcPr>
            <w:tcW w:w="3219" w:type="dxa"/>
            <w:vAlign w:val="center"/>
          </w:tcPr>
          <w:p w14:paraId="4A479181" w14:textId="77777777" w:rsidR="003F0521" w:rsidRDefault="00000000">
            <w:r>
              <w:rPr>
                <w:sz w:val="17"/>
              </w:rPr>
              <w:t>Roczna względna zmiana przychodów.</w:t>
            </w:r>
          </w:p>
        </w:tc>
      </w:tr>
    </w:tbl>
    <w:p w14:paraId="11BF9307" w14:textId="77777777" w:rsidR="003F0521" w:rsidRDefault="00000000">
      <w:pPr>
        <w:pStyle w:val="rdotabeli"/>
      </w:pPr>
      <w:r>
        <w:rPr>
          <w:color w:val="000000"/>
          <w:szCs w:val="18"/>
        </w:rPr>
        <w:t>Źródło: opracowanie własne na podstawie zamrożonego Xₜ v1.0.0 oraz konserwatywnego revenue resolvera.</w:t>
      </w:r>
    </w:p>
    <w:p w14:paraId="7D781C4D" w14:textId="77777777" w:rsidR="003F0521" w:rsidRDefault="00000000">
      <w:pPr>
        <w:spacing w:after="0" w:line="360" w:lineRule="auto"/>
        <w:ind w:firstLine="709"/>
        <w:jc w:val="both"/>
      </w:pPr>
      <w:r>
        <w:t>Prawidłowo raportowane ujemne przychody pozostają zachowane w informacjach o pochodzeniu danych, lecz cechy wymagające revenuesₜ ≥ 0 lub revenuesₜ &gt; 0 otrzymują status not_computable. Analogicznie brak dodatniego mianownika w ilorazie nie jest zastępowany małą stałą ani wartością arbitralną. Brak lub niejednoznaczność wielkości pierwotnej propaguje się do wszystkich cech zależnych. Zapobiega to pozornemu zwiększaniu kompletności kosztem zmiany znaczenia ekonomicznego zmiennej.</w:t>
      </w:r>
    </w:p>
    <w:p w14:paraId="03E2AEFC" w14:textId="77777777" w:rsidR="003F0521" w:rsidRDefault="00000000">
      <w:pPr>
        <w:spacing w:after="0" w:line="360" w:lineRule="auto"/>
        <w:ind w:firstLine="709"/>
        <w:jc w:val="both"/>
      </w:pPr>
      <w:r>
        <w:rPr>
          <w:b/>
        </w:rPr>
        <w:t xml:space="preserve">Zagnieżdżone porównania bloków. </w:t>
      </w:r>
      <w:r>
        <w:t>W głównym eksperymencie dopuszczono dokładnie trzy macierze cech: L, L+D oraz L+D+R. Zestawy są zagnieżdżone i używają tej samej głównej próby supervised; brak cechy z R nie usuwa obserwacji z wariantu L+D+R, ponieważ brak jest obsługiwany w przetwarzaniu wstępnym. Nie dopuszczono arbitralnych podzbiorów, selekcji pojedynczych wskaźników na podstawie korelacji z targetem ani wyboru bloku po obejrzeniu testu. Porównanie ma zatem interpretację inkrementalną: najpierw oceniany jest rdzeń poziomów, następnie wartość dodana dynamiki, a na końcu wartość dodana modułu przychodowego.</w:t>
      </w:r>
    </w:p>
    <w:p w14:paraId="2A5FBA83" w14:textId="77777777" w:rsidR="003F0521" w:rsidRDefault="00000000">
      <w:pPr>
        <w:spacing w:after="0" w:line="360" w:lineRule="auto"/>
        <w:ind w:firstLine="709"/>
        <w:jc w:val="both"/>
      </w:pPr>
      <w:r>
        <w:rPr>
          <w:b/>
        </w:rPr>
        <w:t xml:space="preserve">Statusy dostępności cech. </w:t>
      </w:r>
      <w:r>
        <w:t>Każda surowa cecha może mieć status available, missing, ambiguous, not_computable albo not_available_non_xbrl. Status available oznacza poprawną wartość liczbową. Missing wskazuje brak potrzebnego faktu, ambiguous – istnienie kilku nierozstrzygalnych kandydatów lub konflikt semantyczny, a not_computable – niespełnienie dziedziny formuły, na przykład niedodatni mianownik. Emitenci non-XBRL pozostają w surowym artefakcie, lecz nie tworzą macierzy finansowej. Żaden z tych statusów nie jest mapowany na wartość zero. Do głównej próby supervised wchodzi obserwacja spełniająca target_status = available oraz x_t_status ∈ {available_core, partially_available}; brak pojedynczych cech w takim wierszu nie powoduje jego usunięcia.</w:t>
      </w:r>
    </w:p>
    <w:p w14:paraId="3582F993" w14:textId="77777777" w:rsidR="003F0521" w:rsidRDefault="00000000">
      <w:pPr>
        <w:spacing w:after="0" w:line="360" w:lineRule="auto"/>
        <w:ind w:firstLine="709"/>
        <w:jc w:val="both"/>
      </w:pPr>
      <w:r>
        <w:rPr>
          <w:b/>
        </w:rPr>
        <w:lastRenderedPageBreak/>
        <w:t xml:space="preserve">Przetwarzanie wstępne C (preprocessing C). </w:t>
      </w:r>
      <w:r>
        <w:t>Przed dopasowaniem modelu surowe wartości przechodzą zamrożony wariant C. Oznaczenie C odnosi się do głównego pipeline’u obejmującego wskaźniki braków, natomiast wariant B jest analizą ablacyjną z identyczną winsoryzacją, imputacją i skalowaniem, lecz bez tych wskaźników. Dla każdego bloku i każdego zbioru uczącego, a w walidacji krzyżowej dla każdej części uczącej foldu, tworzona jest odrębna instancja transformera. Dla każdej cechy na skończonych, obserwowanych wartościach zbioru uczącego niezależnie wyznacza się kwantyle 0,01 i 0,99 oraz medianę. Następnie wartości spoza granic kwantylowych są winsoryzowane, a braki uzupełniane wcześniej wyznaczoną medianą. Po winsoryzacji i imputacji cechy finansowe są centrowane i skalowane przy użyciu średniej oraz populacyjnego odchylenia standardowego zbioru uczącego (ddof=0). Zbiory walidacyjne i późniejsze są wyłącznie transformowane; żadna ich statystyka nie wpływa na granice winsoryzacji, mediany, średnie ani skale.</w:t>
      </w:r>
      <w:r>
        <w:footnoteReference w:id="20"/>
      </w:r>
    </w:p>
    <w:p w14:paraId="7CAD48E7" w14:textId="77777777" w:rsidR="003F0521" w:rsidRDefault="00000000">
      <w:pPr>
        <w:spacing w:after="0" w:line="360" w:lineRule="auto"/>
        <w:ind w:firstLine="709"/>
        <w:jc w:val="both"/>
      </w:pPr>
      <w:r>
        <w:t>Równoległa gałąź tworzy jeden binarny wskaźnik braku dla każdej surowej cechy przed imputacją. Wskaźniki zachowują wartości 0/1, nie są winsoryzowane ani skalowane i są dołączane po wszystkich finansowych kolumnach danego bloku. Powstaje zatem stały schemat: blok L ma 7 cech finansowych i 7 wskaźników braków, L+D odpowiednio 12 i 12, a L+D+R – 17 i 17. Wskaźnik jest tworzony nawet wtedy, gdy w konkretnym foldzie dana cecha nie ma braków, co zapewnia identyczny porządek kolumn. Transformacja nie usuwa wierszy.</w:t>
      </w:r>
    </w:p>
    <w:p w14:paraId="1ED2B138" w14:textId="77777777" w:rsidR="003F0521" w:rsidRDefault="00000000">
      <w:pPr>
        <w:spacing w:after="0" w:line="360" w:lineRule="auto"/>
        <w:ind w:firstLine="709"/>
        <w:jc w:val="both"/>
      </w:pPr>
      <w:r>
        <w:rPr>
          <w:b/>
        </w:rPr>
        <w:t xml:space="preserve">Zachowanie fail-closed. </w:t>
      </w:r>
      <w:r>
        <w:t>Jeżeli w części uczącej dana cecha jest całkowicie brakująca, preprocessor przerywa dopasowanie, ponieważ nie istnieje empiryczna podstawa do wyznaczenia mediany ani parametrów skalowania. Przypadek ten jest odróżniany od cechy stałej lub prawie stałej. Takie cechy są raportowane diagnostycznie, nie są automatycznie odrzucane, a przy skali nie większej niż 10⁻¹² stosuje się skalę 1, aby zachować deterministyczny schemat. W implementacji cecha jest oznaczana jako prawie stała także wtedy, gdy udział wartości dominującej po imputacji wynosi co najmniej 99,5%.</w:t>
      </w:r>
    </w:p>
    <w:p w14:paraId="13E56905" w14:textId="77777777" w:rsidR="003F0521" w:rsidRDefault="00000000">
      <w:pPr>
        <w:pStyle w:val="Podpistabeli"/>
        <w:keepLines/>
      </w:pPr>
      <w:r>
        <w:rPr>
          <w:color w:val="000000"/>
          <w:szCs w:val="20"/>
        </w:rPr>
        <w:t>Tabela 4.</w:t>
      </w:r>
      <w:fldSimple w:instr=" SEQ Tabela \* ARABIC ">
        <w:r>
          <w:rPr>
            <w:color w:val="000000"/>
            <w:szCs w:val="20"/>
          </w:rPr>
          <w:t>11</w:t>
        </w:r>
      </w:fldSimple>
      <w:r>
        <w:rPr>
          <w:color w:val="000000"/>
          <w:szCs w:val="20"/>
        </w:rPr>
        <w:t>. Przetwarzanie wstępne i rozmiar macierzy wejściowych</w:t>
      </w:r>
    </w:p>
    <w:tbl>
      <w:tblPr>
        <w:tblStyle w:val="TableGrid"/>
        <w:tblW w:w="8504" w:type="dxa"/>
        <w:jc w:val="center"/>
        <w:tblLayout w:type="fixed"/>
        <w:tblLook w:val="04A0" w:firstRow="1" w:lastRow="0" w:firstColumn="1" w:lastColumn="0" w:noHBand="0" w:noVBand="1"/>
      </w:tblPr>
      <w:tblGrid>
        <w:gridCol w:w="794"/>
        <w:gridCol w:w="1474"/>
        <w:gridCol w:w="1361"/>
        <w:gridCol w:w="1587"/>
        <w:gridCol w:w="3288"/>
      </w:tblGrid>
      <w:tr w:rsidR="003F0521" w14:paraId="24C88968" w14:textId="77777777">
        <w:trPr>
          <w:cantSplit/>
          <w:tblHeader/>
          <w:jc w:val="center"/>
        </w:trPr>
        <w:tc>
          <w:tcPr>
            <w:tcW w:w="764" w:type="dxa"/>
            <w:shd w:val="clear" w:color="auto" w:fill="D9E1F2"/>
            <w:vAlign w:val="center"/>
          </w:tcPr>
          <w:p w14:paraId="62FA96B8" w14:textId="77777777" w:rsidR="003F0521" w:rsidRDefault="00000000">
            <w:pPr>
              <w:jc w:val="center"/>
            </w:pPr>
            <w:r>
              <w:rPr>
                <w:b/>
                <w:sz w:val="17"/>
              </w:rPr>
              <w:t>Blok</w:t>
            </w:r>
          </w:p>
        </w:tc>
        <w:tc>
          <w:tcPr>
            <w:tcW w:w="1418" w:type="dxa"/>
            <w:shd w:val="clear" w:color="auto" w:fill="D9E1F2"/>
            <w:vAlign w:val="center"/>
          </w:tcPr>
          <w:p w14:paraId="4274E9A2" w14:textId="77777777" w:rsidR="003F0521" w:rsidRDefault="00000000">
            <w:pPr>
              <w:jc w:val="center"/>
            </w:pPr>
            <w:r>
              <w:rPr>
                <w:b/>
                <w:sz w:val="17"/>
              </w:rPr>
              <w:t>Liczba cech finansowych</w:t>
            </w:r>
          </w:p>
        </w:tc>
        <w:tc>
          <w:tcPr>
            <w:tcW w:w="1309" w:type="dxa"/>
            <w:shd w:val="clear" w:color="auto" w:fill="D9E1F2"/>
            <w:vAlign w:val="center"/>
          </w:tcPr>
          <w:p w14:paraId="1A33CF0F" w14:textId="77777777" w:rsidR="003F0521" w:rsidRDefault="00000000">
            <w:pPr>
              <w:jc w:val="center"/>
            </w:pPr>
            <w:r>
              <w:rPr>
                <w:b/>
                <w:sz w:val="17"/>
              </w:rPr>
              <w:t>Wskaźniki braków</w:t>
            </w:r>
          </w:p>
        </w:tc>
        <w:tc>
          <w:tcPr>
            <w:tcW w:w="1527" w:type="dxa"/>
            <w:shd w:val="clear" w:color="auto" w:fill="D9E1F2"/>
            <w:vAlign w:val="center"/>
          </w:tcPr>
          <w:p w14:paraId="509B38CE" w14:textId="77777777" w:rsidR="003F0521" w:rsidRDefault="00000000">
            <w:pPr>
              <w:jc w:val="center"/>
            </w:pPr>
            <w:r>
              <w:rPr>
                <w:b/>
                <w:sz w:val="17"/>
              </w:rPr>
              <w:t>Łączny wymiar po przetwarzaniu</w:t>
            </w:r>
          </w:p>
        </w:tc>
        <w:tc>
          <w:tcPr>
            <w:tcW w:w="3163" w:type="dxa"/>
            <w:shd w:val="clear" w:color="auto" w:fill="D9E1F2"/>
            <w:vAlign w:val="center"/>
          </w:tcPr>
          <w:p w14:paraId="6DDF262D" w14:textId="77777777" w:rsidR="003F0521" w:rsidRDefault="00000000">
            <w:r>
              <w:rPr>
                <w:b/>
                <w:sz w:val="17"/>
              </w:rPr>
              <w:t>Kolejność kolumn</w:t>
            </w:r>
          </w:p>
        </w:tc>
      </w:tr>
      <w:tr w:rsidR="003F0521" w14:paraId="2DDB0E70" w14:textId="77777777">
        <w:trPr>
          <w:cantSplit/>
          <w:jc w:val="center"/>
        </w:trPr>
        <w:tc>
          <w:tcPr>
            <w:tcW w:w="764" w:type="dxa"/>
            <w:vAlign w:val="center"/>
          </w:tcPr>
          <w:p w14:paraId="3C4C1467" w14:textId="77777777" w:rsidR="003F0521" w:rsidRDefault="00000000">
            <w:pPr>
              <w:jc w:val="center"/>
            </w:pPr>
            <w:r>
              <w:rPr>
                <w:sz w:val="17"/>
              </w:rPr>
              <w:t>L</w:t>
            </w:r>
          </w:p>
        </w:tc>
        <w:tc>
          <w:tcPr>
            <w:tcW w:w="1418" w:type="dxa"/>
            <w:vAlign w:val="center"/>
          </w:tcPr>
          <w:p w14:paraId="4DB7810B" w14:textId="77777777" w:rsidR="003F0521" w:rsidRDefault="00000000">
            <w:pPr>
              <w:jc w:val="center"/>
            </w:pPr>
            <w:r>
              <w:rPr>
                <w:sz w:val="17"/>
              </w:rPr>
              <w:t>7</w:t>
            </w:r>
          </w:p>
        </w:tc>
        <w:tc>
          <w:tcPr>
            <w:tcW w:w="1309" w:type="dxa"/>
            <w:vAlign w:val="center"/>
          </w:tcPr>
          <w:p w14:paraId="13DE63BB" w14:textId="77777777" w:rsidR="003F0521" w:rsidRDefault="00000000">
            <w:pPr>
              <w:jc w:val="center"/>
            </w:pPr>
            <w:r>
              <w:rPr>
                <w:sz w:val="17"/>
              </w:rPr>
              <w:t>7</w:t>
            </w:r>
          </w:p>
        </w:tc>
        <w:tc>
          <w:tcPr>
            <w:tcW w:w="1527" w:type="dxa"/>
            <w:vAlign w:val="center"/>
          </w:tcPr>
          <w:p w14:paraId="55A4C384" w14:textId="77777777" w:rsidR="003F0521" w:rsidRDefault="00000000">
            <w:pPr>
              <w:jc w:val="center"/>
            </w:pPr>
            <w:r>
              <w:rPr>
                <w:sz w:val="17"/>
              </w:rPr>
              <w:t>14</w:t>
            </w:r>
          </w:p>
        </w:tc>
        <w:tc>
          <w:tcPr>
            <w:tcW w:w="3163" w:type="dxa"/>
            <w:vAlign w:val="center"/>
          </w:tcPr>
          <w:p w14:paraId="2CED7CD7" w14:textId="77777777" w:rsidR="003F0521" w:rsidRDefault="00000000">
            <w:r>
              <w:rPr>
                <w:sz w:val="17"/>
              </w:rPr>
              <w:t>7 cech L, następnie odpowiadające im wskaźniki braków</w:t>
            </w:r>
          </w:p>
        </w:tc>
      </w:tr>
      <w:tr w:rsidR="003F0521" w14:paraId="12F2AD35" w14:textId="77777777">
        <w:trPr>
          <w:cantSplit/>
          <w:jc w:val="center"/>
        </w:trPr>
        <w:tc>
          <w:tcPr>
            <w:tcW w:w="764" w:type="dxa"/>
            <w:vAlign w:val="center"/>
          </w:tcPr>
          <w:p w14:paraId="47C5995B" w14:textId="77777777" w:rsidR="003F0521" w:rsidRDefault="00000000">
            <w:pPr>
              <w:jc w:val="center"/>
            </w:pPr>
            <w:r>
              <w:rPr>
                <w:sz w:val="17"/>
              </w:rPr>
              <w:lastRenderedPageBreak/>
              <w:t>L+D</w:t>
            </w:r>
          </w:p>
        </w:tc>
        <w:tc>
          <w:tcPr>
            <w:tcW w:w="1418" w:type="dxa"/>
            <w:vAlign w:val="center"/>
          </w:tcPr>
          <w:p w14:paraId="02991A85" w14:textId="77777777" w:rsidR="003F0521" w:rsidRDefault="00000000">
            <w:pPr>
              <w:jc w:val="center"/>
            </w:pPr>
            <w:r>
              <w:rPr>
                <w:sz w:val="17"/>
              </w:rPr>
              <w:t>12</w:t>
            </w:r>
          </w:p>
        </w:tc>
        <w:tc>
          <w:tcPr>
            <w:tcW w:w="1309" w:type="dxa"/>
            <w:vAlign w:val="center"/>
          </w:tcPr>
          <w:p w14:paraId="469B075B" w14:textId="77777777" w:rsidR="003F0521" w:rsidRDefault="00000000">
            <w:pPr>
              <w:jc w:val="center"/>
            </w:pPr>
            <w:r>
              <w:rPr>
                <w:sz w:val="17"/>
              </w:rPr>
              <w:t>12</w:t>
            </w:r>
          </w:p>
        </w:tc>
        <w:tc>
          <w:tcPr>
            <w:tcW w:w="1527" w:type="dxa"/>
            <w:vAlign w:val="center"/>
          </w:tcPr>
          <w:p w14:paraId="4475F9E3" w14:textId="77777777" w:rsidR="003F0521" w:rsidRDefault="00000000">
            <w:pPr>
              <w:jc w:val="center"/>
            </w:pPr>
            <w:r>
              <w:rPr>
                <w:sz w:val="17"/>
              </w:rPr>
              <w:t>24</w:t>
            </w:r>
          </w:p>
        </w:tc>
        <w:tc>
          <w:tcPr>
            <w:tcW w:w="3163" w:type="dxa"/>
            <w:vAlign w:val="center"/>
          </w:tcPr>
          <w:p w14:paraId="7D006369" w14:textId="77777777" w:rsidR="003F0521" w:rsidRDefault="00000000">
            <w:r>
              <w:rPr>
                <w:sz w:val="17"/>
              </w:rPr>
              <w:t>L, D, następnie wskaźniki braków w tej samej kolejności</w:t>
            </w:r>
          </w:p>
        </w:tc>
      </w:tr>
      <w:tr w:rsidR="003F0521" w14:paraId="6AAD8E9C" w14:textId="77777777">
        <w:trPr>
          <w:cantSplit/>
          <w:jc w:val="center"/>
        </w:trPr>
        <w:tc>
          <w:tcPr>
            <w:tcW w:w="764" w:type="dxa"/>
            <w:vAlign w:val="center"/>
          </w:tcPr>
          <w:p w14:paraId="02EB79B0" w14:textId="77777777" w:rsidR="003F0521" w:rsidRDefault="00000000">
            <w:pPr>
              <w:jc w:val="center"/>
            </w:pPr>
            <w:r>
              <w:rPr>
                <w:sz w:val="17"/>
              </w:rPr>
              <w:t>L+D+R</w:t>
            </w:r>
          </w:p>
        </w:tc>
        <w:tc>
          <w:tcPr>
            <w:tcW w:w="1418" w:type="dxa"/>
            <w:vAlign w:val="center"/>
          </w:tcPr>
          <w:p w14:paraId="1EA80797" w14:textId="77777777" w:rsidR="003F0521" w:rsidRDefault="00000000">
            <w:pPr>
              <w:jc w:val="center"/>
            </w:pPr>
            <w:r>
              <w:rPr>
                <w:sz w:val="17"/>
              </w:rPr>
              <w:t>17</w:t>
            </w:r>
          </w:p>
        </w:tc>
        <w:tc>
          <w:tcPr>
            <w:tcW w:w="1309" w:type="dxa"/>
            <w:vAlign w:val="center"/>
          </w:tcPr>
          <w:p w14:paraId="2F37FD9B" w14:textId="77777777" w:rsidR="003F0521" w:rsidRDefault="00000000">
            <w:pPr>
              <w:jc w:val="center"/>
            </w:pPr>
            <w:r>
              <w:rPr>
                <w:sz w:val="17"/>
              </w:rPr>
              <w:t>17</w:t>
            </w:r>
          </w:p>
        </w:tc>
        <w:tc>
          <w:tcPr>
            <w:tcW w:w="1527" w:type="dxa"/>
            <w:vAlign w:val="center"/>
          </w:tcPr>
          <w:p w14:paraId="1208F44F" w14:textId="77777777" w:rsidR="003F0521" w:rsidRDefault="00000000">
            <w:pPr>
              <w:jc w:val="center"/>
            </w:pPr>
            <w:r>
              <w:rPr>
                <w:sz w:val="17"/>
              </w:rPr>
              <w:t>34</w:t>
            </w:r>
          </w:p>
        </w:tc>
        <w:tc>
          <w:tcPr>
            <w:tcW w:w="3163" w:type="dxa"/>
            <w:vAlign w:val="center"/>
          </w:tcPr>
          <w:p w14:paraId="7C913BBC" w14:textId="77777777" w:rsidR="003F0521" w:rsidRDefault="00000000">
            <w:r>
              <w:rPr>
                <w:sz w:val="17"/>
              </w:rPr>
              <w:t>L, D, R, następnie wskaźniki braków w tej samej kolejności</w:t>
            </w:r>
          </w:p>
        </w:tc>
      </w:tr>
    </w:tbl>
    <w:p w14:paraId="1F44E57E" w14:textId="77777777" w:rsidR="003F0521" w:rsidRDefault="00000000">
      <w:pPr>
        <w:pStyle w:val="rdotabeli"/>
      </w:pPr>
      <w:r>
        <w:rPr>
          <w:color w:val="000000"/>
          <w:szCs w:val="18"/>
        </w:rPr>
        <w:t>Źródło: opracowanie własne na podstawie supervised ML pipeline v1.3.0 oraz src/modeling/preprocessing.py.</w:t>
      </w:r>
    </w:p>
    <w:p w14:paraId="3124DF0D" w14:textId="77777777" w:rsidR="003F0521" w:rsidRDefault="00000000">
      <w:pPr>
        <w:spacing w:after="0" w:line="360" w:lineRule="auto"/>
        <w:ind w:firstLine="709"/>
        <w:jc w:val="both"/>
      </w:pPr>
      <w:r>
        <w:t>Wybór winsoryzacji i imputacji medianą ma ograniczać wpływ skrajnych wartości oraz umożliwić zachowanie częściowo dostępnych obserwacji bez wykorzystywania danych spoza części uczącej. Nie oznacza to założenia, że braki są losowe. Dlatego głównym wynikom towarzyszą z góry określone analizy: bez wskaźników braków (wariant B), pełnych przypadków, bez winsoryzacji oraz analiza odporności dla obserwacji o małej liczbie dostępnych cech. W ostatnim wariancie filtr jest stosowany przed imputacją zarówno do części uczącej, jak i ocenianej każdego podziału; zachowywane są wyłącznie obserwacje z co najmniej 11 spośród 17 dostępnych surowych cech. Są to analizy odporności, a nie mechanizm ponownego wyboru cech lub próby.</w:t>
      </w:r>
    </w:p>
    <w:p w14:paraId="6E8DCC1D" w14:textId="77777777" w:rsidR="003F0521" w:rsidRDefault="00000000">
      <w:pPr>
        <w:spacing w:after="0" w:line="360" w:lineRule="auto"/>
        <w:ind w:firstLine="709"/>
        <w:jc w:val="both"/>
      </w:pPr>
      <w:r>
        <w:rPr>
          <w:b/>
        </w:rPr>
        <w:t xml:space="preserve">Zakres redukcji wymiaru. </w:t>
      </w:r>
      <w:r>
        <w:t>Modele klasyczne i podstawowy MLP otrzymują pełną macierz po przetwarzaniu wstępnym, czyli 14, 24 albo 34 kolumny zależnie od bloku. Nie stosuje się dla nich PCA ani selekcji cech w głównym rankingu. Redukcja wymiaru jest wprowadzana wyłącznie w ścieżce QNN, gdzie liczba wejść musi być powiązana z liczbą kubitów i budżetem obliczeniowym. Jest to transformacja reprezentacji po zamrożonym wariancie C, a nie nowa definicja bloku. Modele QNN nadal są oznaczane jako L, L+D albo L+D+R, mimo że właściwy obwód otrzymuje 4 lub 6 składowych głównych.</w:t>
      </w:r>
      <w:r>
        <w:footnoteReference w:id="21"/>
      </w:r>
    </w:p>
    <w:p w14:paraId="50DC5EEF" w14:textId="77777777" w:rsidR="003F0521" w:rsidRDefault="00000000">
      <w:pPr>
        <w:spacing w:after="0" w:line="360" w:lineRule="auto"/>
        <w:ind w:firstLine="709"/>
        <w:jc w:val="both"/>
      </w:pPr>
      <w:r>
        <w:rPr>
          <w:b/>
        </w:rPr>
        <w:t xml:space="preserve">Transformacja PCA dopasowana wewnątrz foldu. </w:t>
      </w:r>
      <w:r>
        <w:t xml:space="preserve">Analiza głównych składowych obejmuje zarówno wystandaryzowane cechy finansowe, jak i odpowiadające im wskaźniki braków. PCA jest dopasowywana wyłącznie na wierszach części uczącej danego foldu, z ustawieniami svd_solver="full" i whiten=False. Następnie ta sama transformacja jest stosowana do części walidacyjnej. Liczba składowych jest ustalona z góry na 4 albo 6 i odpowiada liczbie kubitów. Nie stosuje się progu wyjaśnionej wariancji dobieranego do wyniku modelu ani globalnego dopasowania PCA na całym zbiorze. Taka procedura zachowuje zasadę, zgodnie z którą </w:t>
      </w:r>
      <w:r>
        <w:lastRenderedPageBreak/>
        <w:t>nawet transformacja nienadzorowana musi być estymowana wyłącznie na danych uczących.</w:t>
      </w:r>
      <w:r>
        <w:footnoteReference w:id="22"/>
      </w:r>
    </w:p>
    <w:p w14:paraId="3132CDF8" w14:textId="77777777" w:rsidR="003F0521" w:rsidRDefault="00000000">
      <w:pPr>
        <w:spacing w:after="0" w:line="360" w:lineRule="auto"/>
        <w:ind w:firstLine="709"/>
        <w:jc w:val="both"/>
      </w:pPr>
      <w:r>
        <w:rPr>
          <w:b/>
        </w:rPr>
        <w:t xml:space="preserve">Wskaźniki braków w PCA. </w:t>
      </w:r>
      <w:r>
        <w:t>Ponieważ wskaźniki braków pozostają binarne i nie są standaryzowane przed PCA, ich wkład do składowych zależy od częstości braków w danym foldzie. Komponentów nie należy zatem interpretować wyłącznie jako ukrytych czynników ekonomicznych; mogą one kodować także wzorce dostępności danych. Wpływ tego rozwiązania jest oceniany w prerejestrowanej analizie bez wskaźników braków.</w:t>
      </w:r>
    </w:p>
    <w:p w14:paraId="05146017" w14:textId="77777777" w:rsidR="003F0521" w:rsidRDefault="00000000">
      <w:pPr>
        <w:spacing w:after="0" w:line="360" w:lineRule="auto"/>
        <w:ind w:firstLine="709"/>
        <w:jc w:val="both"/>
      </w:pPr>
      <w:r>
        <w:t>PCA jest dopasowywana z parametrem whiten=False, dlatego bezpośrednio otrzymane składowe zachowują wariancje wynikające z rozkładu danych uczących. Następnie zachowane komponenty standaryzuje się za pomocą odrębnego StandardScaler, także dopasowanego wyłącznie na części uczącej foldu. Ostateczna reprezentacja przekazywana do kodowania kątowego ma zatem na zbiorze uczącym średnią równą zero oraz jednostkową skalę każdej składowej. Rozdzielenie PCA i skalowania pozwala osobno materializować i audytować parametry obu transformacji. Po standaryzacji wartości są ograniczane do przedziału [−3, 3], a następnie przekształcane liniowo na kąty rotacji. Dla składowej zⱼ stosuje się regułę:</w:t>
      </w:r>
    </w:p>
    <w:p w14:paraId="79B70049" w14:textId="77777777" w:rsidR="003F0521" w:rsidRDefault="00000000">
      <w:pPr>
        <w:keepLines/>
        <w:shd w:val="clear" w:color="auto" w:fill="F2F2F2"/>
        <w:spacing w:before="80" w:after="0"/>
        <w:ind w:left="454" w:right="454"/>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-3, 3)</m:t>
          </m:r>
        </m:oMath>
      </m:oMathPara>
    </w:p>
    <w:p w14:paraId="7C92D79E" w14:textId="77777777" w:rsidR="003F0521" w:rsidRDefault="00000000">
      <w:pPr>
        <w:keepLines/>
        <w:shd w:val="clear" w:color="auto" w:fill="F2F2F2"/>
        <w:spacing w:after="80"/>
        <w:ind w:left="454" w:right="454"/>
        <w:jc w:val="center"/>
      </w:pPr>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j</m:t>
              </m:r>
            </m:sub>
          </m:sSub>
        </m:oMath>
      </m:oMathPara>
    </w:p>
    <w:p w14:paraId="2866C634" w14:textId="77777777" w:rsidR="003F0521" w:rsidRDefault="00000000">
      <w:pPr>
        <w:spacing w:after="0" w:line="360" w:lineRule="auto"/>
        <w:ind w:firstLine="709"/>
        <w:jc w:val="both"/>
      </w:pPr>
      <w:r>
        <w:t>Każda wartość θⱼ steruje rotacją RY na odpowiadającym jej kubicie przed warstwami wariacyjnego obwodu. Przy przyjętym przedziale przycięcia kąty należą do [−π, π]. Kodowanie odbywa się jednokrotnie przed częścią wariacyjną, w stałej kolejności składowych. Dzięki temu zarówno wartości wejściowe, jak i zasoby obwodu mają z góry określony zakres, a ekstremalne obserwacje nie generują nieograniczonych kątów. Samo kodowanie nie tworzy nowych informacji ani cech; kompresuje pełną reprezentację po przetwarzaniu wstępnym do liczby wymiarów możliwej do obsługi przez QNN.</w:t>
      </w:r>
      <w:r>
        <w:footnoteReference w:id="23"/>
      </w:r>
    </w:p>
    <w:p w14:paraId="09CE91D6" w14:textId="77777777" w:rsidR="003F0521" w:rsidRDefault="00000000">
      <w:pPr>
        <w:spacing w:after="0" w:line="360" w:lineRule="auto"/>
        <w:ind w:firstLine="709"/>
        <w:jc w:val="both"/>
      </w:pPr>
      <w:r>
        <w:rPr>
          <w:b/>
        </w:rPr>
        <w:t xml:space="preserve">Diagnostyka kompresji. </w:t>
      </w:r>
      <w:r>
        <w:t xml:space="preserve">Skumulowany udział wariancji wyjaśnionej przez 4 i 6 składowych oraz częstość przycięcia wartości do granic −3 i 3 są raportowane osobno </w:t>
      </w:r>
      <w:r>
        <w:lastRenderedPageBreak/>
        <w:t>dla bloków i foldów. Diagnostyki te służą ocenie siły kompresji i zakresu utraty informacji, lecz nie wpływają na wybór konfiguracji ani ranking modeli.</w:t>
      </w:r>
    </w:p>
    <w:p w14:paraId="54BD6328" w14:textId="77777777" w:rsidR="003F0521" w:rsidRDefault="00000000">
      <w:pPr>
        <w:pStyle w:val="Podpistabeli"/>
        <w:keepLines/>
      </w:pPr>
      <w:r>
        <w:rPr>
          <w:color w:val="000000"/>
          <w:szCs w:val="20"/>
        </w:rPr>
        <w:t>Tabela 4.</w:t>
      </w:r>
      <w:fldSimple w:instr=" SEQ Tabela \* ARABIC ">
        <w:r>
          <w:rPr>
            <w:color w:val="000000"/>
            <w:szCs w:val="20"/>
          </w:rPr>
          <w:t>12</w:t>
        </w:r>
      </w:fldSimple>
      <w:r>
        <w:rPr>
          <w:color w:val="000000"/>
          <w:szCs w:val="20"/>
        </w:rPr>
        <w:t>. Redukcja wymiaru i przygotowanie wejścia do QNN</w:t>
      </w:r>
    </w:p>
    <w:tbl>
      <w:tblPr>
        <w:tblStyle w:val="TableGrid"/>
        <w:tblW w:w="8504" w:type="dxa"/>
        <w:jc w:val="center"/>
        <w:tblLayout w:type="fixed"/>
        <w:tblLook w:val="04A0" w:firstRow="1" w:lastRow="0" w:firstColumn="1" w:lastColumn="0" w:noHBand="0" w:noVBand="1"/>
      </w:tblPr>
      <w:tblGrid>
        <w:gridCol w:w="1247"/>
        <w:gridCol w:w="2608"/>
        <w:gridCol w:w="2381"/>
        <w:gridCol w:w="2268"/>
      </w:tblGrid>
      <w:tr w:rsidR="003F0521" w14:paraId="741D16DD" w14:textId="77777777">
        <w:trPr>
          <w:cantSplit/>
          <w:tblHeader/>
          <w:jc w:val="center"/>
        </w:trPr>
        <w:tc>
          <w:tcPr>
            <w:tcW w:w="1200" w:type="dxa"/>
            <w:shd w:val="clear" w:color="auto" w:fill="D9E1F2"/>
            <w:vAlign w:val="center"/>
          </w:tcPr>
          <w:p w14:paraId="0091DA04" w14:textId="77777777" w:rsidR="003F0521" w:rsidRDefault="00000000">
            <w:r>
              <w:rPr>
                <w:b/>
                <w:sz w:val="17"/>
              </w:rPr>
              <w:t>Etap</w:t>
            </w:r>
          </w:p>
        </w:tc>
        <w:tc>
          <w:tcPr>
            <w:tcW w:w="2509" w:type="dxa"/>
            <w:shd w:val="clear" w:color="auto" w:fill="D9E1F2"/>
            <w:vAlign w:val="center"/>
          </w:tcPr>
          <w:p w14:paraId="76656ED1" w14:textId="77777777" w:rsidR="003F0521" w:rsidRDefault="00000000">
            <w:r>
              <w:rPr>
                <w:b/>
                <w:sz w:val="17"/>
              </w:rPr>
              <w:t>Operacja</w:t>
            </w:r>
          </w:p>
        </w:tc>
        <w:tc>
          <w:tcPr>
            <w:tcW w:w="2291" w:type="dxa"/>
            <w:shd w:val="clear" w:color="auto" w:fill="D9E1F2"/>
            <w:vAlign w:val="center"/>
          </w:tcPr>
          <w:p w14:paraId="2C593DF1" w14:textId="77777777" w:rsidR="003F0521" w:rsidRDefault="00000000">
            <w:r>
              <w:rPr>
                <w:b/>
                <w:sz w:val="17"/>
              </w:rPr>
              <w:t>Zakres dopasowania</w:t>
            </w:r>
          </w:p>
        </w:tc>
        <w:tc>
          <w:tcPr>
            <w:tcW w:w="2182" w:type="dxa"/>
            <w:shd w:val="clear" w:color="auto" w:fill="D9E1F2"/>
            <w:vAlign w:val="center"/>
          </w:tcPr>
          <w:p w14:paraId="76AA08B6" w14:textId="77777777" w:rsidR="003F0521" w:rsidRDefault="00000000">
            <w:r>
              <w:rPr>
                <w:b/>
                <w:sz w:val="17"/>
              </w:rPr>
              <w:t>Kontrola metodologiczna</w:t>
            </w:r>
          </w:p>
        </w:tc>
      </w:tr>
      <w:tr w:rsidR="003F0521" w14:paraId="16649169" w14:textId="77777777">
        <w:trPr>
          <w:cantSplit/>
          <w:jc w:val="center"/>
        </w:trPr>
        <w:tc>
          <w:tcPr>
            <w:tcW w:w="1200" w:type="dxa"/>
            <w:vAlign w:val="center"/>
          </w:tcPr>
          <w:p w14:paraId="1B0319F1" w14:textId="77777777" w:rsidR="003F0521" w:rsidRDefault="00000000">
            <w:r>
              <w:rPr>
                <w:sz w:val="17"/>
              </w:rPr>
              <w:t>1. Wejście</w:t>
            </w:r>
          </w:p>
        </w:tc>
        <w:tc>
          <w:tcPr>
            <w:tcW w:w="2509" w:type="dxa"/>
            <w:vAlign w:val="center"/>
          </w:tcPr>
          <w:p w14:paraId="6106FD8D" w14:textId="77777777" w:rsidR="003F0521" w:rsidRDefault="00000000">
            <w:r>
              <w:rPr>
                <w:sz w:val="17"/>
              </w:rPr>
              <w:t>Pełny wynik wariantu C: cechy finansowe, następnie odpowiadające im wskaźniki braków.</w:t>
            </w:r>
          </w:p>
        </w:tc>
        <w:tc>
          <w:tcPr>
            <w:tcW w:w="2291" w:type="dxa"/>
            <w:vAlign w:val="center"/>
          </w:tcPr>
          <w:p w14:paraId="643A039B" w14:textId="77777777" w:rsidR="003F0521" w:rsidRDefault="00000000">
            <w:r>
              <w:rPr>
                <w:sz w:val="17"/>
              </w:rPr>
              <w:t>Część ucząca i walidacyjna foldu według zamrożonego bloku.</w:t>
            </w:r>
          </w:p>
        </w:tc>
        <w:tc>
          <w:tcPr>
            <w:tcW w:w="2182" w:type="dxa"/>
            <w:vAlign w:val="center"/>
          </w:tcPr>
          <w:p w14:paraId="20A9350A" w14:textId="77777777" w:rsidR="003F0521" w:rsidRDefault="00000000">
            <w:r>
              <w:rPr>
                <w:sz w:val="17"/>
              </w:rPr>
              <w:t>Stała kolejność kolumn; brak metadanych i targetu.</w:t>
            </w:r>
          </w:p>
        </w:tc>
      </w:tr>
      <w:tr w:rsidR="003F0521" w14:paraId="78D83357" w14:textId="77777777">
        <w:trPr>
          <w:cantSplit/>
          <w:jc w:val="center"/>
        </w:trPr>
        <w:tc>
          <w:tcPr>
            <w:tcW w:w="1200" w:type="dxa"/>
            <w:vAlign w:val="center"/>
          </w:tcPr>
          <w:p w14:paraId="2B2B1547" w14:textId="77777777" w:rsidR="003F0521" w:rsidRDefault="00000000">
            <w:r>
              <w:rPr>
                <w:sz w:val="17"/>
              </w:rPr>
              <w:t>2. PCA</w:t>
            </w:r>
          </w:p>
        </w:tc>
        <w:tc>
          <w:tcPr>
            <w:tcW w:w="2509" w:type="dxa"/>
            <w:vAlign w:val="center"/>
          </w:tcPr>
          <w:p w14:paraId="2EDC1E1C" w14:textId="77777777" w:rsidR="003F0521" w:rsidRDefault="00000000">
            <w:r>
              <w:rPr>
                <w:sz w:val="17"/>
              </w:rPr>
              <w:t>Pełny SVD, bez wybielania; 4 lub 6 składowych.</w:t>
            </w:r>
          </w:p>
        </w:tc>
        <w:tc>
          <w:tcPr>
            <w:tcW w:w="2291" w:type="dxa"/>
            <w:vAlign w:val="center"/>
          </w:tcPr>
          <w:p w14:paraId="4D7BDF6E" w14:textId="77777777" w:rsidR="003F0521" w:rsidRDefault="00000000">
            <w:r>
              <w:rPr>
                <w:sz w:val="17"/>
              </w:rPr>
              <w:t>Dopasowanie wyłącznie na części uczącej; walidacja tylko transformowana.</w:t>
            </w:r>
          </w:p>
        </w:tc>
        <w:tc>
          <w:tcPr>
            <w:tcW w:w="2182" w:type="dxa"/>
            <w:vAlign w:val="center"/>
          </w:tcPr>
          <w:p w14:paraId="24374ED6" w14:textId="77777777" w:rsidR="003F0521" w:rsidRDefault="00000000">
            <w:r>
              <w:rPr>
                <w:sz w:val="17"/>
              </w:rPr>
              <w:t>Liczba składowych prerejestrowana, bez doboru na teście.</w:t>
            </w:r>
          </w:p>
        </w:tc>
      </w:tr>
      <w:tr w:rsidR="003F0521" w14:paraId="3A1A6FB9" w14:textId="77777777">
        <w:trPr>
          <w:cantSplit/>
          <w:jc w:val="center"/>
        </w:trPr>
        <w:tc>
          <w:tcPr>
            <w:tcW w:w="1200" w:type="dxa"/>
            <w:vAlign w:val="center"/>
          </w:tcPr>
          <w:p w14:paraId="19369B60" w14:textId="77777777" w:rsidR="003F0521" w:rsidRDefault="00000000">
            <w:r>
              <w:rPr>
                <w:sz w:val="17"/>
              </w:rPr>
              <w:t>3. Skalowanie składowych</w:t>
            </w:r>
          </w:p>
        </w:tc>
        <w:tc>
          <w:tcPr>
            <w:tcW w:w="2509" w:type="dxa"/>
            <w:vAlign w:val="center"/>
          </w:tcPr>
          <w:p w14:paraId="5EF374A2" w14:textId="77777777" w:rsidR="003F0521" w:rsidRDefault="00000000">
            <w:r>
              <w:rPr>
                <w:sz w:val="17"/>
              </w:rPr>
              <w:t>StandardScaler na wynikach PCA.</w:t>
            </w:r>
          </w:p>
        </w:tc>
        <w:tc>
          <w:tcPr>
            <w:tcW w:w="2291" w:type="dxa"/>
            <w:vAlign w:val="center"/>
          </w:tcPr>
          <w:p w14:paraId="3CCE64FC" w14:textId="77777777" w:rsidR="003F0521" w:rsidRDefault="00000000">
            <w:r>
              <w:rPr>
                <w:sz w:val="17"/>
              </w:rPr>
              <w:t>Dopasowanie wyłącznie na części uczącej.</w:t>
            </w:r>
          </w:p>
        </w:tc>
        <w:tc>
          <w:tcPr>
            <w:tcW w:w="2182" w:type="dxa"/>
            <w:vAlign w:val="center"/>
          </w:tcPr>
          <w:p w14:paraId="5504F43B" w14:textId="77777777" w:rsidR="003F0521" w:rsidRDefault="00000000">
            <w:r>
              <w:rPr>
                <w:sz w:val="17"/>
              </w:rPr>
              <w:t>Brak wykorzystania średnich i wariancji walidacji.</w:t>
            </w:r>
          </w:p>
        </w:tc>
      </w:tr>
      <w:tr w:rsidR="003F0521" w14:paraId="0EF570A8" w14:textId="77777777">
        <w:trPr>
          <w:cantSplit/>
          <w:jc w:val="center"/>
        </w:trPr>
        <w:tc>
          <w:tcPr>
            <w:tcW w:w="1200" w:type="dxa"/>
            <w:vAlign w:val="center"/>
          </w:tcPr>
          <w:p w14:paraId="233CE274" w14:textId="77777777" w:rsidR="003F0521" w:rsidRDefault="00000000">
            <w:r>
              <w:rPr>
                <w:sz w:val="17"/>
              </w:rPr>
              <w:t>4. Przycięcie</w:t>
            </w:r>
          </w:p>
        </w:tc>
        <w:tc>
          <w:tcPr>
            <w:tcW w:w="2509" w:type="dxa"/>
            <w:vAlign w:val="center"/>
          </w:tcPr>
          <w:p w14:paraId="71C8323C" w14:textId="77777777" w:rsidR="003F0521" w:rsidRDefault="00000000">
            <w:r>
              <w:rPr>
                <w:sz w:val="17"/>
              </w:rPr>
              <w:t>Ograniczenie każdej składowej do [−3, 3].</w:t>
            </w:r>
          </w:p>
        </w:tc>
        <w:tc>
          <w:tcPr>
            <w:tcW w:w="2291" w:type="dxa"/>
            <w:vAlign w:val="center"/>
          </w:tcPr>
          <w:p w14:paraId="283C2D8C" w14:textId="77777777" w:rsidR="003F0521" w:rsidRDefault="00000000">
            <w:r>
              <w:rPr>
                <w:sz w:val="17"/>
              </w:rPr>
              <w:t>Stała reguła dla wszystkich foldów.</w:t>
            </w:r>
          </w:p>
        </w:tc>
        <w:tc>
          <w:tcPr>
            <w:tcW w:w="2182" w:type="dxa"/>
            <w:vAlign w:val="center"/>
          </w:tcPr>
          <w:p w14:paraId="27AC102E" w14:textId="77777777" w:rsidR="003F0521" w:rsidRDefault="00000000">
            <w:r>
              <w:rPr>
                <w:sz w:val="17"/>
              </w:rPr>
              <w:t>Kontrola zakresu wejścia bez dostrajania do wyników.</w:t>
            </w:r>
          </w:p>
        </w:tc>
      </w:tr>
      <w:tr w:rsidR="003F0521" w14:paraId="64D431DE" w14:textId="77777777">
        <w:trPr>
          <w:cantSplit/>
          <w:jc w:val="center"/>
        </w:trPr>
        <w:tc>
          <w:tcPr>
            <w:tcW w:w="1200" w:type="dxa"/>
            <w:vAlign w:val="center"/>
          </w:tcPr>
          <w:p w14:paraId="78EF9C7E" w14:textId="77777777" w:rsidR="003F0521" w:rsidRDefault="00000000">
            <w:r>
              <w:rPr>
                <w:sz w:val="17"/>
              </w:rPr>
              <w:t>5. Kodowanie kątowe</w:t>
            </w:r>
          </w:p>
        </w:tc>
        <w:tc>
          <w:tcPr>
            <w:tcW w:w="2509" w:type="dxa"/>
            <w:vAlign w:val="center"/>
          </w:tcPr>
          <w:p w14:paraId="1B538835" w14:textId="77777777" w:rsidR="003F0521" w:rsidRDefault="00000000">
            <w:r>
              <w:rPr>
                <w:sz w:val="17"/>
              </w:rPr>
              <w:t>θⱼ = (π/3) · clipped_componentⱼ.</w:t>
            </w:r>
          </w:p>
        </w:tc>
        <w:tc>
          <w:tcPr>
            <w:tcW w:w="2291" w:type="dxa"/>
            <w:vAlign w:val="center"/>
          </w:tcPr>
          <w:p w14:paraId="6E9D2B73" w14:textId="77777777" w:rsidR="003F0521" w:rsidRDefault="00000000">
            <w:r>
              <w:rPr>
                <w:sz w:val="17"/>
              </w:rPr>
              <w:t>Identyczna funkcja dla części uczącej i walidacyjnej.</w:t>
            </w:r>
          </w:p>
        </w:tc>
        <w:tc>
          <w:tcPr>
            <w:tcW w:w="2182" w:type="dxa"/>
            <w:vAlign w:val="center"/>
          </w:tcPr>
          <w:p w14:paraId="1E98BE96" w14:textId="77777777" w:rsidR="003F0521" w:rsidRDefault="00000000">
            <w:r>
              <w:rPr>
                <w:sz w:val="17"/>
              </w:rPr>
              <w:t>4 lub 6 komponentów odpowiada 4 lub 6 kubitom.</w:t>
            </w:r>
          </w:p>
        </w:tc>
      </w:tr>
    </w:tbl>
    <w:p w14:paraId="3B8A0663" w14:textId="77777777" w:rsidR="003F0521" w:rsidRDefault="00000000">
      <w:pPr>
        <w:pStyle w:val="rdotabeli"/>
      </w:pPr>
      <w:r>
        <w:rPr>
          <w:color w:val="000000"/>
          <w:szCs w:val="18"/>
        </w:rPr>
        <w:t>Źródło: opracowanie własne na podstawie model-stage preregistration v1.0.0 oraz configs/model_stage_v1.yaml.</w:t>
      </w:r>
    </w:p>
    <w:p w14:paraId="3923DDA8" w14:textId="77777777" w:rsidR="003F0521" w:rsidRDefault="00000000">
      <w:pPr>
        <w:spacing w:after="0" w:line="360" w:lineRule="auto"/>
        <w:ind w:firstLine="709"/>
        <w:jc w:val="both"/>
      </w:pPr>
      <w:r>
        <w:rPr>
          <w:b/>
        </w:rPr>
        <w:t xml:space="preserve">Kontrole dopasowane do reprezentacji PCA. </w:t>
      </w:r>
      <w:r>
        <w:t>Aby nie przypisywać ewentualnej różnicy jakości wyłącznie architekturze kwantowej, prerejestracja przewiduje dwie kontrole PCA-matched: regresję logistyczną z ustaloną regularyzacją L2 oraz PyTorch MLP. Kontrole otrzymują dokładnie te same wiersze, przetwarzanie wstępne, PCA, skalowanie składowych i wynikową reprezentację co QNN. Mają charakter diagnostyczny i nie uczestniczą w głównym rankingu ani w wyborze konfiguracji QNN. Pozwalają rozdzielić wpływ redukcji wymiaru i kompresji informacji od wpływu samego obwodu kwantowego.</w:t>
      </w:r>
      <w:r>
        <w:footnoteReference w:id="24"/>
      </w:r>
    </w:p>
    <w:p w14:paraId="2FFB39C5" w14:textId="77777777" w:rsidR="003F0521" w:rsidRDefault="00000000">
      <w:pPr>
        <w:spacing w:after="0" w:line="360" w:lineRule="auto"/>
        <w:ind w:firstLine="709"/>
        <w:jc w:val="both"/>
      </w:pPr>
      <w:r>
        <w:rPr>
          <w:b/>
        </w:rPr>
        <w:t xml:space="preserve">Brak nadzorowanej selekcji cech. </w:t>
      </w:r>
      <w:r>
        <w:t>W głównej procedurze nie usuwa się cech na podstawie współczynników regresji, miar ważności, korelacji z targetem, wartości SHAP ani wyników walidacyjnych. Jedynymi porównaniami są z góry ustalone bloki oraz z góry ustalone warianty 4- i 6-wymiarowej reprezentacji QNN. PCA również nie korzysta z etykiet. Takie rozdzielenie ogranicza liczbę decyzji podejmowanych po obejrzeniu wyników i zwiększa porównywalność modeli. Interpretacja znaczenia poszczególnych zmiennych jest wykonywana dopiero po zamrożeniu modeli i nie może zmienić składu cech.</w:t>
      </w:r>
    </w:p>
    <w:p w14:paraId="53E3F5D5" w14:textId="77777777" w:rsidR="003F0521" w:rsidRDefault="00000000">
      <w:pPr>
        <w:spacing w:after="0" w:line="360" w:lineRule="auto"/>
        <w:ind w:firstLine="709"/>
        <w:jc w:val="both"/>
      </w:pPr>
      <w:r>
        <w:rPr>
          <w:b/>
        </w:rPr>
        <w:t xml:space="preserve">Hierarchia wersji artefaktów. </w:t>
      </w:r>
      <w:r>
        <w:t xml:space="preserve">Historyczny surowy Xₜ v1.0.0 pozostaje niezmiennym punktem odniesienia. Dla pierwszego modelowania na latach 2011–2020 obowiązuje raw Xₜ v1.1.0, który wprowadza wyłącznie konserwatywną korektę resolvera. Zmiana została przeniesiona do supervised ML pipeline v1.2.0 bez zmiany reguły próby, bloków cech, przetwarzania wstępnego ani membership głównej próby. </w:t>
      </w:r>
      <w:r>
        <w:lastRenderedPageBreak/>
        <w:t>Aktywną konfiguracją train/internal-CV jest pipeline v1.3.0, który nakłada korektę interpretacji czasu SEC i zmienia wyłącznie membership części uczących foldów 2015 i 2019. Model-stage preregistration pozostaje w wersji v1.0.0.</w:t>
      </w:r>
      <w:r>
        <w:footnoteReference w:id="25"/>
      </w:r>
    </w:p>
    <w:p w14:paraId="6B5AE037" w14:textId="77777777" w:rsidR="003F0521" w:rsidRDefault="00000000">
      <w:pPr>
        <w:pStyle w:val="Podpistabeli"/>
        <w:keepLines/>
      </w:pPr>
      <w:r>
        <w:rPr>
          <w:color w:val="000000"/>
          <w:szCs w:val="20"/>
        </w:rPr>
        <w:t>Tabela 4.</w:t>
      </w:r>
      <w:fldSimple w:instr=" SEQ Tabela \* ARABIC ">
        <w:r>
          <w:rPr>
            <w:color w:val="000000"/>
            <w:szCs w:val="20"/>
          </w:rPr>
          <w:t>13</w:t>
        </w:r>
      </w:fldSimple>
      <w:r>
        <w:rPr>
          <w:color w:val="000000"/>
          <w:szCs w:val="20"/>
        </w:rPr>
        <w:t>. Hierarchia wersji wykorzystywanych w pierwszym modelowaniu</w:t>
      </w:r>
    </w:p>
    <w:tbl>
      <w:tblPr>
        <w:tblStyle w:val="TableGrid"/>
        <w:tblW w:w="8504" w:type="dxa"/>
        <w:jc w:val="center"/>
        <w:tblLayout w:type="fixed"/>
        <w:tblLook w:val="04A0" w:firstRow="1" w:lastRow="0" w:firstColumn="1" w:lastColumn="0" w:noHBand="0" w:noVBand="1"/>
      </w:tblPr>
      <w:tblGrid>
        <w:gridCol w:w="1871"/>
        <w:gridCol w:w="1134"/>
        <w:gridCol w:w="1191"/>
        <w:gridCol w:w="4308"/>
      </w:tblGrid>
      <w:tr w:rsidR="003F0521" w14:paraId="01EF9797" w14:textId="77777777">
        <w:trPr>
          <w:cantSplit/>
          <w:tblHeader/>
          <w:jc w:val="center"/>
        </w:trPr>
        <w:tc>
          <w:tcPr>
            <w:tcW w:w="1871" w:type="dxa"/>
            <w:vAlign w:val="center"/>
          </w:tcPr>
          <w:p w14:paraId="18589724" w14:textId="77777777" w:rsidR="003F0521" w:rsidRDefault="00000000">
            <w:r>
              <w:rPr>
                <w:b/>
                <w:sz w:val="17"/>
              </w:rPr>
              <w:t>Warstwa</w:t>
            </w:r>
          </w:p>
        </w:tc>
        <w:tc>
          <w:tcPr>
            <w:tcW w:w="1134" w:type="dxa"/>
            <w:vAlign w:val="center"/>
          </w:tcPr>
          <w:p w14:paraId="19AB0EFB" w14:textId="77777777" w:rsidR="003F0521" w:rsidRDefault="00000000">
            <w:r>
              <w:rPr>
                <w:b/>
                <w:sz w:val="17"/>
              </w:rPr>
              <w:t>Wersja bazowa</w:t>
            </w:r>
          </w:p>
        </w:tc>
        <w:tc>
          <w:tcPr>
            <w:tcW w:w="1191" w:type="dxa"/>
            <w:vAlign w:val="center"/>
          </w:tcPr>
          <w:p w14:paraId="526A70EC" w14:textId="77777777" w:rsidR="003F0521" w:rsidRDefault="00000000">
            <w:r>
              <w:rPr>
                <w:b/>
                <w:sz w:val="17"/>
              </w:rPr>
              <w:t>Wersja używana</w:t>
            </w:r>
          </w:p>
        </w:tc>
        <w:tc>
          <w:tcPr>
            <w:tcW w:w="4309" w:type="dxa"/>
            <w:vAlign w:val="center"/>
          </w:tcPr>
          <w:p w14:paraId="587B0159" w14:textId="77777777" w:rsidR="003F0521" w:rsidRDefault="00000000">
            <w:r>
              <w:rPr>
                <w:b/>
                <w:sz w:val="17"/>
              </w:rPr>
              <w:t>Zakres zmiany</w:t>
            </w:r>
          </w:p>
        </w:tc>
      </w:tr>
      <w:tr w:rsidR="003F0521" w14:paraId="41AD472B" w14:textId="77777777">
        <w:trPr>
          <w:cantSplit/>
          <w:jc w:val="center"/>
        </w:trPr>
        <w:tc>
          <w:tcPr>
            <w:tcW w:w="1871" w:type="dxa"/>
            <w:vAlign w:val="center"/>
          </w:tcPr>
          <w:p w14:paraId="5F9730AE" w14:textId="77777777" w:rsidR="003F0521" w:rsidRDefault="00000000">
            <w:r>
              <w:rPr>
                <w:sz w:val="17"/>
              </w:rPr>
              <w:t>Surowy Xₜ</w:t>
            </w:r>
          </w:p>
        </w:tc>
        <w:tc>
          <w:tcPr>
            <w:tcW w:w="1134" w:type="dxa"/>
            <w:vAlign w:val="center"/>
          </w:tcPr>
          <w:p w14:paraId="46335F3A" w14:textId="77777777" w:rsidR="003F0521" w:rsidRDefault="00000000">
            <w:r>
              <w:rPr>
                <w:sz w:val="17"/>
              </w:rPr>
              <w:t>1.0.0</w:t>
            </w:r>
          </w:p>
        </w:tc>
        <w:tc>
          <w:tcPr>
            <w:tcW w:w="1191" w:type="dxa"/>
            <w:vAlign w:val="center"/>
          </w:tcPr>
          <w:p w14:paraId="3BD900A6" w14:textId="77777777" w:rsidR="003F0521" w:rsidRDefault="00000000">
            <w:r>
              <w:rPr>
                <w:sz w:val="17"/>
              </w:rPr>
              <w:t>1.1.0</w:t>
            </w:r>
          </w:p>
        </w:tc>
        <w:tc>
          <w:tcPr>
            <w:tcW w:w="4309" w:type="dxa"/>
            <w:vAlign w:val="center"/>
          </w:tcPr>
          <w:p w14:paraId="0EFAAC36" w14:textId="77777777" w:rsidR="003F0521" w:rsidRDefault="00000000">
            <w:r>
              <w:rPr>
                <w:sz w:val="17"/>
              </w:rPr>
              <w:t>Train-only korekta resolvera dla lat 2011–2020.</w:t>
            </w:r>
          </w:p>
        </w:tc>
      </w:tr>
      <w:tr w:rsidR="003F0521" w14:paraId="1DB2A922" w14:textId="77777777">
        <w:trPr>
          <w:cantSplit/>
          <w:jc w:val="center"/>
        </w:trPr>
        <w:tc>
          <w:tcPr>
            <w:tcW w:w="1871" w:type="dxa"/>
            <w:vAlign w:val="center"/>
          </w:tcPr>
          <w:p w14:paraId="2F901543" w14:textId="77777777" w:rsidR="003F0521" w:rsidRDefault="00000000">
            <w:r>
              <w:rPr>
                <w:sz w:val="17"/>
              </w:rPr>
              <w:t>Supervised ML pipeline</w:t>
            </w:r>
          </w:p>
        </w:tc>
        <w:tc>
          <w:tcPr>
            <w:tcW w:w="1134" w:type="dxa"/>
            <w:vAlign w:val="center"/>
          </w:tcPr>
          <w:p w14:paraId="458C809C" w14:textId="77777777" w:rsidR="003F0521" w:rsidRDefault="00000000">
            <w:r>
              <w:rPr>
                <w:sz w:val="17"/>
              </w:rPr>
              <w:t>1.0.0</w:t>
            </w:r>
          </w:p>
        </w:tc>
        <w:tc>
          <w:tcPr>
            <w:tcW w:w="1191" w:type="dxa"/>
            <w:vAlign w:val="center"/>
          </w:tcPr>
          <w:p w14:paraId="3A2EAF46" w14:textId="77777777" w:rsidR="003F0521" w:rsidRDefault="00000000">
            <w:r>
              <w:rPr>
                <w:sz w:val="17"/>
              </w:rPr>
              <w:t>1.2.0</w:t>
            </w:r>
          </w:p>
        </w:tc>
        <w:tc>
          <w:tcPr>
            <w:tcW w:w="4309" w:type="dxa"/>
            <w:vAlign w:val="center"/>
          </w:tcPr>
          <w:p w14:paraId="2C06D8A9" w14:textId="77777777" w:rsidR="003F0521" w:rsidRDefault="00000000">
            <w:r>
              <w:rPr>
                <w:sz w:val="17"/>
              </w:rPr>
              <w:t>Propagacja korekty resolvera bez zmiany próby.</w:t>
            </w:r>
          </w:p>
        </w:tc>
      </w:tr>
      <w:tr w:rsidR="003F0521" w14:paraId="4CA494B0" w14:textId="77777777">
        <w:trPr>
          <w:cantSplit/>
          <w:jc w:val="center"/>
        </w:trPr>
        <w:tc>
          <w:tcPr>
            <w:tcW w:w="1871" w:type="dxa"/>
            <w:vAlign w:val="center"/>
          </w:tcPr>
          <w:p w14:paraId="6A0F39BE" w14:textId="77777777" w:rsidR="003F0521" w:rsidRDefault="00000000">
            <w:r>
              <w:rPr>
                <w:sz w:val="17"/>
              </w:rPr>
              <w:t>Supervised ML pipeline – czas</w:t>
            </w:r>
          </w:p>
        </w:tc>
        <w:tc>
          <w:tcPr>
            <w:tcW w:w="1134" w:type="dxa"/>
            <w:vAlign w:val="center"/>
          </w:tcPr>
          <w:p w14:paraId="6527174C" w14:textId="77777777" w:rsidR="003F0521" w:rsidRDefault="00000000">
            <w:r>
              <w:rPr>
                <w:sz w:val="17"/>
              </w:rPr>
              <w:t>1.2.0</w:t>
            </w:r>
          </w:p>
        </w:tc>
        <w:tc>
          <w:tcPr>
            <w:tcW w:w="1191" w:type="dxa"/>
            <w:vAlign w:val="center"/>
          </w:tcPr>
          <w:p w14:paraId="27B5A051" w14:textId="77777777" w:rsidR="003F0521" w:rsidRDefault="00000000">
            <w:r>
              <w:rPr>
                <w:sz w:val="17"/>
              </w:rPr>
              <w:t>1.3.0</w:t>
            </w:r>
          </w:p>
        </w:tc>
        <w:tc>
          <w:tcPr>
            <w:tcW w:w="4309" w:type="dxa"/>
            <w:vAlign w:val="center"/>
          </w:tcPr>
          <w:p w14:paraId="7DD417DE" w14:textId="77777777" w:rsidR="003F0521" w:rsidRDefault="00000000">
            <w:r>
              <w:rPr>
                <w:sz w:val="17"/>
              </w:rPr>
              <w:t>Korekta membership części uczących foldów 2015 i 2019.</w:t>
            </w:r>
          </w:p>
        </w:tc>
      </w:tr>
      <w:tr w:rsidR="003F0521" w14:paraId="13CF18C5" w14:textId="77777777">
        <w:trPr>
          <w:cantSplit/>
          <w:jc w:val="center"/>
        </w:trPr>
        <w:tc>
          <w:tcPr>
            <w:tcW w:w="1871" w:type="dxa"/>
            <w:vAlign w:val="center"/>
          </w:tcPr>
          <w:p w14:paraId="60E8F323" w14:textId="77777777" w:rsidR="003F0521" w:rsidRDefault="00000000">
            <w:r>
              <w:rPr>
                <w:sz w:val="17"/>
              </w:rPr>
              <w:t>Model stage</w:t>
            </w:r>
          </w:p>
        </w:tc>
        <w:tc>
          <w:tcPr>
            <w:tcW w:w="1134" w:type="dxa"/>
            <w:vAlign w:val="center"/>
          </w:tcPr>
          <w:p w14:paraId="63C45F54" w14:textId="77777777" w:rsidR="003F0521" w:rsidRDefault="00000000">
            <w:r>
              <w:rPr>
                <w:sz w:val="17"/>
              </w:rPr>
              <w:t>1.0.0</w:t>
            </w:r>
          </w:p>
        </w:tc>
        <w:tc>
          <w:tcPr>
            <w:tcW w:w="1191" w:type="dxa"/>
            <w:vAlign w:val="center"/>
          </w:tcPr>
          <w:p w14:paraId="7F89FCA4" w14:textId="77777777" w:rsidR="003F0521" w:rsidRDefault="00000000">
            <w:r>
              <w:rPr>
                <w:sz w:val="17"/>
              </w:rPr>
              <w:t>1.0.0</w:t>
            </w:r>
          </w:p>
        </w:tc>
        <w:tc>
          <w:tcPr>
            <w:tcW w:w="4309" w:type="dxa"/>
            <w:vAlign w:val="center"/>
          </w:tcPr>
          <w:p w14:paraId="6BAE2BB1" w14:textId="77777777" w:rsidR="003F0521" w:rsidRDefault="00000000">
            <w:r>
              <w:rPr>
                <w:sz w:val="17"/>
              </w:rPr>
              <w:t>Bez zmian w rodzinach modeli, przestrzeniach i prerejestracji.</w:t>
            </w:r>
          </w:p>
        </w:tc>
      </w:tr>
    </w:tbl>
    <w:p w14:paraId="0AF5ED99" w14:textId="77777777" w:rsidR="003F0521" w:rsidRDefault="00000000">
      <w:pPr>
        <w:pStyle w:val="rdotabeli"/>
      </w:pPr>
      <w:r>
        <w:rPr>
          <w:color w:val="000000"/>
          <w:szCs w:val="18"/>
        </w:rPr>
        <w:t>Źródło: opracowanie własne na podstawie wersjonowanych specyfikacji i konfiguracji repozytorium badania.</w:t>
      </w:r>
    </w:p>
    <w:p w14:paraId="17A8CA9F" w14:textId="77777777" w:rsidR="003F0521" w:rsidRDefault="00000000">
      <w:pPr>
        <w:spacing w:after="0" w:line="360" w:lineRule="auto"/>
        <w:ind w:firstLine="709"/>
        <w:jc w:val="both"/>
      </w:pPr>
      <w:r>
        <w:rPr>
          <w:b/>
        </w:rPr>
        <w:t xml:space="preserve">Skala korekt. </w:t>
      </w:r>
      <w:r>
        <w:t>Korekta resolvera objęła w pełnym zbiorze uczącym 112 company-years i zwiększyła liczbę surowych braków o 278 komórek. Po ograniczeniu do głównej próby supervised dotyczyła 25 company-years i 74 dodatkowych braków wartości w roa_t, accruals_to_assets_t oraz profit_margin_t. Żaden wiersz nie wszedł ani nie wyszedł z próby, a zasady bloków i przetwarzania wstępnego pozostały bez zmian. Korekta strefy czasowej nie zmieniła Xₜ, cech ani polityki przetwarzania wstępnego.</w:t>
      </w:r>
    </w:p>
    <w:p w14:paraId="4171E68A" w14:textId="77777777" w:rsidR="003F0521" w:rsidRDefault="00000000">
      <w:pPr>
        <w:spacing w:after="0" w:line="360" w:lineRule="auto"/>
        <w:ind w:firstLine="709"/>
        <w:jc w:val="both"/>
      </w:pPr>
      <w:r>
        <w:rPr>
          <w:b/>
        </w:rPr>
        <w:t xml:space="preserve">Reprodukowalność. </w:t>
      </w:r>
      <w:r>
        <w:t>Definicje cech, ich kolejność, dozwolone bloki, parametry przetwarzania wstępnego oraz reprezentacja PCA są zapisane równolegle w dokumentach metodologicznych, plikach YAML, kodzie i testach. Runner weryfikuje dokładną listę dozwolonych predyktorów oraz skróty SHA-256 kolejności wejścia dla L, L+D i L+D+R. Każda statystyka przetwarzania wstępnego, macierz PCA i skaler składowych są materializowane osobno dla foldu. Oznacza to, że końcowa macierz wejściowa nie jest ręcznie przygotowanym arkuszem, lecz wynikiem deterministycznej sekwencji transformacji, której parametry można odtworzyć i zaudytować.</w:t>
      </w:r>
    </w:p>
    <w:p w14:paraId="49A61F7D" w14:textId="77777777" w:rsidR="003F0521" w:rsidRDefault="00000000">
      <w:pPr>
        <w:spacing w:after="0" w:line="360" w:lineRule="auto"/>
        <w:ind w:firstLine="709"/>
        <w:jc w:val="both"/>
      </w:pPr>
      <w:r>
        <w:t>Opisane w tym podrozdziale cechy stanowią wspólną podstawę modeli omawianych w podrozdziale 4.4. Sposób temporalnego podziału danych, metryki oraz procedury oceny przedstawiono w podrozdziale 4.5. Statystyki dostępności cech i kompletności próby są raportowane w podrozdziale 5.1, natomiast wyniki analiz bez wskaźników braków, dla pełnych przypadków, bez winsoryzacji i dla obserwacji o małej liczbie dostępnych cech – w podrozdziale 5.3.</w:t>
      </w:r>
    </w:p>
    <w:p w14:paraId="0512D2B5" w14:textId="77777777" w:rsidR="003F0521" w:rsidRDefault="00000000">
      <w:pPr>
        <w:pStyle w:val="Heading2"/>
      </w:pPr>
      <w:r>
        <w:lastRenderedPageBreak/>
        <w:t>4.4. Modele klasyczne i kwantowe</w:t>
      </w:r>
    </w:p>
    <w:p w14:paraId="3E2A2A7E" w14:textId="77777777" w:rsidR="003F0521" w:rsidRDefault="00000000">
      <w:pPr>
        <w:spacing w:after="0" w:line="360" w:lineRule="auto"/>
        <w:ind w:firstLine="709"/>
        <w:jc w:val="both"/>
      </w:pPr>
      <w:r>
        <w:t>Po zamrożeniu definicji targetu, historycznej populacji, surowego zbioru X_t, próby supervised, preprocessingu oraz podziału czasowego określono zestaw modeli podlegających porównaniu. Rodziny, przestrzenie hiperparametrów, seedy, zasady ważenia klas i budżety obliczeniowe zostały zarejestrowane przed pełnym wyszukiwaniem na danych projektu. Taki porządek ogranicza możliwość dodawania lub upraszczania modeli po poznaniu wyników i pozwala interpretować różnice jako rezultat odmiennej klasy funkcji, a nie odmiennego przygotowania próby.</w:t>
      </w:r>
      <w:r>
        <w:footnoteReference w:id="26"/>
      </w:r>
    </w:p>
    <w:p w14:paraId="72ACFB36" w14:textId="77777777" w:rsidR="003F0521" w:rsidRDefault="00000000">
      <w:pPr>
        <w:spacing w:after="0" w:line="360" w:lineRule="auto"/>
        <w:ind w:firstLine="709"/>
        <w:jc w:val="both"/>
      </w:pPr>
      <w:r>
        <w:t>Benchmark obejmuje modele liniowe, metodę jądrową, zespoły drzew, klasyczną sieć neuronową oraz hybrydową kwantową sieć neuronową. Zestaw ma cel porównawczy, a nie służy tworzeniu rankingu popularności algorytmów. Proste modele stanowią punkty odniesienia dla bardziej elastycznych metod, natomiast QNN jest oceniana na tych samych blokach informacji i w tej samej procedurze czasowej. Żadna rodzina nie może zostać dodana, usunięta ani zastąpiona na podstawie wyników z okresów 2021–2024; decyzje modelowe są podejmowane wyłącznie zgodnie z prerejestrowaną procedurą OOF z lat 2015–2020.</w:t>
      </w:r>
      <w:r>
        <w:footnoteReference w:id="27"/>
      </w:r>
    </w:p>
    <w:p w14:paraId="712E45D8" w14:textId="77777777" w:rsidR="003F0521" w:rsidRDefault="00000000">
      <w:pPr>
        <w:spacing w:after="0" w:line="360" w:lineRule="auto"/>
        <w:ind w:firstLine="709"/>
        <w:jc w:val="both"/>
      </w:pPr>
      <w:r>
        <w:rPr>
          <w:b/>
        </w:rPr>
        <w:t xml:space="preserve">Wspólna podstawa eksperymentu. </w:t>
      </w:r>
      <w:r>
        <w:t xml:space="preserve">Każda niezerowa rodzina modelowa jest dopasowywana do tej samej głównej próby i oceniana na trzech zagnieżdżonych blokach L, L+D oraz L+D+R. Wyjątkiem jest block-agnostic dummy prior, który nie otrzymuje predyktorów i wykorzystuje wyłącznie częstość klasy pozytywnej w odpowiednim zbiorze treningowym foldu. Winsoryzacja, imputacja, skalowanie i wskaźniki braków są dopasowywane od zera wewnątrz właściwego zbioru treningowego. W głównym rankingu modele klasyczne i podstawowy MLP korzystają z pełnego wyniku preprocessingu, natomiast QNN otrzymuje dodatkowo PCA </w:t>
      </w:r>
      <w:r>
        <w:lastRenderedPageBreak/>
        <w:t>dopasowaną wyłącznie na zbiorze treningowym foldu oraz kodowanie kątowe opisane w podrozdziale 4.3. Wyjątek stanowią diagnostyczne kontrole PCA-matched, które otrzymują reprezentację QNN, lecz nie uczestniczą w rankingu. Rok, identyfikatory, timestampy, economic_group_id i target pozostają poza macierzą predyktorów.</w:t>
      </w:r>
    </w:p>
    <w:p w14:paraId="173A59A5" w14:textId="77777777" w:rsidR="003F0521" w:rsidRDefault="00000000">
      <w:pPr>
        <w:pStyle w:val="Podpistabeli"/>
        <w:keepLines/>
      </w:pPr>
      <w:r>
        <w:rPr>
          <w:color w:val="000000"/>
          <w:szCs w:val="20"/>
        </w:rPr>
        <w:t>Tabela 4.14. Zamrożony zestaw rodzin modelowych</w:t>
      </w:r>
    </w:p>
    <w:tbl>
      <w:tblPr>
        <w:tblStyle w:val="TableGrid"/>
        <w:tblW w:w="8504" w:type="dxa"/>
        <w:jc w:val="center"/>
        <w:tblLayout w:type="fixed"/>
        <w:tblLook w:val="04A0" w:firstRow="1" w:lastRow="0" w:firstColumn="1" w:lastColumn="0" w:noHBand="0" w:noVBand="1"/>
      </w:tblPr>
      <w:tblGrid>
        <w:gridCol w:w="1435"/>
        <w:gridCol w:w="1488"/>
        <w:gridCol w:w="3455"/>
        <w:gridCol w:w="2126"/>
      </w:tblGrid>
      <w:tr w:rsidR="003F0521" w14:paraId="3C8FA81D" w14:textId="77777777">
        <w:trPr>
          <w:cantSplit/>
          <w:tblHeader/>
          <w:jc w:val="center"/>
        </w:trPr>
        <w:tc>
          <w:tcPr>
            <w:tcW w:w="1435" w:type="dxa"/>
            <w:shd w:val="clear" w:color="auto" w:fill="D9E1F2"/>
            <w:vAlign w:val="center"/>
          </w:tcPr>
          <w:p w14:paraId="348DD141" w14:textId="77777777" w:rsidR="003F0521" w:rsidRDefault="00000000">
            <w:pPr>
              <w:jc w:val="center"/>
            </w:pPr>
            <w:r>
              <w:rPr>
                <w:b/>
                <w:sz w:val="18"/>
              </w:rPr>
              <w:t>Rodzina</w:t>
            </w:r>
          </w:p>
        </w:tc>
        <w:tc>
          <w:tcPr>
            <w:tcW w:w="1488" w:type="dxa"/>
            <w:shd w:val="clear" w:color="auto" w:fill="D9E1F2"/>
            <w:vAlign w:val="center"/>
          </w:tcPr>
          <w:p w14:paraId="3FA17AF0" w14:textId="77777777" w:rsidR="003F0521" w:rsidRDefault="00000000">
            <w:pPr>
              <w:jc w:val="center"/>
            </w:pPr>
            <w:r>
              <w:rPr>
                <w:b/>
                <w:sz w:val="18"/>
              </w:rPr>
              <w:t>Klasa modelu</w:t>
            </w:r>
          </w:p>
        </w:tc>
        <w:tc>
          <w:tcPr>
            <w:tcW w:w="3455" w:type="dxa"/>
            <w:shd w:val="clear" w:color="auto" w:fill="D9E1F2"/>
            <w:vAlign w:val="center"/>
          </w:tcPr>
          <w:p w14:paraId="30F6183D" w14:textId="77777777" w:rsidR="003F0521" w:rsidRDefault="00000000">
            <w:pPr>
              <w:jc w:val="center"/>
            </w:pPr>
            <w:r>
              <w:rPr>
                <w:b/>
                <w:sz w:val="18"/>
              </w:rPr>
              <w:t>Rola w benchmarku</w:t>
            </w:r>
          </w:p>
        </w:tc>
        <w:tc>
          <w:tcPr>
            <w:tcW w:w="2126" w:type="dxa"/>
            <w:shd w:val="clear" w:color="auto" w:fill="D9E1F2"/>
            <w:vAlign w:val="center"/>
          </w:tcPr>
          <w:p w14:paraId="6C0CA7D6" w14:textId="77777777" w:rsidR="003F0521" w:rsidRDefault="00000000">
            <w:pPr>
              <w:jc w:val="center"/>
            </w:pPr>
            <w:r>
              <w:rPr>
                <w:b/>
                <w:sz w:val="18"/>
              </w:rPr>
              <w:t>Podstawowy wynik modelu</w:t>
            </w:r>
          </w:p>
        </w:tc>
      </w:tr>
      <w:tr w:rsidR="003F0521" w14:paraId="4342A84B" w14:textId="77777777">
        <w:trPr>
          <w:cantSplit/>
          <w:jc w:val="center"/>
        </w:trPr>
        <w:tc>
          <w:tcPr>
            <w:tcW w:w="1435" w:type="dxa"/>
            <w:vAlign w:val="center"/>
          </w:tcPr>
          <w:p w14:paraId="6E31459C" w14:textId="77777777" w:rsidR="003F0521" w:rsidRDefault="00000000">
            <w:r>
              <w:rPr>
                <w:sz w:val="18"/>
              </w:rPr>
              <w:t>Dummy prior</w:t>
            </w:r>
          </w:p>
        </w:tc>
        <w:tc>
          <w:tcPr>
            <w:tcW w:w="1488" w:type="dxa"/>
            <w:vAlign w:val="center"/>
          </w:tcPr>
          <w:p w14:paraId="73487325" w14:textId="77777777" w:rsidR="003F0521" w:rsidRDefault="00000000">
            <w:r>
              <w:rPr>
                <w:sz w:val="18"/>
              </w:rPr>
              <w:t>Model zerowy</w:t>
            </w:r>
          </w:p>
        </w:tc>
        <w:tc>
          <w:tcPr>
            <w:tcW w:w="3455" w:type="dxa"/>
            <w:vAlign w:val="center"/>
          </w:tcPr>
          <w:p w14:paraId="3D764DD9" w14:textId="77777777" w:rsidR="003F0521" w:rsidRDefault="00000000">
            <w:r>
              <w:rPr>
                <w:sz w:val="18"/>
              </w:rPr>
              <w:t>Punkt odniesienia oparty wyłącznie na częstości klasy pozytywnej w zbiorze treningowym foldu.</w:t>
            </w:r>
          </w:p>
        </w:tc>
        <w:tc>
          <w:tcPr>
            <w:tcW w:w="2126" w:type="dxa"/>
            <w:vAlign w:val="center"/>
          </w:tcPr>
          <w:p w14:paraId="7E955DF6" w14:textId="77777777" w:rsidR="003F0521" w:rsidRDefault="00000000">
            <w:r>
              <w:rPr>
                <w:sz w:val="18"/>
              </w:rPr>
              <w:t>Logit częstości klasy w zbiorze treningowym.</w:t>
            </w:r>
          </w:p>
        </w:tc>
      </w:tr>
      <w:tr w:rsidR="003F0521" w14:paraId="5ECF6504" w14:textId="77777777">
        <w:trPr>
          <w:cantSplit/>
          <w:jc w:val="center"/>
        </w:trPr>
        <w:tc>
          <w:tcPr>
            <w:tcW w:w="1435" w:type="dxa"/>
            <w:vAlign w:val="center"/>
          </w:tcPr>
          <w:p w14:paraId="6F3F1DBC" w14:textId="77777777" w:rsidR="003F0521" w:rsidRDefault="00000000">
            <w:r>
              <w:rPr>
                <w:sz w:val="18"/>
              </w:rPr>
              <w:t>Fixed L2 logistic</w:t>
            </w:r>
          </w:p>
        </w:tc>
        <w:tc>
          <w:tcPr>
            <w:tcW w:w="1488" w:type="dxa"/>
            <w:vAlign w:val="center"/>
          </w:tcPr>
          <w:p w14:paraId="6364A2FD" w14:textId="77777777" w:rsidR="003F0521" w:rsidRDefault="00000000">
            <w:r>
              <w:rPr>
                <w:sz w:val="18"/>
              </w:rPr>
              <w:t>Model liniowy</w:t>
            </w:r>
          </w:p>
        </w:tc>
        <w:tc>
          <w:tcPr>
            <w:tcW w:w="3455" w:type="dxa"/>
            <w:vAlign w:val="center"/>
          </w:tcPr>
          <w:p w14:paraId="26CDC11E" w14:textId="77777777" w:rsidR="003F0521" w:rsidRDefault="00000000">
            <w:r>
              <w:rPr>
                <w:sz w:val="18"/>
              </w:rPr>
              <w:t>Prosty, stabilny i interpretowalny benchmark liniowy z ustaloną regularyzacją.</w:t>
            </w:r>
          </w:p>
        </w:tc>
        <w:tc>
          <w:tcPr>
            <w:tcW w:w="2126" w:type="dxa"/>
            <w:vAlign w:val="center"/>
          </w:tcPr>
          <w:p w14:paraId="3E766361" w14:textId="77777777" w:rsidR="003F0521" w:rsidRDefault="00000000">
            <w:r>
              <w:rPr>
                <w:sz w:val="18"/>
              </w:rPr>
              <w:t>Funkcja decyzyjna.</w:t>
            </w:r>
          </w:p>
        </w:tc>
      </w:tr>
      <w:tr w:rsidR="003F0521" w14:paraId="016331DD" w14:textId="77777777">
        <w:trPr>
          <w:cantSplit/>
          <w:jc w:val="center"/>
        </w:trPr>
        <w:tc>
          <w:tcPr>
            <w:tcW w:w="1435" w:type="dxa"/>
            <w:vAlign w:val="center"/>
          </w:tcPr>
          <w:p w14:paraId="5563300E" w14:textId="77777777" w:rsidR="003F0521" w:rsidRDefault="00000000">
            <w:r>
              <w:rPr>
                <w:sz w:val="18"/>
              </w:rPr>
              <w:t>Elastic-net logistic</w:t>
            </w:r>
          </w:p>
        </w:tc>
        <w:tc>
          <w:tcPr>
            <w:tcW w:w="1488" w:type="dxa"/>
            <w:vAlign w:val="center"/>
          </w:tcPr>
          <w:p w14:paraId="59376E9D" w14:textId="77777777" w:rsidR="003F0521" w:rsidRDefault="00000000">
            <w:r>
              <w:rPr>
                <w:sz w:val="18"/>
              </w:rPr>
              <w:t>Model liniowy regularyzowany</w:t>
            </w:r>
          </w:p>
        </w:tc>
        <w:tc>
          <w:tcPr>
            <w:tcW w:w="3455" w:type="dxa"/>
            <w:vAlign w:val="center"/>
          </w:tcPr>
          <w:p w14:paraId="3E9B5B98" w14:textId="77777777" w:rsidR="003F0521" w:rsidRDefault="00000000">
            <w:r>
              <w:rPr>
                <w:sz w:val="18"/>
              </w:rPr>
              <w:t>Sprawdzenie łącznej regularyzacji L1/L2 i możliwości zerowania części współczynników.</w:t>
            </w:r>
          </w:p>
        </w:tc>
        <w:tc>
          <w:tcPr>
            <w:tcW w:w="2126" w:type="dxa"/>
            <w:vAlign w:val="center"/>
          </w:tcPr>
          <w:p w14:paraId="6915B8E6" w14:textId="77777777" w:rsidR="003F0521" w:rsidRDefault="00000000">
            <w:r>
              <w:rPr>
                <w:sz w:val="18"/>
              </w:rPr>
              <w:t>Funkcja decyzyjna.</w:t>
            </w:r>
          </w:p>
        </w:tc>
      </w:tr>
      <w:tr w:rsidR="003F0521" w14:paraId="1D6E4536" w14:textId="77777777">
        <w:trPr>
          <w:cantSplit/>
          <w:jc w:val="center"/>
        </w:trPr>
        <w:tc>
          <w:tcPr>
            <w:tcW w:w="1435" w:type="dxa"/>
            <w:vAlign w:val="center"/>
          </w:tcPr>
          <w:p w14:paraId="557CAAC0" w14:textId="77777777" w:rsidR="003F0521" w:rsidRDefault="00000000">
            <w:r>
              <w:rPr>
                <w:sz w:val="18"/>
              </w:rPr>
              <w:t>RBF SVM</w:t>
            </w:r>
          </w:p>
        </w:tc>
        <w:tc>
          <w:tcPr>
            <w:tcW w:w="1488" w:type="dxa"/>
            <w:vAlign w:val="center"/>
          </w:tcPr>
          <w:p w14:paraId="2AAF5BD3" w14:textId="77777777" w:rsidR="003F0521" w:rsidRDefault="00000000">
            <w:r>
              <w:rPr>
                <w:sz w:val="18"/>
              </w:rPr>
              <w:t>Model jądrowy</w:t>
            </w:r>
          </w:p>
        </w:tc>
        <w:tc>
          <w:tcPr>
            <w:tcW w:w="3455" w:type="dxa"/>
            <w:vAlign w:val="center"/>
          </w:tcPr>
          <w:p w14:paraId="246264F4" w14:textId="77777777" w:rsidR="003F0521" w:rsidRDefault="00000000">
            <w:r>
              <w:rPr>
                <w:sz w:val="18"/>
              </w:rPr>
              <w:t>Nieliniowa granica decyzyjna bez jawnego tworzenia interakcji.</w:t>
            </w:r>
          </w:p>
        </w:tc>
        <w:tc>
          <w:tcPr>
            <w:tcW w:w="2126" w:type="dxa"/>
            <w:vAlign w:val="center"/>
          </w:tcPr>
          <w:p w14:paraId="6DC79A10" w14:textId="77777777" w:rsidR="003F0521" w:rsidRDefault="00000000">
            <w:r>
              <w:rPr>
                <w:sz w:val="18"/>
              </w:rPr>
              <w:t>Odległość od hiperpłaszczyzny.</w:t>
            </w:r>
          </w:p>
        </w:tc>
      </w:tr>
      <w:tr w:rsidR="003F0521" w14:paraId="7F9AC730" w14:textId="77777777">
        <w:trPr>
          <w:cantSplit/>
          <w:jc w:val="center"/>
        </w:trPr>
        <w:tc>
          <w:tcPr>
            <w:tcW w:w="1435" w:type="dxa"/>
            <w:vAlign w:val="center"/>
          </w:tcPr>
          <w:p w14:paraId="2A61E396" w14:textId="77777777" w:rsidR="003F0521" w:rsidRDefault="00000000">
            <w:r>
              <w:rPr>
                <w:sz w:val="18"/>
              </w:rPr>
              <w:t>Random forest</w:t>
            </w:r>
          </w:p>
        </w:tc>
        <w:tc>
          <w:tcPr>
            <w:tcW w:w="1488" w:type="dxa"/>
            <w:vAlign w:val="center"/>
          </w:tcPr>
          <w:p w14:paraId="0864C976" w14:textId="77777777" w:rsidR="003F0521" w:rsidRDefault="00000000">
            <w:r>
              <w:rPr>
                <w:sz w:val="18"/>
              </w:rPr>
              <w:t>Bagging drzew</w:t>
            </w:r>
          </w:p>
        </w:tc>
        <w:tc>
          <w:tcPr>
            <w:tcW w:w="3455" w:type="dxa"/>
            <w:vAlign w:val="center"/>
          </w:tcPr>
          <w:p w14:paraId="1D9170C9" w14:textId="77777777" w:rsidR="003F0521" w:rsidRDefault="00000000">
            <w:r>
              <w:rPr>
                <w:sz w:val="18"/>
              </w:rPr>
              <w:t>Nieliniowości i interakcje stabilizowane agregacją losowanych drzew.</w:t>
            </w:r>
          </w:p>
        </w:tc>
        <w:tc>
          <w:tcPr>
            <w:tcW w:w="2126" w:type="dxa"/>
            <w:vAlign w:val="center"/>
          </w:tcPr>
          <w:p w14:paraId="6FA09C58" w14:textId="77777777" w:rsidR="003F0521" w:rsidRDefault="00000000">
            <w:r>
              <w:rPr>
                <w:sz w:val="18"/>
              </w:rPr>
              <w:t>Logit prawdopodobieństwa.</w:t>
            </w:r>
          </w:p>
        </w:tc>
      </w:tr>
      <w:tr w:rsidR="003F0521" w14:paraId="53AC7D66" w14:textId="77777777">
        <w:trPr>
          <w:cantSplit/>
          <w:jc w:val="center"/>
        </w:trPr>
        <w:tc>
          <w:tcPr>
            <w:tcW w:w="1435" w:type="dxa"/>
            <w:vAlign w:val="center"/>
          </w:tcPr>
          <w:p w14:paraId="6FD879F1" w14:textId="77777777" w:rsidR="003F0521" w:rsidRDefault="00000000">
            <w:r>
              <w:rPr>
                <w:sz w:val="18"/>
              </w:rPr>
              <w:t>Histogram gradient boosting</w:t>
            </w:r>
          </w:p>
        </w:tc>
        <w:tc>
          <w:tcPr>
            <w:tcW w:w="1488" w:type="dxa"/>
            <w:vAlign w:val="center"/>
          </w:tcPr>
          <w:p w14:paraId="5ECAF5FB" w14:textId="77777777" w:rsidR="003F0521" w:rsidRDefault="00000000">
            <w:r>
              <w:rPr>
                <w:sz w:val="18"/>
              </w:rPr>
              <w:t>Boosting drzew</w:t>
            </w:r>
          </w:p>
        </w:tc>
        <w:tc>
          <w:tcPr>
            <w:tcW w:w="3455" w:type="dxa"/>
            <w:vAlign w:val="center"/>
          </w:tcPr>
          <w:p w14:paraId="2B4B7986" w14:textId="77777777" w:rsidR="003F0521" w:rsidRDefault="00000000">
            <w:r>
              <w:rPr>
                <w:sz w:val="18"/>
              </w:rPr>
              <w:t>Sekwencyjna korekta błędów na histogramowo dyskretyzowanych cechach.</w:t>
            </w:r>
          </w:p>
        </w:tc>
        <w:tc>
          <w:tcPr>
            <w:tcW w:w="2126" w:type="dxa"/>
            <w:vAlign w:val="center"/>
          </w:tcPr>
          <w:p w14:paraId="0981CD45" w14:textId="77777777" w:rsidR="003F0521" w:rsidRDefault="00000000">
            <w:r>
              <w:rPr>
                <w:sz w:val="18"/>
              </w:rPr>
              <w:t>Funkcja decyzyjna.</w:t>
            </w:r>
          </w:p>
        </w:tc>
      </w:tr>
      <w:tr w:rsidR="003F0521" w14:paraId="0764625D" w14:textId="77777777">
        <w:trPr>
          <w:cantSplit/>
          <w:jc w:val="center"/>
        </w:trPr>
        <w:tc>
          <w:tcPr>
            <w:tcW w:w="1435" w:type="dxa"/>
            <w:vAlign w:val="center"/>
          </w:tcPr>
          <w:p w14:paraId="1B5387C6" w14:textId="77777777" w:rsidR="003F0521" w:rsidRDefault="00000000">
            <w:r>
              <w:rPr>
                <w:sz w:val="18"/>
              </w:rPr>
              <w:t>XGBoost</w:t>
            </w:r>
          </w:p>
        </w:tc>
        <w:tc>
          <w:tcPr>
            <w:tcW w:w="1488" w:type="dxa"/>
            <w:vAlign w:val="center"/>
          </w:tcPr>
          <w:p w14:paraId="6E8C88F9" w14:textId="77777777" w:rsidR="003F0521" w:rsidRDefault="00000000">
            <w:r>
              <w:rPr>
                <w:sz w:val="18"/>
              </w:rPr>
              <w:t>Regularizowany boosting drzew</w:t>
            </w:r>
          </w:p>
        </w:tc>
        <w:tc>
          <w:tcPr>
            <w:tcW w:w="3455" w:type="dxa"/>
            <w:vAlign w:val="center"/>
          </w:tcPr>
          <w:p w14:paraId="206FB4B1" w14:textId="77777777" w:rsidR="003F0521" w:rsidRDefault="00000000">
            <w:r>
              <w:rPr>
                <w:sz w:val="18"/>
              </w:rPr>
              <w:t>Rozbudowany model boostingowy z subsamplingiem i regularyzacją.</w:t>
            </w:r>
          </w:p>
        </w:tc>
        <w:tc>
          <w:tcPr>
            <w:tcW w:w="2126" w:type="dxa"/>
            <w:vAlign w:val="center"/>
          </w:tcPr>
          <w:p w14:paraId="7873A3EB" w14:textId="77777777" w:rsidR="003F0521" w:rsidRDefault="00000000">
            <w:r>
              <w:rPr>
                <w:sz w:val="18"/>
              </w:rPr>
              <w:t>Natywny margines.</w:t>
            </w:r>
          </w:p>
        </w:tc>
      </w:tr>
      <w:tr w:rsidR="003F0521" w14:paraId="585A8D37" w14:textId="77777777">
        <w:trPr>
          <w:cantSplit/>
          <w:jc w:val="center"/>
        </w:trPr>
        <w:tc>
          <w:tcPr>
            <w:tcW w:w="1435" w:type="dxa"/>
            <w:vAlign w:val="center"/>
          </w:tcPr>
          <w:p w14:paraId="311E4428" w14:textId="77777777" w:rsidR="003F0521" w:rsidRDefault="00000000">
            <w:r>
              <w:rPr>
                <w:sz w:val="18"/>
              </w:rPr>
              <w:t>PyTorch MLP</w:t>
            </w:r>
          </w:p>
        </w:tc>
        <w:tc>
          <w:tcPr>
            <w:tcW w:w="1488" w:type="dxa"/>
            <w:vAlign w:val="center"/>
          </w:tcPr>
          <w:p w14:paraId="7129791C" w14:textId="77777777" w:rsidR="003F0521" w:rsidRDefault="00000000">
            <w:r>
              <w:rPr>
                <w:sz w:val="18"/>
              </w:rPr>
              <w:t>Klasyczna sieć neuronowa</w:t>
            </w:r>
          </w:p>
        </w:tc>
        <w:tc>
          <w:tcPr>
            <w:tcW w:w="3455" w:type="dxa"/>
            <w:vAlign w:val="center"/>
          </w:tcPr>
          <w:p w14:paraId="5F182B6B" w14:textId="77777777" w:rsidR="003F0521" w:rsidRDefault="00000000">
            <w:r>
              <w:rPr>
                <w:sz w:val="18"/>
              </w:rPr>
              <w:t>Nieliniowy benchmark reprezentacyjnie najbliższy QNN.</w:t>
            </w:r>
          </w:p>
        </w:tc>
        <w:tc>
          <w:tcPr>
            <w:tcW w:w="2126" w:type="dxa"/>
            <w:vAlign w:val="center"/>
          </w:tcPr>
          <w:p w14:paraId="3D4698A3" w14:textId="77777777" w:rsidR="003F0521" w:rsidRDefault="00000000">
            <w:r>
              <w:rPr>
                <w:sz w:val="18"/>
              </w:rPr>
              <w:t>Jeden logit.</w:t>
            </w:r>
          </w:p>
        </w:tc>
      </w:tr>
      <w:tr w:rsidR="003F0521" w14:paraId="7B7550A6" w14:textId="77777777">
        <w:trPr>
          <w:cantSplit/>
          <w:jc w:val="center"/>
        </w:trPr>
        <w:tc>
          <w:tcPr>
            <w:tcW w:w="1435" w:type="dxa"/>
            <w:vAlign w:val="center"/>
          </w:tcPr>
          <w:p w14:paraId="24E85551" w14:textId="77777777" w:rsidR="003F0521" w:rsidRDefault="00000000">
            <w:r>
              <w:rPr>
                <w:sz w:val="18"/>
              </w:rPr>
              <w:t>QNN</w:t>
            </w:r>
          </w:p>
        </w:tc>
        <w:tc>
          <w:tcPr>
            <w:tcW w:w="1488" w:type="dxa"/>
            <w:vAlign w:val="center"/>
          </w:tcPr>
          <w:p w14:paraId="001DD235" w14:textId="77777777" w:rsidR="003F0521" w:rsidRDefault="00000000">
            <w:r>
              <w:rPr>
                <w:sz w:val="18"/>
              </w:rPr>
              <w:t>Model hybrydowy klasyczno-kwantowy</w:t>
            </w:r>
          </w:p>
        </w:tc>
        <w:tc>
          <w:tcPr>
            <w:tcW w:w="3455" w:type="dxa"/>
            <w:vAlign w:val="center"/>
          </w:tcPr>
          <w:p w14:paraId="1315DD33" w14:textId="77777777" w:rsidR="003F0521" w:rsidRDefault="00000000">
            <w:r>
              <w:rPr>
                <w:sz w:val="18"/>
              </w:rPr>
              <w:t>Porównanie wariacyjnego obwodu kwantowego przy kontrolowanym wymiarze wejścia.</w:t>
            </w:r>
          </w:p>
        </w:tc>
        <w:tc>
          <w:tcPr>
            <w:tcW w:w="2126" w:type="dxa"/>
            <w:vAlign w:val="center"/>
          </w:tcPr>
          <w:p w14:paraId="48D3ABDE" w14:textId="77777777" w:rsidR="003F0521" w:rsidRDefault="00000000">
            <w:r>
              <w:rPr>
                <w:sz w:val="18"/>
              </w:rPr>
              <w:t>Jeden logit z wartości oczekiwanych obwodu.</w:t>
            </w:r>
          </w:p>
        </w:tc>
      </w:tr>
    </w:tbl>
    <w:p w14:paraId="5EA3DD06" w14:textId="77777777" w:rsidR="003F0521" w:rsidRDefault="00000000">
      <w:pPr>
        <w:pStyle w:val="rdotabeli"/>
      </w:pPr>
      <w:r>
        <w:rPr>
          <w:color w:val="000000"/>
          <w:szCs w:val="18"/>
        </w:rPr>
        <w:t>Źródło: opracowanie własne na podstawie model-stage preregistration v1.0.0.</w:t>
      </w:r>
    </w:p>
    <w:p w14:paraId="4F631E99" w14:textId="77777777" w:rsidR="003F0521" w:rsidRDefault="00000000">
      <w:pPr>
        <w:spacing w:after="0" w:line="360" w:lineRule="auto"/>
        <w:ind w:firstLine="709"/>
        <w:jc w:val="both"/>
      </w:pPr>
      <w:r>
        <w:rPr>
          <w:b/>
        </w:rPr>
        <w:t xml:space="preserve">Model zerowy i regresja logistyczna. </w:t>
      </w:r>
      <w:r>
        <w:t>Dummy prior nie wykorzystuje cech i przypisuje wszystkim obserwacjom wynik wynikający z udziału klasy pozytywnej w zbiorze treningowym danego foldu. Pozwala sprawdzić, czy model uczący się relacji w X_t przewyższa samą bazową częstość zdarzenia. Fixed L2 logistic stosuje C=1 i pełni rolę podstawowego modelu liniowego. Wariant elastic net używa solvera SAGA oraz dwóch parametrów regularyzacji: C kontrolującego ogólną siłę kary i l1_ratio określającego udział składnika L1. Ewentualne wyzerowanie współczynników jest efektem dopasowania modelu, a nie osobnym etapem selekcji cech w potoku przetwarzania.</w:t>
      </w:r>
    </w:p>
    <w:p w14:paraId="2899B13F" w14:textId="77777777" w:rsidR="003F0521" w:rsidRDefault="00000000">
      <w:pPr>
        <w:spacing w:after="0" w:line="360" w:lineRule="auto"/>
        <w:ind w:firstLine="709"/>
        <w:jc w:val="both"/>
      </w:pPr>
      <w:r>
        <w:rPr>
          <w:b/>
        </w:rPr>
        <w:t xml:space="preserve">Maszyna wektorów nośnych z jądrem RBF. </w:t>
      </w:r>
      <w:r>
        <w:t>RBF SVM rozszerza benchmark o nieliniową granicę decyzyjną. Parametr C równoważy szerokość marginesu i karę za błędy, a gamma kontroluje lokalność jądra radialnego. Model działa z probability=False, dzięki czemu do rankingu przekazywana jest bezpośrednia funkcja decyzyjna, a nie dodatkowo dopasowywana wewnętrzna kalibracja prawdopodobieństwa.</w:t>
      </w:r>
    </w:p>
    <w:p w14:paraId="2B317350" w14:textId="77777777" w:rsidR="003F0521" w:rsidRDefault="00000000">
      <w:pPr>
        <w:spacing w:after="0" w:line="360" w:lineRule="auto"/>
        <w:ind w:firstLine="709"/>
        <w:jc w:val="both"/>
      </w:pPr>
      <w:r>
        <w:rPr>
          <w:b/>
        </w:rPr>
        <w:lastRenderedPageBreak/>
        <w:t xml:space="preserve">Zespoły drzew. </w:t>
      </w:r>
      <w:r>
        <w:t>Random forest agreguje wiele drzew budowanych na losowanych obserwacjach i podzbiorach cech; w prerejestracji zmieniane są między innymi głębokość, minimalna liczba obserwacji w liściu, udział cech oraz udział obserwacji w pojedynczym drzewie. Histogram gradient boosting tworzy addytywny zespół płytkich drzew na zdyskretyzowanych cechach i różnicuje learning rate, liczbę iteracji, liczbę liści, minimalny rozmiar liścia, udział cech i karę L2. XGBoost stanowi drugi wariant boostingu, z oddzielną kontrolą głębokości, liczby drzew, tempa uczenia, min_child_weight, subsamplingu obserwacji i kolumn oraz regularyzacji L1/L2. Zastosowanie kilku rodzin drzew ogranicza ryzyko utożsamienia całej klasy modeli nieliniowych z jednym algorytmem lub jednym sposobem regularyzacji.</w:t>
      </w:r>
    </w:p>
    <w:p w14:paraId="23218B19" w14:textId="77777777" w:rsidR="003F0521" w:rsidRDefault="00000000">
      <w:pPr>
        <w:spacing w:after="0" w:line="360" w:lineRule="auto"/>
        <w:ind w:firstLine="709"/>
        <w:jc w:val="both"/>
      </w:pPr>
      <w:r>
        <w:rPr>
          <w:b/>
        </w:rPr>
        <w:t xml:space="preserve">Udokumentowane pominięcia. </w:t>
      </w:r>
      <w:r>
        <w:t>LDA nie została włączona, ponieważ rolę liniowego benchmarku realizują regresje logistyczne, natomiast założenie wspólnej struktury kowariancji jest mniej przekonujące dla macierzy łączącej ciągłe wskaźniki finansowe i binarne wskaźniki braków. Pojedyncze drzewo decyzyjne pominięto ze względu na jego spodziewaną wysoką wariancję oraz obecność trzech prerejestrowanych rodzin zespołowych, które stabilizują predykcje przez agregację, boosting lub regularizację. Wcześniejszą alternatywę LightGBM/XGBoost zmaterializowano jako XGBoost. Pominięcia te są częścią prerejestracji i nie mogą zostać odwrócone po obejrzeniu wyników.</w:t>
      </w:r>
    </w:p>
    <w:p w14:paraId="58E1F90D" w14:textId="77777777" w:rsidR="003F0521" w:rsidRDefault="00000000">
      <w:pPr>
        <w:spacing w:after="0" w:line="360" w:lineRule="auto"/>
        <w:ind w:firstLine="709"/>
        <w:jc w:val="both"/>
      </w:pPr>
      <w:r>
        <w:rPr>
          <w:b/>
        </w:rPr>
        <w:t xml:space="preserve">Materializacja konfiguracji. </w:t>
      </w:r>
      <w:r>
        <w:t>Pełny rejestr zawiera 142 unikalne configuration_id. Te same listy kandydatów klasycznych są stosowane do wszystkich trzech bloków cech, dlatego po rozwinięciu bloków, etapów i wiązań powstaje kanoniczny indeks 320 pozycji wykonawczych. Rejestr v1.0.1 jest korektą naukową przygotowaną przed pierwszym dopasowaniem: nie zmienił przestrzeni wyszukiwania, lecz jawnie dołączył liczbę epok MLP do identyfikatora konfiguracji i doprecyzował reguły wykonawcze.</w:t>
      </w:r>
      <w:r>
        <w:footnoteReference w:id="28"/>
      </w:r>
    </w:p>
    <w:p w14:paraId="701C3FB0" w14:textId="77777777" w:rsidR="003F0521" w:rsidRDefault="00000000">
      <w:pPr>
        <w:pStyle w:val="Podpistabeli"/>
        <w:keepLines/>
      </w:pPr>
      <w:r>
        <w:rPr>
          <w:color w:val="000000"/>
          <w:szCs w:val="20"/>
        </w:rPr>
        <w:t>Tabela 4.15. Liczba kandydatów klasycznych i MLP oraz główne parametry wyszukiwania</w:t>
      </w:r>
    </w:p>
    <w:tbl>
      <w:tblPr>
        <w:tblStyle w:val="TableGrid"/>
        <w:tblW w:w="8504" w:type="dxa"/>
        <w:jc w:val="center"/>
        <w:tblLayout w:type="fixed"/>
        <w:tblLook w:val="04A0" w:firstRow="1" w:lastRow="0" w:firstColumn="1" w:lastColumn="0" w:noHBand="0" w:noVBand="1"/>
      </w:tblPr>
      <w:tblGrid>
        <w:gridCol w:w="1754"/>
        <w:gridCol w:w="1063"/>
        <w:gridCol w:w="1063"/>
        <w:gridCol w:w="4624"/>
      </w:tblGrid>
      <w:tr w:rsidR="003F0521" w14:paraId="78DA2EDB" w14:textId="77777777">
        <w:trPr>
          <w:cantSplit/>
          <w:tblHeader/>
          <w:jc w:val="center"/>
        </w:trPr>
        <w:tc>
          <w:tcPr>
            <w:tcW w:w="1754" w:type="dxa"/>
            <w:shd w:val="clear" w:color="auto" w:fill="D9E1F2"/>
            <w:vAlign w:val="center"/>
          </w:tcPr>
          <w:p w14:paraId="06C42639" w14:textId="77777777" w:rsidR="003F0521" w:rsidRDefault="00000000">
            <w:pPr>
              <w:jc w:val="center"/>
            </w:pPr>
            <w:r>
              <w:rPr>
                <w:b/>
                <w:sz w:val="18"/>
              </w:rPr>
              <w:t>Rodzina</w:t>
            </w:r>
          </w:p>
        </w:tc>
        <w:tc>
          <w:tcPr>
            <w:tcW w:w="1063" w:type="dxa"/>
            <w:shd w:val="clear" w:color="auto" w:fill="D9E1F2"/>
            <w:vAlign w:val="center"/>
          </w:tcPr>
          <w:p w14:paraId="2DFAFFBF" w14:textId="77777777" w:rsidR="003F0521" w:rsidRDefault="00000000">
            <w:pPr>
              <w:jc w:val="center"/>
            </w:pPr>
            <w:r>
              <w:rPr>
                <w:b/>
                <w:sz w:val="18"/>
              </w:rPr>
              <w:t>Coarse search</w:t>
            </w:r>
          </w:p>
        </w:tc>
        <w:tc>
          <w:tcPr>
            <w:tcW w:w="1063" w:type="dxa"/>
            <w:shd w:val="clear" w:color="auto" w:fill="D9E1F2"/>
            <w:vAlign w:val="center"/>
          </w:tcPr>
          <w:p w14:paraId="11320E38" w14:textId="77777777" w:rsidR="003F0521" w:rsidRDefault="00000000">
            <w:pPr>
              <w:jc w:val="center"/>
            </w:pPr>
            <w:r>
              <w:rPr>
                <w:b/>
                <w:sz w:val="18"/>
              </w:rPr>
              <w:t>Refinement</w:t>
            </w:r>
          </w:p>
        </w:tc>
        <w:tc>
          <w:tcPr>
            <w:tcW w:w="4624" w:type="dxa"/>
            <w:shd w:val="clear" w:color="auto" w:fill="D9E1F2"/>
            <w:vAlign w:val="center"/>
          </w:tcPr>
          <w:p w14:paraId="485826ED" w14:textId="77777777" w:rsidR="003F0521" w:rsidRDefault="00000000">
            <w:pPr>
              <w:jc w:val="center"/>
            </w:pPr>
            <w:r>
              <w:rPr>
                <w:b/>
                <w:sz w:val="18"/>
              </w:rPr>
              <w:t>Najważniejsze parametry kandydata</w:t>
            </w:r>
          </w:p>
        </w:tc>
      </w:tr>
      <w:tr w:rsidR="003F0521" w14:paraId="4F9B63BF" w14:textId="77777777">
        <w:trPr>
          <w:cantSplit/>
          <w:jc w:val="center"/>
        </w:trPr>
        <w:tc>
          <w:tcPr>
            <w:tcW w:w="1754" w:type="dxa"/>
            <w:vAlign w:val="center"/>
          </w:tcPr>
          <w:p w14:paraId="654482D0" w14:textId="77777777" w:rsidR="003F0521" w:rsidRDefault="00000000">
            <w:r>
              <w:rPr>
                <w:sz w:val="18"/>
              </w:rPr>
              <w:t>Dummy prior</w:t>
            </w:r>
          </w:p>
        </w:tc>
        <w:tc>
          <w:tcPr>
            <w:tcW w:w="1063" w:type="dxa"/>
            <w:vAlign w:val="center"/>
          </w:tcPr>
          <w:p w14:paraId="105B5E20" w14:textId="77777777" w:rsidR="003F0521" w:rsidRDefault="00000000">
            <w:pPr>
              <w:jc w:val="center"/>
            </w:pPr>
            <w:r>
              <w:rPr>
                <w:sz w:val="18"/>
              </w:rPr>
              <w:t>1</w:t>
            </w:r>
          </w:p>
        </w:tc>
        <w:tc>
          <w:tcPr>
            <w:tcW w:w="1063" w:type="dxa"/>
            <w:vAlign w:val="center"/>
          </w:tcPr>
          <w:p w14:paraId="1C36AF12" w14:textId="77777777" w:rsidR="003F0521" w:rsidRDefault="00000000">
            <w:pPr>
              <w:jc w:val="center"/>
            </w:pPr>
            <w:r>
              <w:rPr>
                <w:sz w:val="18"/>
              </w:rPr>
              <w:t>-</w:t>
            </w:r>
          </w:p>
        </w:tc>
        <w:tc>
          <w:tcPr>
            <w:tcW w:w="4624" w:type="dxa"/>
            <w:vAlign w:val="center"/>
          </w:tcPr>
          <w:p w14:paraId="78E6F6EA" w14:textId="77777777" w:rsidR="003F0521" w:rsidRDefault="00000000">
            <w:r>
              <w:rPr>
                <w:sz w:val="18"/>
              </w:rPr>
              <w:t>Strategia prior; bez cech i bez ważenia.</w:t>
            </w:r>
          </w:p>
        </w:tc>
      </w:tr>
      <w:tr w:rsidR="003F0521" w14:paraId="3D839550" w14:textId="77777777">
        <w:trPr>
          <w:cantSplit/>
          <w:jc w:val="center"/>
        </w:trPr>
        <w:tc>
          <w:tcPr>
            <w:tcW w:w="1754" w:type="dxa"/>
            <w:vAlign w:val="center"/>
          </w:tcPr>
          <w:p w14:paraId="174E7014" w14:textId="77777777" w:rsidR="003F0521" w:rsidRDefault="00000000">
            <w:r>
              <w:rPr>
                <w:sz w:val="18"/>
              </w:rPr>
              <w:t>Fixed L2 logistic</w:t>
            </w:r>
          </w:p>
        </w:tc>
        <w:tc>
          <w:tcPr>
            <w:tcW w:w="1063" w:type="dxa"/>
            <w:vAlign w:val="center"/>
          </w:tcPr>
          <w:p w14:paraId="372E7300" w14:textId="77777777" w:rsidR="003F0521" w:rsidRDefault="00000000">
            <w:pPr>
              <w:jc w:val="center"/>
            </w:pPr>
            <w:r>
              <w:rPr>
                <w:sz w:val="18"/>
              </w:rPr>
              <w:t>2</w:t>
            </w:r>
          </w:p>
        </w:tc>
        <w:tc>
          <w:tcPr>
            <w:tcW w:w="1063" w:type="dxa"/>
            <w:vAlign w:val="center"/>
          </w:tcPr>
          <w:p w14:paraId="0BFEA8A3" w14:textId="77777777" w:rsidR="003F0521" w:rsidRDefault="00000000">
            <w:pPr>
              <w:jc w:val="center"/>
            </w:pPr>
            <w:r>
              <w:rPr>
                <w:sz w:val="18"/>
              </w:rPr>
              <w:t>-</w:t>
            </w:r>
          </w:p>
        </w:tc>
        <w:tc>
          <w:tcPr>
            <w:tcW w:w="4624" w:type="dxa"/>
            <w:vAlign w:val="center"/>
          </w:tcPr>
          <w:p w14:paraId="43981C54" w14:textId="77777777" w:rsidR="003F0521" w:rsidRDefault="00000000">
            <w:r>
              <w:rPr>
                <w:sz w:val="18"/>
              </w:rPr>
              <w:t>Stałe C=1; tryb imbalance none albo sqrt.</w:t>
            </w:r>
          </w:p>
        </w:tc>
      </w:tr>
      <w:tr w:rsidR="003F0521" w:rsidRPr="00284ADC" w14:paraId="309A61F0" w14:textId="77777777">
        <w:trPr>
          <w:cantSplit/>
          <w:jc w:val="center"/>
        </w:trPr>
        <w:tc>
          <w:tcPr>
            <w:tcW w:w="1754" w:type="dxa"/>
            <w:vAlign w:val="center"/>
          </w:tcPr>
          <w:p w14:paraId="7C03ECE2" w14:textId="77777777" w:rsidR="003F0521" w:rsidRDefault="00000000">
            <w:r>
              <w:rPr>
                <w:sz w:val="18"/>
              </w:rPr>
              <w:t>Elastic-net logistic</w:t>
            </w:r>
          </w:p>
        </w:tc>
        <w:tc>
          <w:tcPr>
            <w:tcW w:w="1063" w:type="dxa"/>
            <w:vAlign w:val="center"/>
          </w:tcPr>
          <w:p w14:paraId="3DA39D9A" w14:textId="77777777" w:rsidR="003F0521" w:rsidRDefault="00000000">
            <w:pPr>
              <w:jc w:val="center"/>
            </w:pPr>
            <w:r>
              <w:rPr>
                <w:sz w:val="18"/>
              </w:rPr>
              <w:t>12</w:t>
            </w:r>
          </w:p>
        </w:tc>
        <w:tc>
          <w:tcPr>
            <w:tcW w:w="1063" w:type="dxa"/>
            <w:vAlign w:val="center"/>
          </w:tcPr>
          <w:p w14:paraId="48E1EE64" w14:textId="77777777" w:rsidR="003F0521" w:rsidRDefault="00000000">
            <w:pPr>
              <w:jc w:val="center"/>
            </w:pPr>
            <w:r>
              <w:rPr>
                <w:sz w:val="18"/>
              </w:rPr>
              <w:t>8</w:t>
            </w:r>
          </w:p>
        </w:tc>
        <w:tc>
          <w:tcPr>
            <w:tcW w:w="4624" w:type="dxa"/>
            <w:vAlign w:val="center"/>
          </w:tcPr>
          <w:p w14:paraId="1E835D2E" w14:textId="77777777" w:rsidR="003F0521" w:rsidRPr="00284ADC" w:rsidRDefault="00000000">
            <w:pPr>
              <w:rPr>
                <w:lang w:val="en-US"/>
              </w:rPr>
            </w:pPr>
            <w:r w:rsidRPr="00284ADC">
              <w:rPr>
                <w:sz w:val="18"/>
                <w:lang w:val="en-US"/>
              </w:rPr>
              <w:t xml:space="preserve">C, l1_ratio, </w:t>
            </w:r>
            <w:proofErr w:type="spellStart"/>
            <w:r w:rsidRPr="00284ADC">
              <w:rPr>
                <w:sz w:val="18"/>
                <w:lang w:val="en-US"/>
              </w:rPr>
              <w:t>tryb</w:t>
            </w:r>
            <w:proofErr w:type="spellEnd"/>
            <w:r w:rsidRPr="00284ADC">
              <w:rPr>
                <w:sz w:val="18"/>
                <w:lang w:val="en-US"/>
              </w:rPr>
              <w:t xml:space="preserve"> imbalance.</w:t>
            </w:r>
          </w:p>
        </w:tc>
      </w:tr>
      <w:tr w:rsidR="003F0521" w14:paraId="4E45CB82" w14:textId="77777777">
        <w:trPr>
          <w:cantSplit/>
          <w:jc w:val="center"/>
        </w:trPr>
        <w:tc>
          <w:tcPr>
            <w:tcW w:w="1754" w:type="dxa"/>
            <w:vAlign w:val="center"/>
          </w:tcPr>
          <w:p w14:paraId="2DABFED1" w14:textId="77777777" w:rsidR="003F0521" w:rsidRDefault="00000000">
            <w:r>
              <w:rPr>
                <w:sz w:val="18"/>
              </w:rPr>
              <w:t>RBF SVM</w:t>
            </w:r>
          </w:p>
        </w:tc>
        <w:tc>
          <w:tcPr>
            <w:tcW w:w="1063" w:type="dxa"/>
            <w:vAlign w:val="center"/>
          </w:tcPr>
          <w:p w14:paraId="3A5B6E78" w14:textId="77777777" w:rsidR="003F0521" w:rsidRDefault="00000000">
            <w:pPr>
              <w:jc w:val="center"/>
            </w:pPr>
            <w:r>
              <w:rPr>
                <w:sz w:val="18"/>
              </w:rPr>
              <w:t>12</w:t>
            </w:r>
          </w:p>
        </w:tc>
        <w:tc>
          <w:tcPr>
            <w:tcW w:w="1063" w:type="dxa"/>
            <w:vAlign w:val="center"/>
          </w:tcPr>
          <w:p w14:paraId="60A9C390" w14:textId="77777777" w:rsidR="003F0521" w:rsidRDefault="00000000">
            <w:pPr>
              <w:jc w:val="center"/>
            </w:pPr>
            <w:r>
              <w:rPr>
                <w:sz w:val="18"/>
              </w:rPr>
              <w:t>8</w:t>
            </w:r>
          </w:p>
        </w:tc>
        <w:tc>
          <w:tcPr>
            <w:tcW w:w="4624" w:type="dxa"/>
            <w:vAlign w:val="center"/>
          </w:tcPr>
          <w:p w14:paraId="6BC06093" w14:textId="77777777" w:rsidR="003F0521" w:rsidRDefault="00000000">
            <w:r>
              <w:rPr>
                <w:sz w:val="18"/>
              </w:rPr>
              <w:t>C, gamma, tryb imbalance.</w:t>
            </w:r>
          </w:p>
        </w:tc>
      </w:tr>
      <w:tr w:rsidR="003F0521" w:rsidRPr="00284ADC" w14:paraId="62B73195" w14:textId="77777777">
        <w:trPr>
          <w:cantSplit/>
          <w:jc w:val="center"/>
        </w:trPr>
        <w:tc>
          <w:tcPr>
            <w:tcW w:w="1754" w:type="dxa"/>
            <w:vAlign w:val="center"/>
          </w:tcPr>
          <w:p w14:paraId="669D077A" w14:textId="77777777" w:rsidR="003F0521" w:rsidRDefault="00000000">
            <w:r>
              <w:rPr>
                <w:sz w:val="18"/>
              </w:rPr>
              <w:lastRenderedPageBreak/>
              <w:t>Random forest</w:t>
            </w:r>
          </w:p>
        </w:tc>
        <w:tc>
          <w:tcPr>
            <w:tcW w:w="1063" w:type="dxa"/>
            <w:vAlign w:val="center"/>
          </w:tcPr>
          <w:p w14:paraId="3134B793" w14:textId="77777777" w:rsidR="003F0521" w:rsidRDefault="00000000">
            <w:pPr>
              <w:jc w:val="center"/>
            </w:pPr>
            <w:r>
              <w:rPr>
                <w:sz w:val="18"/>
              </w:rPr>
              <w:t>12</w:t>
            </w:r>
          </w:p>
        </w:tc>
        <w:tc>
          <w:tcPr>
            <w:tcW w:w="1063" w:type="dxa"/>
            <w:vAlign w:val="center"/>
          </w:tcPr>
          <w:p w14:paraId="4E735D97" w14:textId="77777777" w:rsidR="003F0521" w:rsidRDefault="00000000">
            <w:pPr>
              <w:jc w:val="center"/>
            </w:pPr>
            <w:r>
              <w:rPr>
                <w:sz w:val="18"/>
              </w:rPr>
              <w:t>8</w:t>
            </w:r>
          </w:p>
        </w:tc>
        <w:tc>
          <w:tcPr>
            <w:tcW w:w="4624" w:type="dxa"/>
            <w:vAlign w:val="center"/>
          </w:tcPr>
          <w:p w14:paraId="3ADA45DE" w14:textId="77777777" w:rsidR="003F0521" w:rsidRPr="00284ADC" w:rsidRDefault="00000000">
            <w:pPr>
              <w:rPr>
                <w:lang w:val="en-US"/>
              </w:rPr>
            </w:pPr>
            <w:r w:rsidRPr="00284ADC">
              <w:rPr>
                <w:sz w:val="18"/>
                <w:lang w:val="en-US"/>
              </w:rPr>
              <w:t xml:space="preserve">criterion, </w:t>
            </w:r>
            <w:proofErr w:type="spellStart"/>
            <w:r w:rsidRPr="00284ADC">
              <w:rPr>
                <w:sz w:val="18"/>
                <w:lang w:val="en-US"/>
              </w:rPr>
              <w:t>max_depth</w:t>
            </w:r>
            <w:proofErr w:type="spellEnd"/>
            <w:r w:rsidRPr="00284ADC">
              <w:rPr>
                <w:sz w:val="18"/>
                <w:lang w:val="en-US"/>
              </w:rPr>
              <w:t xml:space="preserve">, </w:t>
            </w:r>
            <w:proofErr w:type="spellStart"/>
            <w:r w:rsidRPr="00284ADC">
              <w:rPr>
                <w:sz w:val="18"/>
                <w:lang w:val="en-US"/>
              </w:rPr>
              <w:t>min_samples_leaf</w:t>
            </w:r>
            <w:proofErr w:type="spellEnd"/>
            <w:r w:rsidRPr="00284ADC">
              <w:rPr>
                <w:sz w:val="18"/>
                <w:lang w:val="en-US"/>
              </w:rPr>
              <w:t xml:space="preserve">, </w:t>
            </w:r>
            <w:proofErr w:type="spellStart"/>
            <w:r w:rsidRPr="00284ADC">
              <w:rPr>
                <w:sz w:val="18"/>
                <w:lang w:val="en-US"/>
              </w:rPr>
              <w:t>max_features</w:t>
            </w:r>
            <w:proofErr w:type="spellEnd"/>
            <w:r w:rsidRPr="00284ADC">
              <w:rPr>
                <w:sz w:val="18"/>
                <w:lang w:val="en-US"/>
              </w:rPr>
              <w:t xml:space="preserve">, </w:t>
            </w:r>
            <w:proofErr w:type="spellStart"/>
            <w:r w:rsidRPr="00284ADC">
              <w:rPr>
                <w:sz w:val="18"/>
                <w:lang w:val="en-US"/>
              </w:rPr>
              <w:t>max_samples</w:t>
            </w:r>
            <w:proofErr w:type="spellEnd"/>
            <w:r w:rsidRPr="00284ADC">
              <w:rPr>
                <w:sz w:val="18"/>
                <w:lang w:val="en-US"/>
              </w:rPr>
              <w:t>, imbalance.</w:t>
            </w:r>
          </w:p>
        </w:tc>
      </w:tr>
      <w:tr w:rsidR="003F0521" w:rsidRPr="00284ADC" w14:paraId="36F8091C" w14:textId="77777777">
        <w:trPr>
          <w:cantSplit/>
          <w:jc w:val="center"/>
        </w:trPr>
        <w:tc>
          <w:tcPr>
            <w:tcW w:w="1754" w:type="dxa"/>
            <w:vAlign w:val="center"/>
          </w:tcPr>
          <w:p w14:paraId="28F61C76" w14:textId="77777777" w:rsidR="003F0521" w:rsidRDefault="00000000">
            <w:r>
              <w:rPr>
                <w:sz w:val="18"/>
              </w:rPr>
              <w:t xml:space="preserve">Histogram gradient </w:t>
            </w:r>
            <w:proofErr w:type="spellStart"/>
            <w:r>
              <w:rPr>
                <w:sz w:val="18"/>
              </w:rPr>
              <w:t>boosting</w:t>
            </w:r>
            <w:proofErr w:type="spellEnd"/>
          </w:p>
        </w:tc>
        <w:tc>
          <w:tcPr>
            <w:tcW w:w="1063" w:type="dxa"/>
            <w:vAlign w:val="center"/>
          </w:tcPr>
          <w:p w14:paraId="04AEB3F6" w14:textId="77777777" w:rsidR="003F0521" w:rsidRDefault="00000000">
            <w:pPr>
              <w:jc w:val="center"/>
            </w:pPr>
            <w:r>
              <w:rPr>
                <w:sz w:val="18"/>
              </w:rPr>
              <w:t>16</w:t>
            </w:r>
          </w:p>
        </w:tc>
        <w:tc>
          <w:tcPr>
            <w:tcW w:w="1063" w:type="dxa"/>
            <w:vAlign w:val="center"/>
          </w:tcPr>
          <w:p w14:paraId="3D3A96B8" w14:textId="77777777" w:rsidR="003F0521" w:rsidRDefault="00000000">
            <w:pPr>
              <w:jc w:val="center"/>
            </w:pPr>
            <w:r>
              <w:rPr>
                <w:sz w:val="18"/>
              </w:rPr>
              <w:t>10</w:t>
            </w:r>
          </w:p>
        </w:tc>
        <w:tc>
          <w:tcPr>
            <w:tcW w:w="4624" w:type="dxa"/>
            <w:vAlign w:val="center"/>
          </w:tcPr>
          <w:p w14:paraId="0BB4ED16" w14:textId="77777777" w:rsidR="003F0521" w:rsidRPr="00284ADC" w:rsidRDefault="00000000">
            <w:pPr>
              <w:rPr>
                <w:lang w:val="en-US"/>
              </w:rPr>
            </w:pPr>
            <w:proofErr w:type="spellStart"/>
            <w:r w:rsidRPr="00284ADC">
              <w:rPr>
                <w:sz w:val="18"/>
                <w:lang w:val="en-US"/>
              </w:rPr>
              <w:t>learning_rate</w:t>
            </w:r>
            <w:proofErr w:type="spellEnd"/>
            <w:r w:rsidRPr="00284ADC">
              <w:rPr>
                <w:sz w:val="18"/>
                <w:lang w:val="en-US"/>
              </w:rPr>
              <w:t xml:space="preserve">, </w:t>
            </w:r>
            <w:proofErr w:type="spellStart"/>
            <w:r w:rsidRPr="00284ADC">
              <w:rPr>
                <w:sz w:val="18"/>
                <w:lang w:val="en-US"/>
              </w:rPr>
              <w:t>max_iter</w:t>
            </w:r>
            <w:proofErr w:type="spellEnd"/>
            <w:r w:rsidRPr="00284ADC">
              <w:rPr>
                <w:sz w:val="18"/>
                <w:lang w:val="en-US"/>
              </w:rPr>
              <w:t xml:space="preserve">, </w:t>
            </w:r>
            <w:proofErr w:type="spellStart"/>
            <w:r w:rsidRPr="00284ADC">
              <w:rPr>
                <w:sz w:val="18"/>
                <w:lang w:val="en-US"/>
              </w:rPr>
              <w:t>max_leaf_nodes</w:t>
            </w:r>
            <w:proofErr w:type="spellEnd"/>
            <w:r w:rsidRPr="00284ADC">
              <w:rPr>
                <w:sz w:val="18"/>
                <w:lang w:val="en-US"/>
              </w:rPr>
              <w:t xml:space="preserve">, </w:t>
            </w:r>
            <w:proofErr w:type="spellStart"/>
            <w:r w:rsidRPr="00284ADC">
              <w:rPr>
                <w:sz w:val="18"/>
                <w:lang w:val="en-US"/>
              </w:rPr>
              <w:t>min_samples_leaf</w:t>
            </w:r>
            <w:proofErr w:type="spellEnd"/>
            <w:r w:rsidRPr="00284ADC">
              <w:rPr>
                <w:sz w:val="18"/>
                <w:lang w:val="en-US"/>
              </w:rPr>
              <w:t xml:space="preserve">, </w:t>
            </w:r>
            <w:proofErr w:type="spellStart"/>
            <w:r w:rsidRPr="00284ADC">
              <w:rPr>
                <w:sz w:val="18"/>
                <w:lang w:val="en-US"/>
              </w:rPr>
              <w:t>max_features</w:t>
            </w:r>
            <w:proofErr w:type="spellEnd"/>
            <w:r w:rsidRPr="00284ADC">
              <w:rPr>
                <w:sz w:val="18"/>
                <w:lang w:val="en-US"/>
              </w:rPr>
              <w:t>, L2, imbalance.</w:t>
            </w:r>
          </w:p>
        </w:tc>
      </w:tr>
      <w:tr w:rsidR="003F0521" w:rsidRPr="00284ADC" w14:paraId="12B20827" w14:textId="77777777">
        <w:trPr>
          <w:cantSplit/>
          <w:jc w:val="center"/>
        </w:trPr>
        <w:tc>
          <w:tcPr>
            <w:tcW w:w="1754" w:type="dxa"/>
            <w:vAlign w:val="center"/>
          </w:tcPr>
          <w:p w14:paraId="64823FC7" w14:textId="77777777" w:rsidR="003F0521" w:rsidRDefault="00000000">
            <w:r>
              <w:rPr>
                <w:sz w:val="18"/>
              </w:rPr>
              <w:t>XGBoost</w:t>
            </w:r>
          </w:p>
        </w:tc>
        <w:tc>
          <w:tcPr>
            <w:tcW w:w="1063" w:type="dxa"/>
            <w:vAlign w:val="center"/>
          </w:tcPr>
          <w:p w14:paraId="73D58F81" w14:textId="77777777" w:rsidR="003F0521" w:rsidRDefault="00000000">
            <w:pPr>
              <w:jc w:val="center"/>
            </w:pPr>
            <w:r>
              <w:rPr>
                <w:sz w:val="18"/>
              </w:rPr>
              <w:t>16</w:t>
            </w:r>
          </w:p>
        </w:tc>
        <w:tc>
          <w:tcPr>
            <w:tcW w:w="1063" w:type="dxa"/>
            <w:vAlign w:val="center"/>
          </w:tcPr>
          <w:p w14:paraId="62EF3C60" w14:textId="77777777" w:rsidR="003F0521" w:rsidRDefault="00000000">
            <w:pPr>
              <w:jc w:val="center"/>
            </w:pPr>
            <w:r>
              <w:rPr>
                <w:sz w:val="18"/>
              </w:rPr>
              <w:t>10</w:t>
            </w:r>
          </w:p>
        </w:tc>
        <w:tc>
          <w:tcPr>
            <w:tcW w:w="4624" w:type="dxa"/>
            <w:vAlign w:val="center"/>
          </w:tcPr>
          <w:p w14:paraId="0EEC1A1A" w14:textId="77777777" w:rsidR="003F0521" w:rsidRPr="00284ADC" w:rsidRDefault="00000000">
            <w:pPr>
              <w:rPr>
                <w:lang w:val="en-US"/>
              </w:rPr>
            </w:pPr>
            <w:proofErr w:type="spellStart"/>
            <w:r w:rsidRPr="00284ADC">
              <w:rPr>
                <w:sz w:val="18"/>
                <w:lang w:val="en-US"/>
              </w:rPr>
              <w:t>n_estimators</w:t>
            </w:r>
            <w:proofErr w:type="spellEnd"/>
            <w:r w:rsidRPr="00284ADC">
              <w:rPr>
                <w:sz w:val="18"/>
                <w:lang w:val="en-US"/>
              </w:rPr>
              <w:t xml:space="preserve">, </w:t>
            </w:r>
            <w:proofErr w:type="spellStart"/>
            <w:r w:rsidRPr="00284ADC">
              <w:rPr>
                <w:sz w:val="18"/>
                <w:lang w:val="en-US"/>
              </w:rPr>
              <w:t>learning_rate</w:t>
            </w:r>
            <w:proofErr w:type="spellEnd"/>
            <w:r w:rsidRPr="00284ADC">
              <w:rPr>
                <w:sz w:val="18"/>
                <w:lang w:val="en-US"/>
              </w:rPr>
              <w:t xml:space="preserve">, </w:t>
            </w:r>
            <w:proofErr w:type="spellStart"/>
            <w:r w:rsidRPr="00284ADC">
              <w:rPr>
                <w:sz w:val="18"/>
                <w:lang w:val="en-US"/>
              </w:rPr>
              <w:t>max_depth</w:t>
            </w:r>
            <w:proofErr w:type="spellEnd"/>
            <w:r w:rsidRPr="00284ADC">
              <w:rPr>
                <w:sz w:val="18"/>
                <w:lang w:val="en-US"/>
              </w:rPr>
              <w:t xml:space="preserve">, </w:t>
            </w:r>
            <w:proofErr w:type="spellStart"/>
            <w:r w:rsidRPr="00284ADC">
              <w:rPr>
                <w:sz w:val="18"/>
                <w:lang w:val="en-US"/>
              </w:rPr>
              <w:t>min_child_weight</w:t>
            </w:r>
            <w:proofErr w:type="spellEnd"/>
            <w:r w:rsidRPr="00284ADC">
              <w:rPr>
                <w:sz w:val="18"/>
                <w:lang w:val="en-US"/>
              </w:rPr>
              <w:t xml:space="preserve">, subsample, </w:t>
            </w:r>
            <w:proofErr w:type="spellStart"/>
            <w:r w:rsidRPr="00284ADC">
              <w:rPr>
                <w:sz w:val="18"/>
                <w:lang w:val="en-US"/>
              </w:rPr>
              <w:t>colsample</w:t>
            </w:r>
            <w:proofErr w:type="spellEnd"/>
            <w:r w:rsidRPr="00284ADC">
              <w:rPr>
                <w:sz w:val="18"/>
                <w:lang w:val="en-US"/>
              </w:rPr>
              <w:t>, gamma, L1/L2, imbalance.</w:t>
            </w:r>
          </w:p>
        </w:tc>
      </w:tr>
      <w:tr w:rsidR="003F0521" w:rsidRPr="00284ADC" w14:paraId="4DD5B5F3" w14:textId="77777777">
        <w:trPr>
          <w:cantSplit/>
          <w:jc w:val="center"/>
        </w:trPr>
        <w:tc>
          <w:tcPr>
            <w:tcW w:w="1754" w:type="dxa"/>
            <w:vAlign w:val="center"/>
          </w:tcPr>
          <w:p w14:paraId="52EF7631" w14:textId="77777777" w:rsidR="003F0521" w:rsidRDefault="00000000">
            <w:proofErr w:type="spellStart"/>
            <w:r>
              <w:rPr>
                <w:sz w:val="18"/>
              </w:rPr>
              <w:t>PyTorch</w:t>
            </w:r>
            <w:proofErr w:type="spellEnd"/>
            <w:r>
              <w:rPr>
                <w:sz w:val="18"/>
              </w:rPr>
              <w:t xml:space="preserve"> MLP</w:t>
            </w:r>
          </w:p>
        </w:tc>
        <w:tc>
          <w:tcPr>
            <w:tcW w:w="1063" w:type="dxa"/>
            <w:vAlign w:val="center"/>
          </w:tcPr>
          <w:p w14:paraId="47960E37" w14:textId="77777777" w:rsidR="003F0521" w:rsidRDefault="00000000">
            <w:pPr>
              <w:jc w:val="center"/>
            </w:pPr>
            <w:r>
              <w:rPr>
                <w:sz w:val="18"/>
              </w:rPr>
              <w:t>12</w:t>
            </w:r>
          </w:p>
        </w:tc>
        <w:tc>
          <w:tcPr>
            <w:tcW w:w="1063" w:type="dxa"/>
            <w:vAlign w:val="center"/>
          </w:tcPr>
          <w:p w14:paraId="62AC3AB5" w14:textId="77777777" w:rsidR="003F0521" w:rsidRDefault="00000000">
            <w:pPr>
              <w:jc w:val="center"/>
            </w:pPr>
            <w:r>
              <w:rPr>
                <w:sz w:val="18"/>
              </w:rPr>
              <w:t>8</w:t>
            </w:r>
          </w:p>
        </w:tc>
        <w:tc>
          <w:tcPr>
            <w:tcW w:w="4624" w:type="dxa"/>
            <w:vAlign w:val="center"/>
          </w:tcPr>
          <w:p w14:paraId="04550CB9" w14:textId="77777777" w:rsidR="003F0521" w:rsidRPr="00284ADC" w:rsidRDefault="00000000">
            <w:pPr>
              <w:rPr>
                <w:lang w:val="en-US"/>
              </w:rPr>
            </w:pPr>
            <w:proofErr w:type="spellStart"/>
            <w:r w:rsidRPr="00284ADC">
              <w:rPr>
                <w:sz w:val="18"/>
                <w:lang w:val="en-US"/>
              </w:rPr>
              <w:t>Warstwy</w:t>
            </w:r>
            <w:proofErr w:type="spellEnd"/>
            <w:r w:rsidRPr="00284ADC">
              <w:rPr>
                <w:sz w:val="18"/>
                <w:lang w:val="en-US"/>
              </w:rPr>
              <w:t xml:space="preserve"> </w:t>
            </w:r>
            <w:proofErr w:type="spellStart"/>
            <w:r w:rsidRPr="00284ADC">
              <w:rPr>
                <w:sz w:val="18"/>
                <w:lang w:val="en-US"/>
              </w:rPr>
              <w:t>ukryte</w:t>
            </w:r>
            <w:proofErr w:type="spellEnd"/>
            <w:r w:rsidRPr="00284ADC">
              <w:rPr>
                <w:sz w:val="18"/>
                <w:lang w:val="en-US"/>
              </w:rPr>
              <w:t xml:space="preserve">, </w:t>
            </w:r>
            <w:proofErr w:type="spellStart"/>
            <w:r w:rsidRPr="00284ADC">
              <w:rPr>
                <w:sz w:val="18"/>
                <w:lang w:val="en-US"/>
              </w:rPr>
              <w:t>aktywacja</w:t>
            </w:r>
            <w:proofErr w:type="spellEnd"/>
            <w:r w:rsidRPr="00284ADC">
              <w:rPr>
                <w:sz w:val="18"/>
                <w:lang w:val="en-US"/>
              </w:rPr>
              <w:t xml:space="preserve">, batch size, </w:t>
            </w:r>
            <w:proofErr w:type="spellStart"/>
            <w:r w:rsidRPr="00284ADC">
              <w:rPr>
                <w:sz w:val="18"/>
                <w:lang w:val="en-US"/>
              </w:rPr>
              <w:t>epoki</w:t>
            </w:r>
            <w:proofErr w:type="spellEnd"/>
            <w:r w:rsidRPr="00284ADC">
              <w:rPr>
                <w:sz w:val="18"/>
                <w:lang w:val="en-US"/>
              </w:rPr>
              <w:t>, learning rate, weight decay, imbalance.</w:t>
            </w:r>
          </w:p>
        </w:tc>
      </w:tr>
    </w:tbl>
    <w:p w14:paraId="1AB21395" w14:textId="77777777" w:rsidR="003F0521" w:rsidRDefault="00000000">
      <w:pPr>
        <w:pStyle w:val="rdotabeli"/>
      </w:pPr>
      <w:r>
        <w:rPr>
          <w:color w:val="000000"/>
          <w:szCs w:val="18"/>
        </w:rPr>
        <w:t>Źródło: opracowanie własne na podstawie configs/model_stage_candidates_v1_scientific_patch.json.</w:t>
      </w:r>
    </w:p>
    <w:p w14:paraId="3CA5E89C" w14:textId="77777777" w:rsidR="003F0521" w:rsidRDefault="00000000">
      <w:pPr>
        <w:spacing w:after="0" w:line="360" w:lineRule="auto"/>
        <w:ind w:firstLine="709"/>
        <w:jc w:val="both"/>
      </w:pPr>
      <w:r>
        <w:rPr>
          <w:b/>
        </w:rPr>
        <w:t xml:space="preserve">Wstępne szerokie wyszukiwanie (coarse search) i warunkowe doprecyzowanie (refinement). </w:t>
      </w:r>
      <w:r>
        <w:t>Etap coarse porównuje szeroki, z góry zmaterializowany zestaw konfiguracji. Po jego zakończeniu refinement może zostać aktywowany wyłącznie przez regułę liczbową opartą na predykcjach OOF z lat 2015–2020. Dla każdej uprawnionej rodziny wybierany jest lider i jego najlepszy blok. Rodzinę aktywuje się, gdy odległość d_f między globalnym liderem coarse a liderem danej rodziny nie przekracza 0,010 oraz jednocześnie spełniony jest co najmniej jeden z dwóch warunków: B_f oznacza, że co najmniej jeden uporządkowany hiperparametr lidera przyjmuje pierwszą albo ostatnią wartość pełnej prerejestrowanej domeny, lub luka g_f między liderem a drugim wynikiem w tej samej rodzinie i bloku nie przekracza 0,003. Parametry nominalne, takie jak funkcja aktywacji lub tryb ważenia, nie aktywują warunku granicznego. Aktywowane mogą być najwyżej trzy rodziny, a wyniki z lat 2021–2024 nie mogą uruchomić refinementu.</w:t>
      </w:r>
    </w:p>
    <w:p w14:paraId="43D98C54" w14:textId="77777777" w:rsidR="003F0521" w:rsidRDefault="00000000">
      <w:pPr>
        <w:keepLines/>
        <w:spacing w:before="60" w:after="60" w:line="240" w:lineRule="auto"/>
        <w:jc w:val="center"/>
      </w:pPr>
      <w:r>
        <w:rPr>
          <w:i/>
          <w:sz w:val="22"/>
        </w:rPr>
        <w:t>d</w:t>
      </w:r>
      <w:r>
        <w:rPr>
          <w:i/>
          <w:sz w:val="22"/>
          <w:vertAlign w:val="subscript"/>
        </w:rPr>
        <w:t>f</w:t>
      </w:r>
      <w:r>
        <w:rPr>
          <w:sz w:val="22"/>
        </w:rPr>
        <w:t xml:space="preserve"> ≤ 0,010  ∧  (</w:t>
      </w:r>
      <w:r>
        <w:rPr>
          <w:i/>
          <w:sz w:val="22"/>
        </w:rPr>
        <w:t>B</w:t>
      </w:r>
      <w:r>
        <w:rPr>
          <w:i/>
          <w:sz w:val="22"/>
          <w:vertAlign w:val="subscript"/>
        </w:rPr>
        <w:t>f</w:t>
      </w:r>
      <w:r>
        <w:rPr>
          <w:sz w:val="22"/>
        </w:rPr>
        <w:t xml:space="preserve"> ∨ </w:t>
      </w:r>
      <w:r>
        <w:rPr>
          <w:i/>
          <w:sz w:val="22"/>
        </w:rPr>
        <w:t>g</w:t>
      </w:r>
      <w:r>
        <w:rPr>
          <w:i/>
          <w:sz w:val="22"/>
          <w:vertAlign w:val="subscript"/>
        </w:rPr>
        <w:t>f</w:t>
      </w:r>
      <w:r>
        <w:rPr>
          <w:sz w:val="22"/>
        </w:rPr>
        <w:t xml:space="preserve"> ≤ 0,003).</w:t>
      </w:r>
    </w:p>
    <w:p w14:paraId="0BE93C53" w14:textId="77777777" w:rsidR="003F0521" w:rsidRDefault="00000000">
      <w:pPr>
        <w:spacing w:after="0" w:line="360" w:lineRule="auto"/>
        <w:ind w:firstLine="709"/>
        <w:jc w:val="both"/>
      </w:pPr>
      <w:r>
        <w:t>Kanoniczny indeks coarse bez QNN obejmuje 247 pozycji, czyli 1 482 dopasowania w sześciu foldach. Po dodaniu 360 dopasowań potwierdzających dwóch najlepszych konfiguracji w stochastycznych rodzinach klasycznych i MLP główny budżet tej części wynosi 1 842 dopasowania. Budżet wyszukiwania i potwierdzenia QNN wynosi 144 dopasowania: 54 w etapie Q1, 54 nowe dopasowania konfiguracji t1–t3 w etapie Q2 oraz 36 dopasowań potwierdzających dla jednej najlepszej konfiguracji Q2 w każdym bloku; konfiguracja t0 ponownie wykorzystuje odpowiednie wyniki zwycięzcy Q1. Łączny limit wyszukiwania rankingowego wynosi 2 166 dopasowań i obejmuje maksymalnie 180 dopasowań refinementu. Oddzielny limit QNN wynosi 240 prób dopasowania, natomiast kontrole PCA-matched mają budżet 12 dopasowań i nie uczestniczą w rankingu.</w:t>
      </w:r>
    </w:p>
    <w:p w14:paraId="0DBBEC69" w14:textId="77777777" w:rsidR="003F0521" w:rsidRDefault="00000000">
      <w:pPr>
        <w:spacing w:after="0" w:line="360" w:lineRule="auto"/>
        <w:ind w:firstLine="709"/>
        <w:jc w:val="both"/>
      </w:pPr>
      <w:r>
        <w:rPr>
          <w:b/>
        </w:rPr>
        <w:t xml:space="preserve">Nierównowaga klas. </w:t>
      </w:r>
      <w:r>
        <w:t xml:space="preserve">Dla każdej konfiguracji rozważany jest tryb bez ważenia albo prerejestrowane ważenie sqrt. Wagi są obliczane wyłącznie na aktualnym zbiorze treningowym foldu; obserwacje walidacyjne nie są ważone w procesie dopasowania. </w:t>
      </w:r>
      <w:r>
        <w:lastRenderedPageBreak/>
        <w:t>Wariant sqrt stanowi umiarkowaną korektę nierównowagi: zwiększa znaczenie klasy pozytywnej, lecz słabiej niż pełne ważenie odwrotnie proporcjonalne do liczebności klas. Nie stosuje się SMOTE, kopiowania obserwacji pozytywnych ani redukcji klasy negatywnej. Dzięki temu każda obserwacja zachowuje swoją jednostkową tożsamość i położenie czasowe.</w:t>
      </w:r>
      <w:r>
        <w:footnoteReference w:id="29"/>
      </w:r>
    </w:p>
    <w:p w14:paraId="7D692AB8" w14:textId="77777777" w:rsidR="003F0521" w:rsidRDefault="00000000">
      <w:pPr>
        <w:keepLines/>
        <w:spacing w:before="60" w:after="60" w:line="240" w:lineRule="auto"/>
        <w:jc w:val="center"/>
      </w:pPr>
      <w:r>
        <w:rPr>
          <w:i/>
          <w:sz w:val="22"/>
        </w:rPr>
        <w:t>w</w:t>
      </w:r>
      <w:r>
        <w:rPr>
          <w:sz w:val="22"/>
          <w:vertAlign w:val="subscript"/>
        </w:rPr>
        <w:t>0</w:t>
      </w:r>
      <w:r>
        <w:rPr>
          <w:sz w:val="22"/>
        </w:rPr>
        <w:t xml:space="preserve"> = 1,      </w:t>
      </w:r>
      <w:r>
        <w:rPr>
          <w:i/>
          <w:sz w:val="22"/>
        </w:rPr>
        <w:t>w</w:t>
      </w:r>
      <w:r>
        <w:rPr>
          <w:sz w:val="22"/>
          <w:vertAlign w:val="subscript"/>
        </w:rPr>
        <w:t>1</w:t>
      </w:r>
      <w:r>
        <w:rPr>
          <w:sz w:val="22"/>
        </w:rPr>
        <w:t xml:space="preserve"> = √(</w:t>
      </w:r>
      <w:r>
        <w:rPr>
          <w:i/>
          <w:sz w:val="22"/>
        </w:rPr>
        <w:t>N</w:t>
      </w:r>
      <w:r>
        <w:rPr>
          <w:sz w:val="22"/>
          <w:vertAlign w:val="subscript"/>
        </w:rPr>
        <w:t>0</w:t>
      </w:r>
      <w:r>
        <w:rPr>
          <w:sz w:val="22"/>
        </w:rPr>
        <w:t xml:space="preserve"> / </w:t>
      </w:r>
      <w:r>
        <w:rPr>
          <w:i/>
          <w:sz w:val="22"/>
        </w:rPr>
        <w:t>N</w:t>
      </w:r>
      <w:r>
        <w:rPr>
          <w:sz w:val="22"/>
          <w:vertAlign w:val="subscript"/>
        </w:rPr>
        <w:t>1</w:t>
      </w:r>
      <w:r>
        <w:rPr>
          <w:sz w:val="22"/>
        </w:rPr>
        <w:t>).</w:t>
      </w:r>
    </w:p>
    <w:p w14:paraId="4698C5FC" w14:textId="77777777" w:rsidR="003F0521" w:rsidRDefault="00000000">
      <w:pPr>
        <w:spacing w:after="0" w:line="360" w:lineRule="auto"/>
        <w:ind w:firstLine="709"/>
        <w:jc w:val="both"/>
      </w:pPr>
      <w:r>
        <w:t>W modelach scikit-learn oraz XGBoost wagi są przekazywane przez sample_weight; w XGBoost scale_pos_weight pozostaje równe 1, aby nie podwajać korekty. MLP i QNN wykorzystują BCEWithLogitsLoss z pos_weight odpowiadającym tej samej formule. Dummy prior nie używa ważenia. Symbole N₀ i N₁ oznaczają liczebności odpowiednio klasy negatywnej i pozytywnej w aktualnym zbiorze treningowym. Tryb none albo sqrt jest elementem configuration_id, dlatego jego wpływ podlega temu samemu rankingowi co inne hiperparametry.</w:t>
      </w:r>
    </w:p>
    <w:p w14:paraId="6DF03906" w14:textId="77777777" w:rsidR="003F0521" w:rsidRDefault="00000000">
      <w:pPr>
        <w:spacing w:after="0" w:line="360" w:lineRule="auto"/>
        <w:ind w:firstLine="709"/>
        <w:jc w:val="both"/>
      </w:pPr>
      <w:r>
        <w:rPr>
          <w:b/>
        </w:rPr>
        <w:t xml:space="preserve">Seedy i potwierdzenie kandydatów. </w:t>
      </w:r>
      <w:r>
        <w:t>Coarse i refinement są wykonywane z seedem 20260818. W stochastycznych modelach klasycznych oraz w MLP dwie najwyżej sklasyfikowane kompletne konfiguracje w każdej rodzinie i bloku są następnie potwierdzane seedami 20260819 i 20260820. W przypadku QNN potwierdzana jest jedna najlepsza kompletna konfiguracja Q2 w każdym bloku. Predykcje OOF muszą mieć identyczne klucze, etykiety, grupy i timestampy; po wyrównaniu uśredniane są surowe wyniki z trzech seedów. Nie uśrednia się prawdopodobieństw. Dummy prior, fixed L2 logistic i RBF SVM z wyłączonym probability są traktowane jako wyjątki deterministyczne. Szczegółową regułę rankingu, kalibracji i wyboru progu przedstawiono w podrozdziale 4.5.</w:t>
      </w:r>
    </w:p>
    <w:p w14:paraId="33C88B46" w14:textId="77777777" w:rsidR="003F0521" w:rsidRDefault="00000000">
      <w:pPr>
        <w:spacing w:after="0" w:line="360" w:lineRule="auto"/>
        <w:ind w:firstLine="709"/>
        <w:jc w:val="both"/>
      </w:pPr>
      <w:r>
        <w:rPr>
          <w:b/>
        </w:rPr>
        <w:t xml:space="preserve">Klasyczny MLP. </w:t>
      </w:r>
      <w:r>
        <w:t xml:space="preserve">Sieć neuronowa została zaimplementowana niezależnie od wysokopoziomowego MLPClassifier jako deterministyczny torch.nn.Sequential w precyzji float64. Kandydaci coarse obejmują jedną albo dwie warstwy ukryte, funkcję ReLU lub tanh, rozmiar minibatcha (batch size) 64 albo 256, 200 epok oraz różne wartości tempa uczenia (learning rate) i zaniku wag (weight decay). Refinement zawiera osiem pobliskich konfiguracji z 300 epokami. Każda sieć zwraca jeden nieograniczony </w:t>
      </w:r>
      <w:r>
        <w:lastRenderedPageBreak/>
        <w:t>logit i jest optymalizowana przez Adam względem binarnej entropii krzyżowej z logitami.</w:t>
      </w:r>
      <w:r>
        <w:footnoteReference w:id="30"/>
      </w:r>
    </w:p>
    <w:p w14:paraId="2F93CC14" w14:textId="77777777" w:rsidR="003F0521" w:rsidRDefault="00000000">
      <w:pPr>
        <w:pStyle w:val="Podpistabeli"/>
        <w:keepLines/>
      </w:pPr>
      <w:r>
        <w:rPr>
          <w:color w:val="000000"/>
          <w:szCs w:val="20"/>
        </w:rPr>
        <w:t>Tabela 4.16. Zamrożony kontrakt uczenia PyTorch MLP</w:t>
      </w:r>
    </w:p>
    <w:tbl>
      <w:tblPr>
        <w:tblStyle w:val="TableGrid"/>
        <w:tblW w:w="8504" w:type="dxa"/>
        <w:jc w:val="center"/>
        <w:tblLayout w:type="fixed"/>
        <w:tblLook w:val="04A0" w:firstRow="1" w:lastRow="0" w:firstColumn="1" w:lastColumn="0" w:noHBand="0" w:noVBand="1"/>
      </w:tblPr>
      <w:tblGrid>
        <w:gridCol w:w="1488"/>
        <w:gridCol w:w="3508"/>
        <w:gridCol w:w="3508"/>
      </w:tblGrid>
      <w:tr w:rsidR="003F0521" w14:paraId="50E995D9" w14:textId="77777777">
        <w:trPr>
          <w:cantSplit/>
          <w:tblHeader/>
          <w:jc w:val="center"/>
        </w:trPr>
        <w:tc>
          <w:tcPr>
            <w:tcW w:w="1488" w:type="dxa"/>
            <w:shd w:val="clear" w:color="auto" w:fill="D9E1F2"/>
            <w:vAlign w:val="center"/>
          </w:tcPr>
          <w:p w14:paraId="5408F853" w14:textId="77777777" w:rsidR="003F0521" w:rsidRDefault="00000000">
            <w:pPr>
              <w:jc w:val="center"/>
            </w:pPr>
            <w:r>
              <w:rPr>
                <w:b/>
                <w:sz w:val="18"/>
              </w:rPr>
              <w:t>Element</w:t>
            </w:r>
          </w:p>
        </w:tc>
        <w:tc>
          <w:tcPr>
            <w:tcW w:w="3508" w:type="dxa"/>
            <w:shd w:val="clear" w:color="auto" w:fill="D9E1F2"/>
            <w:vAlign w:val="center"/>
          </w:tcPr>
          <w:p w14:paraId="772B78EB" w14:textId="77777777" w:rsidR="003F0521" w:rsidRDefault="00000000">
            <w:pPr>
              <w:jc w:val="center"/>
            </w:pPr>
            <w:r>
              <w:rPr>
                <w:b/>
                <w:sz w:val="18"/>
              </w:rPr>
              <w:t>Przyjęta reguła</w:t>
            </w:r>
          </w:p>
        </w:tc>
        <w:tc>
          <w:tcPr>
            <w:tcW w:w="3508" w:type="dxa"/>
            <w:shd w:val="clear" w:color="auto" w:fill="D9E1F2"/>
            <w:vAlign w:val="center"/>
          </w:tcPr>
          <w:p w14:paraId="59CAB75F" w14:textId="77777777" w:rsidR="003F0521" w:rsidRDefault="00000000">
            <w:pPr>
              <w:jc w:val="center"/>
            </w:pPr>
            <w:r>
              <w:rPr>
                <w:b/>
                <w:sz w:val="18"/>
              </w:rPr>
              <w:t>Znaczenie metodologiczne</w:t>
            </w:r>
          </w:p>
        </w:tc>
      </w:tr>
      <w:tr w:rsidR="003F0521" w14:paraId="7E71A950" w14:textId="77777777">
        <w:trPr>
          <w:cantSplit/>
          <w:jc w:val="center"/>
        </w:trPr>
        <w:tc>
          <w:tcPr>
            <w:tcW w:w="1488" w:type="dxa"/>
            <w:vAlign w:val="center"/>
          </w:tcPr>
          <w:p w14:paraId="2C26739C" w14:textId="77777777" w:rsidR="003F0521" w:rsidRDefault="00000000">
            <w:r>
              <w:rPr>
                <w:sz w:val="18"/>
              </w:rPr>
              <w:t>Precyzja i wyjście</w:t>
            </w:r>
          </w:p>
        </w:tc>
        <w:tc>
          <w:tcPr>
            <w:tcW w:w="3508" w:type="dxa"/>
            <w:vAlign w:val="center"/>
          </w:tcPr>
          <w:p w14:paraId="5A2DEFFA" w14:textId="77777777" w:rsidR="003F0521" w:rsidRDefault="00000000">
            <w:r>
              <w:rPr>
                <w:sz w:val="18"/>
              </w:rPr>
              <w:t>float64; jeden logit.</w:t>
            </w:r>
          </w:p>
        </w:tc>
        <w:tc>
          <w:tcPr>
            <w:tcW w:w="3508" w:type="dxa"/>
            <w:vAlign w:val="center"/>
          </w:tcPr>
          <w:p w14:paraId="2F5C2E86" w14:textId="77777777" w:rsidR="003F0521" w:rsidRDefault="00000000">
            <w:r>
              <w:rPr>
                <w:sz w:val="18"/>
              </w:rPr>
              <w:t>Wspólny typ wyniku z QNN i brak ukrytej warstwy probabilistycznej.</w:t>
            </w:r>
          </w:p>
        </w:tc>
      </w:tr>
      <w:tr w:rsidR="003F0521" w14:paraId="07A2F9E6" w14:textId="77777777">
        <w:trPr>
          <w:cantSplit/>
          <w:jc w:val="center"/>
        </w:trPr>
        <w:tc>
          <w:tcPr>
            <w:tcW w:w="1488" w:type="dxa"/>
            <w:vAlign w:val="center"/>
          </w:tcPr>
          <w:p w14:paraId="69794BB6" w14:textId="77777777" w:rsidR="003F0521" w:rsidRDefault="00000000">
            <w:r>
              <w:rPr>
                <w:sz w:val="18"/>
              </w:rPr>
              <w:t>Architektura</w:t>
            </w:r>
          </w:p>
        </w:tc>
        <w:tc>
          <w:tcPr>
            <w:tcW w:w="3508" w:type="dxa"/>
            <w:vAlign w:val="center"/>
          </w:tcPr>
          <w:p w14:paraId="6D5A634D" w14:textId="77777777" w:rsidR="003F0521" w:rsidRDefault="00000000">
            <w:r>
              <w:rPr>
                <w:sz w:val="18"/>
              </w:rPr>
              <w:t>1-2 warstwy ukryte; kandydaci ReLU lub tanh.</w:t>
            </w:r>
          </w:p>
        </w:tc>
        <w:tc>
          <w:tcPr>
            <w:tcW w:w="3508" w:type="dxa"/>
            <w:vAlign w:val="center"/>
          </w:tcPr>
          <w:p w14:paraId="3FA0672D" w14:textId="77777777" w:rsidR="003F0521" w:rsidRDefault="00000000">
            <w:r>
              <w:rPr>
                <w:sz w:val="18"/>
              </w:rPr>
              <w:t>Kontrolowana elastyczność bez nieograniczonego projektowania sieci.</w:t>
            </w:r>
          </w:p>
        </w:tc>
      </w:tr>
      <w:tr w:rsidR="003F0521" w14:paraId="3AC9E721" w14:textId="77777777">
        <w:trPr>
          <w:cantSplit/>
          <w:jc w:val="center"/>
        </w:trPr>
        <w:tc>
          <w:tcPr>
            <w:tcW w:w="1488" w:type="dxa"/>
            <w:vAlign w:val="center"/>
          </w:tcPr>
          <w:p w14:paraId="1259AA26" w14:textId="77777777" w:rsidR="003F0521" w:rsidRDefault="00000000">
            <w:r>
              <w:rPr>
                <w:sz w:val="18"/>
              </w:rPr>
              <w:t>Inicjalizacja</w:t>
            </w:r>
          </w:p>
        </w:tc>
        <w:tc>
          <w:tcPr>
            <w:tcW w:w="3508" w:type="dxa"/>
            <w:vAlign w:val="center"/>
          </w:tcPr>
          <w:p w14:paraId="14E1331F" w14:textId="77777777" w:rsidR="003F0521" w:rsidRDefault="00000000">
            <w:r>
              <w:rPr>
                <w:sz w:val="18"/>
              </w:rPr>
              <w:t>Xavier-uniform dla wag, zera dla biasów.</w:t>
            </w:r>
          </w:p>
        </w:tc>
        <w:tc>
          <w:tcPr>
            <w:tcW w:w="3508" w:type="dxa"/>
            <w:vAlign w:val="center"/>
          </w:tcPr>
          <w:p w14:paraId="1E72F266" w14:textId="77777777" w:rsidR="003F0521" w:rsidRDefault="00000000">
            <w:r>
              <w:rPr>
                <w:sz w:val="18"/>
              </w:rPr>
              <w:t>Deterministyczna inicjalizacja zależna od training seed.</w:t>
            </w:r>
          </w:p>
        </w:tc>
      </w:tr>
      <w:tr w:rsidR="003F0521" w14:paraId="64F3D68D" w14:textId="77777777">
        <w:trPr>
          <w:cantSplit/>
          <w:jc w:val="center"/>
        </w:trPr>
        <w:tc>
          <w:tcPr>
            <w:tcW w:w="1488" w:type="dxa"/>
            <w:vAlign w:val="center"/>
          </w:tcPr>
          <w:p w14:paraId="6EB4C00A" w14:textId="77777777" w:rsidR="003F0521" w:rsidRDefault="00000000">
            <w:r>
              <w:rPr>
                <w:sz w:val="18"/>
              </w:rPr>
              <w:t>Funkcja straty</w:t>
            </w:r>
          </w:p>
        </w:tc>
        <w:tc>
          <w:tcPr>
            <w:tcW w:w="3508" w:type="dxa"/>
            <w:vAlign w:val="center"/>
          </w:tcPr>
          <w:p w14:paraId="273844C8" w14:textId="77777777" w:rsidR="003F0521" w:rsidRDefault="00000000">
            <w:r>
              <w:rPr>
                <w:sz w:val="18"/>
              </w:rPr>
              <w:t>BCEWithLogitsLoss; reduction="mean".</w:t>
            </w:r>
          </w:p>
        </w:tc>
        <w:tc>
          <w:tcPr>
            <w:tcW w:w="3508" w:type="dxa"/>
            <w:vAlign w:val="center"/>
          </w:tcPr>
          <w:p w14:paraId="34B37DF4" w14:textId="77777777" w:rsidR="003F0521" w:rsidRDefault="00000000">
            <w:r>
              <w:rPr>
                <w:sz w:val="18"/>
              </w:rPr>
              <w:t>Stabilne numerycznie połączenie logitu i straty binarnej.</w:t>
            </w:r>
          </w:p>
        </w:tc>
      </w:tr>
      <w:tr w:rsidR="003F0521" w14:paraId="6A1CF151" w14:textId="77777777">
        <w:trPr>
          <w:cantSplit/>
          <w:jc w:val="center"/>
        </w:trPr>
        <w:tc>
          <w:tcPr>
            <w:tcW w:w="1488" w:type="dxa"/>
            <w:vAlign w:val="center"/>
          </w:tcPr>
          <w:p w14:paraId="797AC20D" w14:textId="77777777" w:rsidR="003F0521" w:rsidRDefault="00000000">
            <w:r>
              <w:rPr>
                <w:sz w:val="18"/>
              </w:rPr>
              <w:t>Optymalizator</w:t>
            </w:r>
          </w:p>
        </w:tc>
        <w:tc>
          <w:tcPr>
            <w:tcW w:w="3508" w:type="dxa"/>
            <w:vAlign w:val="center"/>
          </w:tcPr>
          <w:p w14:paraId="75735CF6" w14:textId="77777777" w:rsidR="003F0521" w:rsidRDefault="00000000">
            <w:r>
              <w:rPr>
                <w:sz w:val="18"/>
              </w:rPr>
              <w:t>Adam, betas=(0,9; 0,999), eps=1e-8.</w:t>
            </w:r>
          </w:p>
        </w:tc>
        <w:tc>
          <w:tcPr>
            <w:tcW w:w="3508" w:type="dxa"/>
            <w:vAlign w:val="center"/>
          </w:tcPr>
          <w:p w14:paraId="65C24D50" w14:textId="77777777" w:rsidR="003F0521" w:rsidRDefault="00000000">
            <w:r>
              <w:rPr>
                <w:sz w:val="18"/>
              </w:rPr>
              <w:t>Stały algorytm optymalizacji we wszystkich konfiguracjach.</w:t>
            </w:r>
          </w:p>
        </w:tc>
      </w:tr>
      <w:tr w:rsidR="003F0521" w14:paraId="7E1A11BA" w14:textId="77777777">
        <w:trPr>
          <w:cantSplit/>
          <w:jc w:val="center"/>
        </w:trPr>
        <w:tc>
          <w:tcPr>
            <w:tcW w:w="1488" w:type="dxa"/>
            <w:vAlign w:val="center"/>
          </w:tcPr>
          <w:p w14:paraId="7362A8E8" w14:textId="77777777" w:rsidR="003F0521" w:rsidRDefault="00000000">
            <w:r>
              <w:rPr>
                <w:sz w:val="18"/>
              </w:rPr>
              <w:t>Regularizacja</w:t>
            </w:r>
          </w:p>
        </w:tc>
        <w:tc>
          <w:tcPr>
            <w:tcW w:w="3508" w:type="dxa"/>
            <w:vAlign w:val="center"/>
          </w:tcPr>
          <w:p w14:paraId="2AF6CF7B" w14:textId="77777777" w:rsidR="003F0521" w:rsidRDefault="00000000">
            <w:r>
              <w:rPr>
                <w:sz w:val="18"/>
              </w:rPr>
              <w:t>weight_decay jako parametr; brak dropout i batch normalization.</w:t>
            </w:r>
          </w:p>
        </w:tc>
        <w:tc>
          <w:tcPr>
            <w:tcW w:w="3508" w:type="dxa"/>
            <w:vAlign w:val="center"/>
          </w:tcPr>
          <w:p w14:paraId="59827D9F" w14:textId="77777777" w:rsidR="003F0521" w:rsidRDefault="00000000">
            <w:r>
              <w:rPr>
                <w:sz w:val="18"/>
              </w:rPr>
              <w:t>Brak dodatkowych, nieprerejestrowanych źródeł różnic.</w:t>
            </w:r>
          </w:p>
        </w:tc>
      </w:tr>
      <w:tr w:rsidR="003F0521" w14:paraId="62687354" w14:textId="77777777">
        <w:trPr>
          <w:cantSplit/>
          <w:jc w:val="center"/>
        </w:trPr>
        <w:tc>
          <w:tcPr>
            <w:tcW w:w="1488" w:type="dxa"/>
            <w:vAlign w:val="center"/>
          </w:tcPr>
          <w:p w14:paraId="49270C06" w14:textId="77777777" w:rsidR="003F0521" w:rsidRDefault="00000000">
            <w:r>
              <w:rPr>
                <w:sz w:val="18"/>
              </w:rPr>
              <w:t>Uczenie</w:t>
            </w:r>
          </w:p>
        </w:tc>
        <w:tc>
          <w:tcPr>
            <w:tcW w:w="3508" w:type="dxa"/>
            <w:vAlign w:val="center"/>
          </w:tcPr>
          <w:p w14:paraId="7A051AF7" w14:textId="77777777" w:rsidR="003F0521" w:rsidRDefault="00000000">
            <w:r>
              <w:rPr>
                <w:sz w:val="18"/>
              </w:rPr>
              <w:t>Brak early stopping; deterministyczny shuffle; jeden wątek.</w:t>
            </w:r>
          </w:p>
        </w:tc>
        <w:tc>
          <w:tcPr>
            <w:tcW w:w="3508" w:type="dxa"/>
            <w:vAlign w:val="center"/>
          </w:tcPr>
          <w:p w14:paraId="30E87F4D" w14:textId="77777777" w:rsidR="003F0521" w:rsidRDefault="00000000">
            <w:r>
              <w:rPr>
                <w:sz w:val="18"/>
              </w:rPr>
              <w:t>Budżet epok jest częścią konfiguracji, nie wynikiem podglądu walidacji.</w:t>
            </w:r>
          </w:p>
        </w:tc>
      </w:tr>
      <w:tr w:rsidR="003F0521" w14:paraId="0C8D5293" w14:textId="77777777">
        <w:trPr>
          <w:cantSplit/>
          <w:jc w:val="center"/>
        </w:trPr>
        <w:tc>
          <w:tcPr>
            <w:tcW w:w="1488" w:type="dxa"/>
            <w:vAlign w:val="center"/>
          </w:tcPr>
          <w:p w14:paraId="5C1D4CDC" w14:textId="77777777" w:rsidR="003F0521" w:rsidRDefault="00000000">
            <w:r>
              <w:rPr>
                <w:sz w:val="18"/>
              </w:rPr>
              <w:t>Checkpoint</w:t>
            </w:r>
          </w:p>
        </w:tc>
        <w:tc>
          <w:tcPr>
            <w:tcW w:w="3508" w:type="dxa"/>
            <w:vAlign w:val="center"/>
          </w:tcPr>
          <w:p w14:paraId="6B1A6A9D" w14:textId="77777777" w:rsidR="003F0521" w:rsidRDefault="00000000">
            <w:r>
              <w:rPr>
                <w:sz w:val="18"/>
              </w:rPr>
              <w:t>Zapis co 5 epok; zapis atomowy; najwyżej jedno resume.</w:t>
            </w:r>
          </w:p>
        </w:tc>
        <w:tc>
          <w:tcPr>
            <w:tcW w:w="3508" w:type="dxa"/>
            <w:vAlign w:val="center"/>
          </w:tcPr>
          <w:p w14:paraId="6F78E8F1" w14:textId="77777777" w:rsidR="003F0521" w:rsidRDefault="00000000">
            <w:r>
              <w:rPr>
                <w:sz w:val="18"/>
              </w:rPr>
              <w:t>Wyłącznie odporność infrastrukturalna; checkpoint nie służy do wyboru epoki ani najlepszej wersji modelu.</w:t>
            </w:r>
          </w:p>
        </w:tc>
      </w:tr>
    </w:tbl>
    <w:p w14:paraId="24A58FF8" w14:textId="77777777" w:rsidR="003F0521" w:rsidRDefault="00000000">
      <w:pPr>
        <w:pStyle w:val="rdotabeli"/>
      </w:pPr>
      <w:r>
        <w:rPr>
          <w:color w:val="000000"/>
          <w:szCs w:val="18"/>
        </w:rPr>
        <w:t>Źródło: opracowanie własne na podstawie configs/model_stage_v1.yaml i production worker.</w:t>
      </w:r>
    </w:p>
    <w:p w14:paraId="7E90EA44" w14:textId="77777777" w:rsidR="003F0521" w:rsidRDefault="00000000">
      <w:pPr>
        <w:spacing w:after="0" w:line="360" w:lineRule="auto"/>
        <w:ind w:firstLine="709"/>
        <w:jc w:val="both"/>
      </w:pPr>
      <w:r>
        <w:rPr>
          <w:b/>
        </w:rPr>
        <w:t xml:space="preserve">Hybrydowy charakter QNN. </w:t>
      </w:r>
      <w:r>
        <w:t>Model kwantowy nie zastępuje całego klasycznego potoku przetwarzania. Preprocessing, PCA, skalowanie komponentów, przycięcie wartości (clipping), obliczenie straty i aktualizacja parametrów pozostają klasyczne. Część kwantowa otrzymuje 4 albo 6 kątów, przygotowuje stan za pomocą pojedynczego kodowania RY, wykonuje parametryzowany obwód i zwraca wartości oczekiwane operatora Pauli Z dla każdego kubitu. Wartości te są łączone przez trenowalną liniową głowicę w jeden logit. Jest to wariacyjny klasyfikator hybrydowy, w którym obwód pełni funkcję nieliniowej, uczonej reprezentacji.</w:t>
      </w:r>
      <w:r>
        <w:footnoteReference w:id="31"/>
      </w:r>
    </w:p>
    <w:p w14:paraId="1878365B" w14:textId="77777777" w:rsidR="003F0521" w:rsidRDefault="00000000">
      <w:pPr>
        <w:keepLines/>
        <w:spacing w:before="60" w:after="60" w:line="240" w:lineRule="auto"/>
        <w:jc w:val="center"/>
      </w:pPr>
      <w:r>
        <w:rPr>
          <w:i/>
          <w:sz w:val="22"/>
        </w:rPr>
        <w:t>z</w:t>
      </w:r>
      <w:r>
        <w:rPr>
          <w:i/>
          <w:sz w:val="22"/>
          <w:vertAlign w:val="subscript"/>
        </w:rPr>
        <w:t>j</w:t>
      </w:r>
      <w:r>
        <w:rPr>
          <w:sz w:val="22"/>
        </w:rPr>
        <w:t>(x; θ) = ⟨0</w:t>
      </w:r>
      <w:r>
        <w:rPr>
          <w:sz w:val="22"/>
          <w:vertAlign w:val="superscript"/>
        </w:rPr>
        <w:t>⊗q</w:t>
      </w:r>
      <w:r>
        <w:rPr>
          <w:sz w:val="22"/>
        </w:rPr>
        <w:t>| E</w:t>
      </w:r>
      <w:r>
        <w:rPr>
          <w:sz w:val="22"/>
          <w:vertAlign w:val="superscript"/>
        </w:rPr>
        <w:t>†</w:t>
      </w:r>
      <w:r>
        <w:rPr>
          <w:sz w:val="22"/>
        </w:rPr>
        <w:t>(x) U</w:t>
      </w:r>
      <w:r>
        <w:rPr>
          <w:sz w:val="22"/>
          <w:vertAlign w:val="superscript"/>
        </w:rPr>
        <w:t>†</w:t>
      </w:r>
      <w:r>
        <w:rPr>
          <w:sz w:val="22"/>
        </w:rPr>
        <w:t>(θ) Z</w:t>
      </w:r>
      <w:r>
        <w:rPr>
          <w:i/>
          <w:sz w:val="22"/>
          <w:vertAlign w:val="subscript"/>
        </w:rPr>
        <w:t>j</w:t>
      </w:r>
      <w:r>
        <w:rPr>
          <w:sz w:val="22"/>
        </w:rPr>
        <w:t xml:space="preserve"> U(θ) E(x) |0</w:t>
      </w:r>
      <w:r>
        <w:rPr>
          <w:sz w:val="22"/>
          <w:vertAlign w:val="superscript"/>
        </w:rPr>
        <w:t>⊗q</w:t>
      </w:r>
      <w:r>
        <w:rPr>
          <w:sz w:val="22"/>
        </w:rPr>
        <w:t>⟩</w:t>
      </w:r>
      <w:r>
        <w:rPr>
          <w:sz w:val="22"/>
        </w:rPr>
        <w:br/>
      </w:r>
      <w:r>
        <w:rPr>
          <w:i/>
          <w:sz w:val="22"/>
        </w:rPr>
        <w:t>s</w:t>
      </w:r>
      <w:r>
        <w:rPr>
          <w:sz w:val="22"/>
        </w:rPr>
        <w:t>(x; θ, β, b) = b + Σ</w:t>
      </w:r>
      <w:r>
        <w:rPr>
          <w:sz w:val="22"/>
          <w:vertAlign w:val="subscript"/>
        </w:rPr>
        <w:t>j=1</w:t>
      </w:r>
      <w:r>
        <w:rPr>
          <w:sz w:val="22"/>
          <w:vertAlign w:val="superscript"/>
        </w:rPr>
        <w:t>q</w:t>
      </w:r>
      <w:r>
        <w:rPr>
          <w:sz w:val="22"/>
        </w:rPr>
        <w:t xml:space="preserve"> β</w:t>
      </w:r>
      <w:r>
        <w:rPr>
          <w:i/>
          <w:sz w:val="22"/>
          <w:vertAlign w:val="subscript"/>
        </w:rPr>
        <w:t>j</w:t>
      </w:r>
      <w:r>
        <w:rPr>
          <w:i/>
          <w:sz w:val="22"/>
        </w:rPr>
        <w:t xml:space="preserve"> z</w:t>
      </w:r>
      <w:r>
        <w:rPr>
          <w:i/>
          <w:sz w:val="22"/>
          <w:vertAlign w:val="subscript"/>
        </w:rPr>
        <w:t>j</w:t>
      </w:r>
      <w:r>
        <w:rPr>
          <w:sz w:val="22"/>
        </w:rPr>
        <w:t>(x; θ).</w:t>
      </w:r>
    </w:p>
    <w:p w14:paraId="56C9FA14" w14:textId="77777777" w:rsidR="003F0521" w:rsidRDefault="00000000">
      <w:pPr>
        <w:spacing w:after="0" w:line="360" w:lineRule="auto"/>
        <w:ind w:firstLine="709"/>
        <w:jc w:val="both"/>
      </w:pPr>
      <w:r>
        <w:t xml:space="preserve">Parametry obwodu oraz liniowej głowicy są optymalizowane wspólnie. Kąty obwodu są inicjalizowane niezależnie z rozkładu jednostajnego [-0,1; 0,1], a głowica metodą Xavier-uniform. Odczyt wartości oczekiwanych Pauli-Z dla wszystkich kubitów zachowuje wielowymiarowy sygnał z obwodu przed redukcją do logitu; w eksperymencie jest on obliczany analitycznie, bez skończonej liczby pomiarów. </w:t>
      </w:r>
      <w:r>
        <w:lastRenderedPageBreak/>
        <w:t>Kolejność parametrów, kierunki bramek oraz inicjalizacja są częścią tożsamości wykonania.</w:t>
      </w:r>
    </w:p>
    <w:p w14:paraId="1D8BB3E0" w14:textId="77777777" w:rsidR="003F0521" w:rsidRDefault="00000000">
      <w:pPr>
        <w:pStyle w:val="Podpistabeli"/>
        <w:keepLines/>
      </w:pPr>
      <w:r>
        <w:rPr>
          <w:color w:val="000000"/>
          <w:szCs w:val="20"/>
        </w:rPr>
        <w:t>Tabela 4.17. Pakiety architektury porównywane w etapie Q1</w:t>
      </w:r>
    </w:p>
    <w:tbl>
      <w:tblPr>
        <w:tblStyle w:val="TableGrid"/>
        <w:tblW w:w="8504" w:type="dxa"/>
        <w:jc w:val="center"/>
        <w:tblLayout w:type="fixed"/>
        <w:tblLook w:val="04A0" w:firstRow="1" w:lastRow="0" w:firstColumn="1" w:lastColumn="0" w:noHBand="0" w:noVBand="1"/>
      </w:tblPr>
      <w:tblGrid>
        <w:gridCol w:w="2338"/>
        <w:gridCol w:w="1914"/>
        <w:gridCol w:w="2764"/>
        <w:gridCol w:w="1488"/>
      </w:tblGrid>
      <w:tr w:rsidR="003F0521" w14:paraId="0767C50F" w14:textId="77777777">
        <w:trPr>
          <w:cantSplit/>
          <w:tblHeader/>
          <w:jc w:val="center"/>
        </w:trPr>
        <w:tc>
          <w:tcPr>
            <w:tcW w:w="2338" w:type="dxa"/>
            <w:shd w:val="clear" w:color="auto" w:fill="D9E1F2"/>
            <w:vAlign w:val="center"/>
          </w:tcPr>
          <w:p w14:paraId="13804D5A" w14:textId="77777777" w:rsidR="003F0521" w:rsidRDefault="00000000">
            <w:pPr>
              <w:jc w:val="center"/>
            </w:pPr>
            <w:r>
              <w:rPr>
                <w:b/>
                <w:sz w:val="18"/>
              </w:rPr>
              <w:t>Ansatz</w:t>
            </w:r>
          </w:p>
        </w:tc>
        <w:tc>
          <w:tcPr>
            <w:tcW w:w="1914" w:type="dxa"/>
            <w:shd w:val="clear" w:color="auto" w:fill="D9E1F2"/>
            <w:vAlign w:val="center"/>
          </w:tcPr>
          <w:p w14:paraId="3C243948" w14:textId="77777777" w:rsidR="003F0521" w:rsidRDefault="00000000">
            <w:pPr>
              <w:jc w:val="center"/>
            </w:pPr>
            <w:r>
              <w:rPr>
                <w:b/>
                <w:sz w:val="18"/>
              </w:rPr>
              <w:t>Lokalne bramki</w:t>
            </w:r>
          </w:p>
        </w:tc>
        <w:tc>
          <w:tcPr>
            <w:tcW w:w="2764" w:type="dxa"/>
            <w:shd w:val="clear" w:color="auto" w:fill="D9E1F2"/>
            <w:vAlign w:val="center"/>
          </w:tcPr>
          <w:p w14:paraId="54B652DA" w14:textId="77777777" w:rsidR="003F0521" w:rsidRDefault="00000000">
            <w:pPr>
              <w:jc w:val="center"/>
            </w:pPr>
            <w:r>
              <w:rPr>
                <w:b/>
                <w:sz w:val="18"/>
              </w:rPr>
              <w:t>Sprzężenie</w:t>
            </w:r>
          </w:p>
        </w:tc>
        <w:tc>
          <w:tcPr>
            <w:tcW w:w="1488" w:type="dxa"/>
            <w:shd w:val="clear" w:color="auto" w:fill="D9E1F2"/>
            <w:vAlign w:val="center"/>
          </w:tcPr>
          <w:p w14:paraId="71954AE9" w14:textId="77777777" w:rsidR="003F0521" w:rsidRDefault="00000000">
            <w:pPr>
              <w:jc w:val="center"/>
            </w:pPr>
            <w:r>
              <w:rPr>
                <w:b/>
                <w:sz w:val="18"/>
              </w:rPr>
              <w:t>Parametry trenowalne dla q=4, dwóch warstw i głowicy</w:t>
            </w:r>
          </w:p>
        </w:tc>
      </w:tr>
      <w:tr w:rsidR="003F0521" w14:paraId="64779EFF" w14:textId="77777777">
        <w:trPr>
          <w:cantSplit/>
          <w:jc w:val="center"/>
        </w:trPr>
        <w:tc>
          <w:tcPr>
            <w:tcW w:w="2338" w:type="dxa"/>
            <w:vAlign w:val="center"/>
          </w:tcPr>
          <w:p w14:paraId="32FF8008" w14:textId="77777777" w:rsidR="003F0521" w:rsidRDefault="00000000">
            <w:r>
              <w:rPr>
                <w:sz w:val="18"/>
              </w:rPr>
              <w:t>ROT_CNOT_RING</w:t>
            </w:r>
          </w:p>
        </w:tc>
        <w:tc>
          <w:tcPr>
            <w:tcW w:w="1914" w:type="dxa"/>
            <w:vAlign w:val="center"/>
          </w:tcPr>
          <w:p w14:paraId="0EDF737F" w14:textId="77777777" w:rsidR="003F0521" w:rsidRDefault="00000000">
            <w:r>
              <w:rPr>
                <w:sz w:val="18"/>
              </w:rPr>
              <w:t>Rot na kolejnych kubitach.</w:t>
            </w:r>
          </w:p>
        </w:tc>
        <w:tc>
          <w:tcPr>
            <w:tcW w:w="2764" w:type="dxa"/>
            <w:vAlign w:val="center"/>
          </w:tcPr>
          <w:p w14:paraId="2D5E98A5" w14:textId="77777777" w:rsidR="003F0521" w:rsidRDefault="00000000">
            <w:r>
              <w:rPr>
                <w:sz w:val="18"/>
              </w:rPr>
              <w:t>Stały skierowany pierścień CNOT: i → (i+1) mod q.</w:t>
            </w:r>
          </w:p>
        </w:tc>
        <w:tc>
          <w:tcPr>
            <w:tcW w:w="1488" w:type="dxa"/>
            <w:vAlign w:val="center"/>
          </w:tcPr>
          <w:p w14:paraId="2112ACB0" w14:textId="77777777" w:rsidR="003F0521" w:rsidRDefault="00000000">
            <w:pPr>
              <w:jc w:val="center"/>
            </w:pPr>
            <w:r>
              <w:rPr>
                <w:sz w:val="18"/>
              </w:rPr>
              <w:t>29</w:t>
            </w:r>
          </w:p>
        </w:tc>
      </w:tr>
      <w:tr w:rsidR="003F0521" w14:paraId="647FEEAD" w14:textId="77777777">
        <w:trPr>
          <w:cantSplit/>
          <w:jc w:val="center"/>
        </w:trPr>
        <w:tc>
          <w:tcPr>
            <w:tcW w:w="2338" w:type="dxa"/>
            <w:vAlign w:val="center"/>
          </w:tcPr>
          <w:p w14:paraId="5C1B8C47" w14:textId="77777777" w:rsidR="003F0521" w:rsidRDefault="00000000">
            <w:r>
              <w:rPr>
                <w:sz w:val="18"/>
              </w:rPr>
              <w:t>RY_RZ_CZ_BRICKWORK</w:t>
            </w:r>
          </w:p>
        </w:tc>
        <w:tc>
          <w:tcPr>
            <w:tcW w:w="1914" w:type="dxa"/>
            <w:vAlign w:val="center"/>
          </w:tcPr>
          <w:p w14:paraId="27E1725C" w14:textId="77777777" w:rsidR="003F0521" w:rsidRDefault="00000000">
            <w:r>
              <w:rPr>
                <w:sz w:val="18"/>
              </w:rPr>
              <w:t>RY, następnie RZ na każdym kubicie.</w:t>
            </w:r>
          </w:p>
        </w:tc>
        <w:tc>
          <w:tcPr>
            <w:tcW w:w="2764" w:type="dxa"/>
            <w:vAlign w:val="center"/>
          </w:tcPr>
          <w:p w14:paraId="0EED02D9" w14:textId="77777777" w:rsidR="003F0521" w:rsidRDefault="00000000">
            <w:r>
              <w:rPr>
                <w:sz w:val="18"/>
              </w:rPr>
              <w:t>Stałe CZ w układzie brickwork, naprzemiennie pary parzyste i nieparzyste.</w:t>
            </w:r>
          </w:p>
        </w:tc>
        <w:tc>
          <w:tcPr>
            <w:tcW w:w="1488" w:type="dxa"/>
            <w:vAlign w:val="center"/>
          </w:tcPr>
          <w:p w14:paraId="359306FD" w14:textId="77777777" w:rsidR="003F0521" w:rsidRDefault="00000000">
            <w:pPr>
              <w:jc w:val="center"/>
            </w:pPr>
            <w:r>
              <w:rPr>
                <w:sz w:val="18"/>
              </w:rPr>
              <w:t>21</w:t>
            </w:r>
          </w:p>
        </w:tc>
      </w:tr>
      <w:tr w:rsidR="003F0521" w14:paraId="55770C97" w14:textId="77777777">
        <w:trPr>
          <w:cantSplit/>
          <w:jc w:val="center"/>
        </w:trPr>
        <w:tc>
          <w:tcPr>
            <w:tcW w:w="2338" w:type="dxa"/>
            <w:vAlign w:val="center"/>
          </w:tcPr>
          <w:p w14:paraId="1AF449BA" w14:textId="77777777" w:rsidR="003F0521" w:rsidRDefault="00000000">
            <w:r>
              <w:rPr>
                <w:sz w:val="18"/>
              </w:rPr>
              <w:t>RY_CRX_RING</w:t>
            </w:r>
          </w:p>
        </w:tc>
        <w:tc>
          <w:tcPr>
            <w:tcW w:w="1914" w:type="dxa"/>
            <w:vAlign w:val="center"/>
          </w:tcPr>
          <w:p w14:paraId="28BD271C" w14:textId="77777777" w:rsidR="003F0521" w:rsidRDefault="00000000">
            <w:r>
              <w:rPr>
                <w:sz w:val="18"/>
              </w:rPr>
              <w:t>RY na każdym kubicie.</w:t>
            </w:r>
          </w:p>
        </w:tc>
        <w:tc>
          <w:tcPr>
            <w:tcW w:w="2764" w:type="dxa"/>
            <w:vAlign w:val="center"/>
          </w:tcPr>
          <w:p w14:paraId="7B921C09" w14:textId="77777777" w:rsidR="003F0521" w:rsidRDefault="00000000">
            <w:r>
              <w:rPr>
                <w:sz w:val="18"/>
              </w:rPr>
              <w:t>Pierścień trenowalnych CRX: i → (i+1) mod q.</w:t>
            </w:r>
          </w:p>
        </w:tc>
        <w:tc>
          <w:tcPr>
            <w:tcW w:w="1488" w:type="dxa"/>
            <w:vAlign w:val="center"/>
          </w:tcPr>
          <w:p w14:paraId="2F4A6E52" w14:textId="77777777" w:rsidR="003F0521" w:rsidRDefault="00000000">
            <w:pPr>
              <w:jc w:val="center"/>
            </w:pPr>
            <w:r>
              <w:rPr>
                <w:sz w:val="18"/>
              </w:rPr>
              <w:t>21</w:t>
            </w:r>
          </w:p>
        </w:tc>
      </w:tr>
    </w:tbl>
    <w:p w14:paraId="532ADDA9" w14:textId="77777777" w:rsidR="003F0521" w:rsidRDefault="00000000">
      <w:pPr>
        <w:pStyle w:val="rdotabeli"/>
      </w:pPr>
      <w:r>
        <w:rPr>
          <w:color w:val="000000"/>
          <w:szCs w:val="18"/>
        </w:rPr>
        <w:t>Źródło: opracowanie własne na podstawie model-stage preregistration v1.0.0.</w:t>
      </w:r>
    </w:p>
    <w:p w14:paraId="2E86904F" w14:textId="77777777" w:rsidR="003F0521" w:rsidRDefault="00000000">
      <w:pPr>
        <w:spacing w:after="0" w:line="360" w:lineRule="auto"/>
        <w:ind w:firstLine="709"/>
        <w:jc w:val="both"/>
      </w:pPr>
      <w:r>
        <w:rPr>
          <w:b/>
        </w:rPr>
        <w:t xml:space="preserve">Dwuetapowe wyszukiwanie QNN. </w:t>
      </w:r>
      <w:r>
        <w:t>Etap Q1 porównuje trzy kompletne pakiety architektury przy identycznych ustawieniach pozostałych parametrów: 4 kubity, 2 warstwy, 45 epok, tempo uczenia 0,01, rozmiar minibatcha 128, zanik wag 0,0001 i ważenie sqrt. Globalny ansatz Q1 jest wybierany spośród dziewięciu kombinacji trzech pakietów architektury i trzech bloków cech. Podstawą jest pooled OOF PR-AUC zaokrąglone do sześciu miejsc, a w przypadku remisu prerejestrowany porządek preferuje kolejno mniejszy blok, mniejszą liczbę parametrów, stałe sprzężenie przed trenowalnym oraz porządek identyfikatorów. Wybór nie jest dokonywany osobno dla każdego bloku. Q1 nie jest interpretowany jako czysty eksperyment przyczynowy dotyczący pojedynczej bramki, ponieważ pakiety różnią się także liczbą i rodzajem parametrów. W Q2 zwycięski ansatz zostaje zamrożony; porównywane są cztery pełne konfiguracje t0–t3 na każdym bloku.</w:t>
      </w:r>
      <w:r>
        <w:footnoteReference w:id="32"/>
      </w:r>
    </w:p>
    <w:p w14:paraId="7B5B0076" w14:textId="77777777" w:rsidR="003F0521" w:rsidRDefault="00000000">
      <w:pPr>
        <w:pStyle w:val="Podpistabeli"/>
        <w:keepLines/>
      </w:pPr>
      <w:r>
        <w:rPr>
          <w:color w:val="000000"/>
          <w:szCs w:val="20"/>
        </w:rPr>
        <w:t>Tabela 4.18. Prerejestrowane konfiguracje etapu Q2</w:t>
      </w:r>
    </w:p>
    <w:tbl>
      <w:tblPr>
        <w:tblStyle w:val="TableGrid"/>
        <w:tblW w:w="8504" w:type="dxa"/>
        <w:jc w:val="center"/>
        <w:tblLayout w:type="fixed"/>
        <w:tblLook w:val="04A0" w:firstRow="1" w:lastRow="0" w:firstColumn="1" w:lastColumn="0" w:noHBand="0" w:noVBand="1"/>
      </w:tblPr>
      <w:tblGrid>
        <w:gridCol w:w="1223"/>
        <w:gridCol w:w="1169"/>
        <w:gridCol w:w="956"/>
        <w:gridCol w:w="956"/>
        <w:gridCol w:w="2499"/>
        <w:gridCol w:w="1701"/>
      </w:tblGrid>
      <w:tr w:rsidR="003F0521" w14:paraId="70893C13" w14:textId="77777777">
        <w:trPr>
          <w:cantSplit/>
          <w:tblHeader/>
          <w:jc w:val="center"/>
        </w:trPr>
        <w:tc>
          <w:tcPr>
            <w:tcW w:w="1223" w:type="dxa"/>
            <w:shd w:val="clear" w:color="auto" w:fill="D9E1F2"/>
            <w:vAlign w:val="center"/>
          </w:tcPr>
          <w:p w14:paraId="6D2D9FEE" w14:textId="77777777" w:rsidR="003F0521" w:rsidRDefault="00000000">
            <w:pPr>
              <w:jc w:val="center"/>
            </w:pPr>
            <w:r>
              <w:rPr>
                <w:b/>
                <w:sz w:val="18"/>
              </w:rPr>
              <w:t>Konfiguracja</w:t>
            </w:r>
          </w:p>
        </w:tc>
        <w:tc>
          <w:tcPr>
            <w:tcW w:w="1169" w:type="dxa"/>
            <w:shd w:val="clear" w:color="auto" w:fill="D9E1F2"/>
            <w:vAlign w:val="center"/>
          </w:tcPr>
          <w:p w14:paraId="0A5D716A" w14:textId="77777777" w:rsidR="003F0521" w:rsidRDefault="00000000">
            <w:pPr>
              <w:jc w:val="center"/>
            </w:pPr>
            <w:r>
              <w:rPr>
                <w:b/>
                <w:sz w:val="18"/>
              </w:rPr>
              <w:t>Kubity / PCA</w:t>
            </w:r>
          </w:p>
        </w:tc>
        <w:tc>
          <w:tcPr>
            <w:tcW w:w="956" w:type="dxa"/>
            <w:shd w:val="clear" w:color="auto" w:fill="D9E1F2"/>
            <w:vAlign w:val="center"/>
          </w:tcPr>
          <w:p w14:paraId="3DD49E0A" w14:textId="77777777" w:rsidR="003F0521" w:rsidRDefault="00000000">
            <w:pPr>
              <w:jc w:val="center"/>
            </w:pPr>
            <w:r>
              <w:rPr>
                <w:b/>
                <w:sz w:val="18"/>
              </w:rPr>
              <w:t>Warstwy</w:t>
            </w:r>
          </w:p>
        </w:tc>
        <w:tc>
          <w:tcPr>
            <w:tcW w:w="956" w:type="dxa"/>
            <w:shd w:val="clear" w:color="auto" w:fill="D9E1F2"/>
            <w:vAlign w:val="center"/>
          </w:tcPr>
          <w:p w14:paraId="20BFB7C2" w14:textId="77777777" w:rsidR="003F0521" w:rsidRDefault="00000000">
            <w:pPr>
              <w:jc w:val="center"/>
            </w:pPr>
            <w:r>
              <w:rPr>
                <w:b/>
                <w:sz w:val="18"/>
              </w:rPr>
              <w:t>Epoki</w:t>
            </w:r>
          </w:p>
        </w:tc>
        <w:tc>
          <w:tcPr>
            <w:tcW w:w="2499" w:type="dxa"/>
            <w:shd w:val="clear" w:color="auto" w:fill="D9E1F2"/>
            <w:vAlign w:val="center"/>
          </w:tcPr>
          <w:p w14:paraId="75F943F2" w14:textId="77777777" w:rsidR="003F0521" w:rsidRDefault="00000000">
            <w:pPr>
              <w:jc w:val="center"/>
            </w:pPr>
            <w:r>
              <w:rPr>
                <w:b/>
                <w:sz w:val="18"/>
              </w:rPr>
              <w:t>Tempo uczenia / minibatch / zanik wag</w:t>
            </w:r>
          </w:p>
        </w:tc>
        <w:tc>
          <w:tcPr>
            <w:tcW w:w="1701" w:type="dxa"/>
            <w:shd w:val="clear" w:color="auto" w:fill="D9E1F2"/>
            <w:vAlign w:val="center"/>
          </w:tcPr>
          <w:p w14:paraId="76B09D23" w14:textId="77777777" w:rsidR="003F0521" w:rsidRDefault="00000000">
            <w:pPr>
              <w:jc w:val="center"/>
            </w:pPr>
            <w:r>
              <w:rPr>
                <w:b/>
                <w:sz w:val="18"/>
              </w:rPr>
              <w:t>Ważenie</w:t>
            </w:r>
          </w:p>
        </w:tc>
      </w:tr>
      <w:tr w:rsidR="003F0521" w14:paraId="68F94BC8" w14:textId="77777777">
        <w:trPr>
          <w:cantSplit/>
          <w:jc w:val="center"/>
        </w:trPr>
        <w:tc>
          <w:tcPr>
            <w:tcW w:w="1223" w:type="dxa"/>
            <w:vAlign w:val="center"/>
          </w:tcPr>
          <w:p w14:paraId="5BD2A88D" w14:textId="77777777" w:rsidR="003F0521" w:rsidRDefault="00000000">
            <w:pPr>
              <w:jc w:val="center"/>
            </w:pPr>
            <w:r>
              <w:rPr>
                <w:sz w:val="18"/>
              </w:rPr>
              <w:t>t0</w:t>
            </w:r>
          </w:p>
        </w:tc>
        <w:tc>
          <w:tcPr>
            <w:tcW w:w="1169" w:type="dxa"/>
            <w:vAlign w:val="center"/>
          </w:tcPr>
          <w:p w14:paraId="3B99089B" w14:textId="77777777" w:rsidR="003F0521" w:rsidRDefault="00000000">
            <w:pPr>
              <w:jc w:val="center"/>
            </w:pPr>
            <w:r>
              <w:rPr>
                <w:sz w:val="18"/>
              </w:rPr>
              <w:t>4</w:t>
            </w:r>
          </w:p>
        </w:tc>
        <w:tc>
          <w:tcPr>
            <w:tcW w:w="956" w:type="dxa"/>
            <w:vAlign w:val="center"/>
          </w:tcPr>
          <w:p w14:paraId="78EC04E9" w14:textId="77777777" w:rsidR="003F0521" w:rsidRDefault="00000000">
            <w:pPr>
              <w:jc w:val="center"/>
            </w:pPr>
            <w:r>
              <w:rPr>
                <w:sz w:val="18"/>
              </w:rPr>
              <w:t>2</w:t>
            </w:r>
          </w:p>
        </w:tc>
        <w:tc>
          <w:tcPr>
            <w:tcW w:w="956" w:type="dxa"/>
            <w:vAlign w:val="center"/>
          </w:tcPr>
          <w:p w14:paraId="11856059" w14:textId="77777777" w:rsidR="003F0521" w:rsidRDefault="00000000">
            <w:pPr>
              <w:jc w:val="center"/>
            </w:pPr>
            <w:r>
              <w:rPr>
                <w:sz w:val="18"/>
              </w:rPr>
              <w:t>45</w:t>
            </w:r>
          </w:p>
        </w:tc>
        <w:tc>
          <w:tcPr>
            <w:tcW w:w="2499" w:type="dxa"/>
            <w:vAlign w:val="center"/>
          </w:tcPr>
          <w:p w14:paraId="44CDF9FE" w14:textId="77777777" w:rsidR="003F0521" w:rsidRDefault="00000000">
            <w:pPr>
              <w:jc w:val="center"/>
            </w:pPr>
            <w:r>
              <w:rPr>
                <w:sz w:val="18"/>
              </w:rPr>
              <w:t>0,01 / 128 / 0,0001</w:t>
            </w:r>
          </w:p>
        </w:tc>
        <w:tc>
          <w:tcPr>
            <w:tcW w:w="1701" w:type="dxa"/>
            <w:vAlign w:val="center"/>
          </w:tcPr>
          <w:p w14:paraId="2CFC5FF0" w14:textId="77777777" w:rsidR="003F0521" w:rsidRDefault="00000000">
            <w:pPr>
              <w:jc w:val="center"/>
            </w:pPr>
            <w:r>
              <w:rPr>
                <w:sz w:val="18"/>
              </w:rPr>
              <w:t>sqrt</w:t>
            </w:r>
          </w:p>
        </w:tc>
      </w:tr>
      <w:tr w:rsidR="003F0521" w14:paraId="4915ED83" w14:textId="77777777">
        <w:trPr>
          <w:cantSplit/>
          <w:jc w:val="center"/>
        </w:trPr>
        <w:tc>
          <w:tcPr>
            <w:tcW w:w="1223" w:type="dxa"/>
            <w:vAlign w:val="center"/>
          </w:tcPr>
          <w:p w14:paraId="3EDD3071" w14:textId="77777777" w:rsidR="003F0521" w:rsidRDefault="00000000">
            <w:pPr>
              <w:jc w:val="center"/>
            </w:pPr>
            <w:r>
              <w:rPr>
                <w:sz w:val="18"/>
              </w:rPr>
              <w:t>t1</w:t>
            </w:r>
          </w:p>
        </w:tc>
        <w:tc>
          <w:tcPr>
            <w:tcW w:w="1169" w:type="dxa"/>
            <w:vAlign w:val="center"/>
          </w:tcPr>
          <w:p w14:paraId="46983166" w14:textId="77777777" w:rsidR="003F0521" w:rsidRDefault="00000000">
            <w:pPr>
              <w:jc w:val="center"/>
            </w:pPr>
            <w:r>
              <w:rPr>
                <w:sz w:val="18"/>
              </w:rPr>
              <w:t>4</w:t>
            </w:r>
          </w:p>
        </w:tc>
        <w:tc>
          <w:tcPr>
            <w:tcW w:w="956" w:type="dxa"/>
            <w:vAlign w:val="center"/>
          </w:tcPr>
          <w:p w14:paraId="57ABE16E" w14:textId="77777777" w:rsidR="003F0521" w:rsidRDefault="00000000">
            <w:pPr>
              <w:jc w:val="center"/>
            </w:pPr>
            <w:r>
              <w:rPr>
                <w:sz w:val="18"/>
              </w:rPr>
              <w:t>1</w:t>
            </w:r>
          </w:p>
        </w:tc>
        <w:tc>
          <w:tcPr>
            <w:tcW w:w="956" w:type="dxa"/>
            <w:vAlign w:val="center"/>
          </w:tcPr>
          <w:p w14:paraId="77F42ED2" w14:textId="77777777" w:rsidR="003F0521" w:rsidRDefault="00000000">
            <w:pPr>
              <w:jc w:val="center"/>
            </w:pPr>
            <w:r>
              <w:rPr>
                <w:sz w:val="18"/>
              </w:rPr>
              <w:t>30</w:t>
            </w:r>
          </w:p>
        </w:tc>
        <w:tc>
          <w:tcPr>
            <w:tcW w:w="2499" w:type="dxa"/>
            <w:vAlign w:val="center"/>
          </w:tcPr>
          <w:p w14:paraId="6DB523C6" w14:textId="77777777" w:rsidR="003F0521" w:rsidRDefault="00000000">
            <w:pPr>
              <w:jc w:val="center"/>
            </w:pPr>
            <w:r>
              <w:rPr>
                <w:sz w:val="18"/>
              </w:rPr>
              <w:t>0,03 / 256 / 0</w:t>
            </w:r>
          </w:p>
        </w:tc>
        <w:tc>
          <w:tcPr>
            <w:tcW w:w="1701" w:type="dxa"/>
            <w:vAlign w:val="center"/>
          </w:tcPr>
          <w:p w14:paraId="592A5BF0" w14:textId="77777777" w:rsidR="003F0521" w:rsidRDefault="00000000">
            <w:pPr>
              <w:jc w:val="center"/>
            </w:pPr>
            <w:r>
              <w:rPr>
                <w:sz w:val="18"/>
              </w:rPr>
              <w:t>none</w:t>
            </w:r>
          </w:p>
        </w:tc>
      </w:tr>
      <w:tr w:rsidR="003F0521" w14:paraId="02634D25" w14:textId="77777777">
        <w:trPr>
          <w:cantSplit/>
          <w:jc w:val="center"/>
        </w:trPr>
        <w:tc>
          <w:tcPr>
            <w:tcW w:w="1223" w:type="dxa"/>
            <w:vAlign w:val="center"/>
          </w:tcPr>
          <w:p w14:paraId="6945A6EF" w14:textId="77777777" w:rsidR="003F0521" w:rsidRDefault="00000000">
            <w:pPr>
              <w:jc w:val="center"/>
            </w:pPr>
            <w:r>
              <w:rPr>
                <w:sz w:val="18"/>
              </w:rPr>
              <w:t>t2</w:t>
            </w:r>
          </w:p>
        </w:tc>
        <w:tc>
          <w:tcPr>
            <w:tcW w:w="1169" w:type="dxa"/>
            <w:vAlign w:val="center"/>
          </w:tcPr>
          <w:p w14:paraId="302211B1" w14:textId="77777777" w:rsidR="003F0521" w:rsidRDefault="00000000">
            <w:pPr>
              <w:jc w:val="center"/>
            </w:pPr>
            <w:r>
              <w:rPr>
                <w:sz w:val="18"/>
              </w:rPr>
              <w:t>6</w:t>
            </w:r>
          </w:p>
        </w:tc>
        <w:tc>
          <w:tcPr>
            <w:tcW w:w="956" w:type="dxa"/>
            <w:vAlign w:val="center"/>
          </w:tcPr>
          <w:p w14:paraId="260D783D" w14:textId="77777777" w:rsidR="003F0521" w:rsidRDefault="00000000">
            <w:pPr>
              <w:jc w:val="center"/>
            </w:pPr>
            <w:r>
              <w:rPr>
                <w:sz w:val="18"/>
              </w:rPr>
              <w:t>2</w:t>
            </w:r>
          </w:p>
        </w:tc>
        <w:tc>
          <w:tcPr>
            <w:tcW w:w="956" w:type="dxa"/>
            <w:vAlign w:val="center"/>
          </w:tcPr>
          <w:p w14:paraId="6DCA73D4" w14:textId="77777777" w:rsidR="003F0521" w:rsidRDefault="00000000">
            <w:pPr>
              <w:jc w:val="center"/>
            </w:pPr>
            <w:r>
              <w:rPr>
                <w:sz w:val="18"/>
              </w:rPr>
              <w:t>45</w:t>
            </w:r>
          </w:p>
        </w:tc>
        <w:tc>
          <w:tcPr>
            <w:tcW w:w="2499" w:type="dxa"/>
            <w:vAlign w:val="center"/>
          </w:tcPr>
          <w:p w14:paraId="0ACA8AA6" w14:textId="77777777" w:rsidR="003F0521" w:rsidRDefault="00000000">
            <w:pPr>
              <w:jc w:val="center"/>
            </w:pPr>
            <w:r>
              <w:rPr>
                <w:sz w:val="18"/>
              </w:rPr>
              <w:t>0,01 / 128 / 0,0001</w:t>
            </w:r>
          </w:p>
        </w:tc>
        <w:tc>
          <w:tcPr>
            <w:tcW w:w="1701" w:type="dxa"/>
            <w:vAlign w:val="center"/>
          </w:tcPr>
          <w:p w14:paraId="1735B4BC" w14:textId="77777777" w:rsidR="003F0521" w:rsidRDefault="00000000">
            <w:pPr>
              <w:jc w:val="center"/>
            </w:pPr>
            <w:r>
              <w:rPr>
                <w:sz w:val="18"/>
              </w:rPr>
              <w:t>sqrt</w:t>
            </w:r>
          </w:p>
        </w:tc>
      </w:tr>
      <w:tr w:rsidR="003F0521" w14:paraId="60888C51" w14:textId="77777777">
        <w:trPr>
          <w:cantSplit/>
          <w:jc w:val="center"/>
        </w:trPr>
        <w:tc>
          <w:tcPr>
            <w:tcW w:w="1223" w:type="dxa"/>
            <w:vAlign w:val="center"/>
          </w:tcPr>
          <w:p w14:paraId="36932470" w14:textId="77777777" w:rsidR="003F0521" w:rsidRDefault="00000000">
            <w:pPr>
              <w:jc w:val="center"/>
            </w:pPr>
            <w:r>
              <w:rPr>
                <w:sz w:val="18"/>
              </w:rPr>
              <w:t>t3</w:t>
            </w:r>
          </w:p>
        </w:tc>
        <w:tc>
          <w:tcPr>
            <w:tcW w:w="1169" w:type="dxa"/>
            <w:vAlign w:val="center"/>
          </w:tcPr>
          <w:p w14:paraId="45E9A5AC" w14:textId="77777777" w:rsidR="003F0521" w:rsidRDefault="00000000">
            <w:pPr>
              <w:jc w:val="center"/>
            </w:pPr>
            <w:r>
              <w:rPr>
                <w:sz w:val="18"/>
              </w:rPr>
              <w:t>6</w:t>
            </w:r>
          </w:p>
        </w:tc>
        <w:tc>
          <w:tcPr>
            <w:tcW w:w="956" w:type="dxa"/>
            <w:vAlign w:val="center"/>
          </w:tcPr>
          <w:p w14:paraId="2F857ED1" w14:textId="77777777" w:rsidR="003F0521" w:rsidRDefault="00000000">
            <w:pPr>
              <w:jc w:val="center"/>
            </w:pPr>
            <w:r>
              <w:rPr>
                <w:sz w:val="18"/>
              </w:rPr>
              <w:t>3</w:t>
            </w:r>
          </w:p>
        </w:tc>
        <w:tc>
          <w:tcPr>
            <w:tcW w:w="956" w:type="dxa"/>
            <w:vAlign w:val="center"/>
          </w:tcPr>
          <w:p w14:paraId="2F5EEEC5" w14:textId="77777777" w:rsidR="003F0521" w:rsidRDefault="00000000">
            <w:pPr>
              <w:jc w:val="center"/>
            </w:pPr>
            <w:r>
              <w:rPr>
                <w:sz w:val="18"/>
              </w:rPr>
              <w:t>60</w:t>
            </w:r>
          </w:p>
        </w:tc>
        <w:tc>
          <w:tcPr>
            <w:tcW w:w="2499" w:type="dxa"/>
            <w:vAlign w:val="center"/>
          </w:tcPr>
          <w:p w14:paraId="67FAC30C" w14:textId="77777777" w:rsidR="003F0521" w:rsidRDefault="00000000">
            <w:pPr>
              <w:jc w:val="center"/>
            </w:pPr>
            <w:r>
              <w:rPr>
                <w:sz w:val="18"/>
              </w:rPr>
              <w:t>0,003 / 256 / 0,001</w:t>
            </w:r>
          </w:p>
        </w:tc>
        <w:tc>
          <w:tcPr>
            <w:tcW w:w="1701" w:type="dxa"/>
            <w:vAlign w:val="center"/>
          </w:tcPr>
          <w:p w14:paraId="1A198824" w14:textId="77777777" w:rsidR="003F0521" w:rsidRDefault="00000000">
            <w:pPr>
              <w:jc w:val="center"/>
            </w:pPr>
            <w:r>
              <w:rPr>
                <w:sz w:val="18"/>
              </w:rPr>
              <w:t>none</w:t>
            </w:r>
          </w:p>
        </w:tc>
      </w:tr>
    </w:tbl>
    <w:p w14:paraId="717BE4F3" w14:textId="77777777" w:rsidR="003F0521" w:rsidRDefault="00000000">
      <w:pPr>
        <w:pStyle w:val="rdotabeli"/>
      </w:pPr>
      <w:r>
        <w:rPr>
          <w:color w:val="000000"/>
          <w:szCs w:val="18"/>
        </w:rPr>
        <w:t>Źródło: opracowanie własne na podstawie configs/model_stage_candidates_v1_scientific_patch.json. Konfiguracja t0 nie wymaga nowego dopasowania w Q2, lecz wykorzystuje odpowiedni wynik zwycięzcy Q1.</w:t>
      </w:r>
    </w:p>
    <w:p w14:paraId="390B4333" w14:textId="77777777" w:rsidR="003F0521" w:rsidRDefault="00000000">
      <w:pPr>
        <w:spacing w:after="0" w:line="360" w:lineRule="auto"/>
        <w:ind w:firstLine="709"/>
        <w:jc w:val="both"/>
      </w:pPr>
      <w:r>
        <w:rPr>
          <w:b/>
        </w:rPr>
        <w:t xml:space="preserve">Symulacja, optymalizacja i limity zasobów. </w:t>
      </w:r>
      <w:r>
        <w:t xml:space="preserve">QNN jest wykonywana analitycznie na urządzeniu PennyLane default.qubit, bez skończonej liczby powtórzeń pomiarowych (shots), w precyzji float64 i z różniczkowaniem adjoint. Nie wykorzystuje rzeczywistego QPU, szumu sprzętowego ani zewnętrznego backendu. Strata i </w:t>
      </w:r>
      <w:r>
        <w:lastRenderedPageBreak/>
        <w:t>optymalizator są zgodne z MLP, a norma gradientu jest ograniczana do 5. Pojedyncze dopasowanie w foldzie ma łączny limit 120 minut; cały etap QNN ma limit 240 godzin skumulowanego czasu wykonania rejestrowanego przez globalny ledger oraz 240 prób. Przekroczenie limitu pojedynczego dopasowania lub inny błąd numeryczny unieważnia danego kandydata zgodnie z maszyną stanów kontraktu wykonawczego. Dopiero wyczerpanie globalnego budżetu albo brak kompletnej konfiguracji końcowej skutkuje statusem rodziny QNN_TECHNICALLY_INFEASIBLE. Nie wolno po fakcie zmniejszyć liczby kubitów, warstw ani epok w celu uzyskania wyniku.</w:t>
      </w:r>
      <w:r>
        <w:footnoteReference w:id="33"/>
      </w:r>
    </w:p>
    <w:p w14:paraId="001DDE36" w14:textId="77777777" w:rsidR="003F0521" w:rsidRDefault="00000000">
      <w:pPr>
        <w:spacing w:after="0" w:line="360" w:lineRule="auto"/>
        <w:ind w:firstLine="709"/>
        <w:jc w:val="both"/>
      </w:pPr>
      <w:r>
        <w:rPr>
          <w:b/>
        </w:rPr>
        <w:t xml:space="preserve">Kontrole PCA-matched. </w:t>
      </w:r>
      <w:r>
        <w:t>Dla reprezentacji wybranej przez QNN przewidziano regresję logistyczną z ustalonym L2 oraz MLP otrzymujące dokładnie te same wiersze, etapy preprocessingu, PCA i skalowanie komponentów. Kontrole te są diagnostyczne: pozwalają oddzielić efekt kompresji danych od efektu wariacyjnego obwodu, ale nie uczestniczą w głównym rankingu i nie mogą wybrać ansatzu.</w:t>
      </w:r>
    </w:p>
    <w:p w14:paraId="14E27990" w14:textId="77777777" w:rsidR="003F0521" w:rsidRDefault="00000000">
      <w:pPr>
        <w:spacing w:after="0" w:line="360" w:lineRule="auto"/>
        <w:ind w:firstLine="709"/>
        <w:jc w:val="both"/>
      </w:pPr>
      <w:r>
        <w:rPr>
          <w:b/>
        </w:rPr>
        <w:t xml:space="preserve">Architektura wykonawcza. </w:t>
      </w:r>
      <w:r>
        <w:t>ProductionExperimentRunner jest kontrolerem zatrzymującym wykonanie przy każdej niespójności (fail-closed). Przed odczytem danych weryfikuje sumy SHA-256 wejść, członkostwo próby, wszystkie sześć foldów, rejestr kandydatów i porządek 320 pozycji. Kontroler jako jedyny odczytuje dane projektu, dopasowuje preprocessing i PCA oraz podejmuje deterministyczne decyzje o refinement, potwierdzeniu seedów i artefaktach. Estymatory działają w oddzielnych podprocesach i otrzymują wyłącznie gotowe macierze numeryczne NPZ oraz JSON z tożsamością zadania. Proces wykonawczy (worker) nie ma loadera CSV ani Parquet i nie otrzymuje ścieżek do okresów chronionych.</w:t>
      </w:r>
      <w:r>
        <w:footnoteReference w:id="34"/>
      </w:r>
    </w:p>
    <w:p w14:paraId="4F5E48C7" w14:textId="77777777" w:rsidR="003F0521" w:rsidRDefault="00000000">
      <w:pPr>
        <w:pStyle w:val="Podpistabeli"/>
        <w:keepLines/>
      </w:pPr>
      <w:r>
        <w:rPr>
          <w:color w:val="000000"/>
          <w:szCs w:val="20"/>
        </w:rPr>
        <w:t>Tabela 4.19. Środowiska i zabezpieczenia reprodukowalności</w:t>
      </w:r>
    </w:p>
    <w:tbl>
      <w:tblPr>
        <w:tblStyle w:val="TableGrid"/>
        <w:tblW w:w="8504" w:type="dxa"/>
        <w:jc w:val="center"/>
        <w:tblLayout w:type="fixed"/>
        <w:tblLook w:val="04A0" w:firstRow="1" w:lastRow="0" w:firstColumn="1" w:lastColumn="0" w:noHBand="0" w:noVBand="1"/>
      </w:tblPr>
      <w:tblGrid>
        <w:gridCol w:w="1595"/>
        <w:gridCol w:w="1647"/>
        <w:gridCol w:w="2658"/>
        <w:gridCol w:w="2604"/>
      </w:tblGrid>
      <w:tr w:rsidR="003F0521" w14:paraId="3F43A9F8" w14:textId="77777777">
        <w:trPr>
          <w:cantSplit/>
          <w:tblHeader/>
          <w:jc w:val="center"/>
        </w:trPr>
        <w:tc>
          <w:tcPr>
            <w:tcW w:w="1595" w:type="dxa"/>
            <w:shd w:val="clear" w:color="auto" w:fill="D9E1F2"/>
            <w:vAlign w:val="center"/>
          </w:tcPr>
          <w:p w14:paraId="6F1ADCBA" w14:textId="77777777" w:rsidR="003F0521" w:rsidRDefault="00000000">
            <w:pPr>
              <w:jc w:val="center"/>
            </w:pPr>
            <w:r>
              <w:rPr>
                <w:b/>
                <w:sz w:val="18"/>
              </w:rPr>
              <w:t>Warstwa</w:t>
            </w:r>
          </w:p>
        </w:tc>
        <w:tc>
          <w:tcPr>
            <w:tcW w:w="1647" w:type="dxa"/>
            <w:shd w:val="clear" w:color="auto" w:fill="D9E1F2"/>
            <w:vAlign w:val="center"/>
          </w:tcPr>
          <w:p w14:paraId="7492C733" w14:textId="77777777" w:rsidR="003F0521" w:rsidRDefault="00000000">
            <w:pPr>
              <w:jc w:val="center"/>
            </w:pPr>
            <w:r>
              <w:rPr>
                <w:b/>
                <w:sz w:val="18"/>
              </w:rPr>
              <w:t>Środowisko</w:t>
            </w:r>
          </w:p>
        </w:tc>
        <w:tc>
          <w:tcPr>
            <w:tcW w:w="2658" w:type="dxa"/>
            <w:shd w:val="clear" w:color="auto" w:fill="D9E1F2"/>
            <w:vAlign w:val="center"/>
          </w:tcPr>
          <w:p w14:paraId="3DF0E47E" w14:textId="77777777" w:rsidR="003F0521" w:rsidRDefault="00000000">
            <w:pPr>
              <w:jc w:val="center"/>
            </w:pPr>
            <w:r>
              <w:rPr>
                <w:b/>
                <w:sz w:val="18"/>
              </w:rPr>
              <w:t>Najważniejsze komponenty</w:t>
            </w:r>
          </w:p>
        </w:tc>
        <w:tc>
          <w:tcPr>
            <w:tcW w:w="2604" w:type="dxa"/>
            <w:shd w:val="clear" w:color="auto" w:fill="D9E1F2"/>
            <w:vAlign w:val="center"/>
          </w:tcPr>
          <w:p w14:paraId="5D7A7E14" w14:textId="77777777" w:rsidR="003F0521" w:rsidRDefault="00000000">
            <w:pPr>
              <w:jc w:val="center"/>
            </w:pPr>
            <w:r>
              <w:rPr>
                <w:b/>
                <w:sz w:val="18"/>
              </w:rPr>
              <w:t>Zabezpieczenia</w:t>
            </w:r>
          </w:p>
        </w:tc>
      </w:tr>
      <w:tr w:rsidR="003F0521" w14:paraId="1913FA70" w14:textId="77777777">
        <w:trPr>
          <w:cantSplit/>
          <w:jc w:val="center"/>
        </w:trPr>
        <w:tc>
          <w:tcPr>
            <w:tcW w:w="1595" w:type="dxa"/>
            <w:vAlign w:val="center"/>
          </w:tcPr>
          <w:p w14:paraId="21DC6DBB" w14:textId="77777777" w:rsidR="003F0521" w:rsidRDefault="00000000">
            <w:r>
              <w:rPr>
                <w:sz w:val="18"/>
              </w:rPr>
              <w:t>Kontroler i modele klasyczne</w:t>
            </w:r>
          </w:p>
        </w:tc>
        <w:tc>
          <w:tcPr>
            <w:tcW w:w="1647" w:type="dxa"/>
            <w:vAlign w:val="center"/>
          </w:tcPr>
          <w:p w14:paraId="206A6239" w14:textId="77777777" w:rsidR="003F0521" w:rsidRDefault="00000000">
            <w:r>
              <w:rPr>
                <w:sz w:val="18"/>
              </w:rPr>
              <w:t>CPython 3.13.13</w:t>
            </w:r>
          </w:p>
        </w:tc>
        <w:tc>
          <w:tcPr>
            <w:tcW w:w="2658" w:type="dxa"/>
            <w:vAlign w:val="center"/>
          </w:tcPr>
          <w:p w14:paraId="2C46DC88" w14:textId="77777777" w:rsidR="003F0521" w:rsidRPr="00284ADC" w:rsidRDefault="00000000">
            <w:pPr>
              <w:rPr>
                <w:lang w:val="en-US"/>
              </w:rPr>
            </w:pPr>
            <w:proofErr w:type="spellStart"/>
            <w:r w:rsidRPr="00284ADC">
              <w:rPr>
                <w:sz w:val="18"/>
                <w:lang w:val="en-US"/>
              </w:rPr>
              <w:t>numpy</w:t>
            </w:r>
            <w:proofErr w:type="spellEnd"/>
            <w:r w:rsidRPr="00284ADC">
              <w:rPr>
                <w:sz w:val="18"/>
                <w:lang w:val="en-US"/>
              </w:rPr>
              <w:t xml:space="preserve">, </w:t>
            </w:r>
            <w:proofErr w:type="spellStart"/>
            <w:r w:rsidRPr="00284ADC">
              <w:rPr>
                <w:sz w:val="18"/>
                <w:lang w:val="en-US"/>
              </w:rPr>
              <w:t>scipy</w:t>
            </w:r>
            <w:proofErr w:type="spellEnd"/>
            <w:r w:rsidRPr="00284ADC">
              <w:rPr>
                <w:sz w:val="18"/>
                <w:lang w:val="en-US"/>
              </w:rPr>
              <w:t>, pandas, scikit-learn, XGBoost, SHAP.</w:t>
            </w:r>
          </w:p>
        </w:tc>
        <w:tc>
          <w:tcPr>
            <w:tcW w:w="2604" w:type="dxa"/>
            <w:vAlign w:val="center"/>
          </w:tcPr>
          <w:p w14:paraId="35870D3F" w14:textId="77777777" w:rsidR="003F0521" w:rsidRDefault="00000000">
            <w:r>
              <w:rPr>
                <w:sz w:val="18"/>
              </w:rPr>
              <w:t>Pełny plik lock z hashami; jeden wątek; dokładne dopasowanie zainstalowanych dystrybucji.</w:t>
            </w:r>
          </w:p>
        </w:tc>
      </w:tr>
      <w:tr w:rsidR="003F0521" w14:paraId="788397CC" w14:textId="77777777">
        <w:trPr>
          <w:cantSplit/>
          <w:jc w:val="center"/>
        </w:trPr>
        <w:tc>
          <w:tcPr>
            <w:tcW w:w="1595" w:type="dxa"/>
            <w:vAlign w:val="center"/>
          </w:tcPr>
          <w:p w14:paraId="2E7B5848" w14:textId="77777777" w:rsidR="003F0521" w:rsidRDefault="00000000">
            <w:r>
              <w:rPr>
                <w:sz w:val="18"/>
              </w:rPr>
              <w:t>MLP i QNN</w:t>
            </w:r>
          </w:p>
        </w:tc>
        <w:tc>
          <w:tcPr>
            <w:tcW w:w="1647" w:type="dxa"/>
            <w:vAlign w:val="center"/>
          </w:tcPr>
          <w:p w14:paraId="4CF68178" w14:textId="77777777" w:rsidR="003F0521" w:rsidRDefault="00000000">
            <w:r>
              <w:rPr>
                <w:sz w:val="18"/>
              </w:rPr>
              <w:t>CPython 3.12.2</w:t>
            </w:r>
          </w:p>
        </w:tc>
        <w:tc>
          <w:tcPr>
            <w:tcW w:w="2658" w:type="dxa"/>
            <w:vAlign w:val="center"/>
          </w:tcPr>
          <w:p w14:paraId="27D1C517" w14:textId="77777777" w:rsidR="003F0521" w:rsidRPr="00284ADC" w:rsidRDefault="00000000">
            <w:pPr>
              <w:rPr>
                <w:lang w:val="en-US"/>
              </w:rPr>
            </w:pPr>
            <w:proofErr w:type="spellStart"/>
            <w:r w:rsidRPr="00284ADC">
              <w:rPr>
                <w:sz w:val="18"/>
                <w:lang w:val="en-US"/>
              </w:rPr>
              <w:t>PyTorch</w:t>
            </w:r>
            <w:proofErr w:type="spellEnd"/>
            <w:r w:rsidRPr="00284ADC">
              <w:rPr>
                <w:sz w:val="18"/>
                <w:lang w:val="en-US"/>
              </w:rPr>
              <w:t xml:space="preserve"> 2.13.0, </w:t>
            </w:r>
            <w:proofErr w:type="spellStart"/>
            <w:r w:rsidRPr="00284ADC">
              <w:rPr>
                <w:sz w:val="18"/>
                <w:lang w:val="en-US"/>
              </w:rPr>
              <w:t>PennyLane</w:t>
            </w:r>
            <w:proofErr w:type="spellEnd"/>
            <w:r w:rsidRPr="00284ADC">
              <w:rPr>
                <w:sz w:val="18"/>
                <w:lang w:val="en-US"/>
              </w:rPr>
              <w:t xml:space="preserve"> 0.45.1, </w:t>
            </w:r>
            <w:proofErr w:type="spellStart"/>
            <w:r w:rsidRPr="00284ADC">
              <w:rPr>
                <w:sz w:val="18"/>
                <w:lang w:val="en-US"/>
              </w:rPr>
              <w:t>pennylane</w:t>
            </w:r>
            <w:proofErr w:type="spellEnd"/>
            <w:r w:rsidRPr="00284ADC">
              <w:rPr>
                <w:sz w:val="18"/>
                <w:lang w:val="en-US"/>
              </w:rPr>
              <w:t xml:space="preserve">-lightning, </w:t>
            </w:r>
            <w:proofErr w:type="spellStart"/>
            <w:r w:rsidRPr="00284ADC">
              <w:rPr>
                <w:sz w:val="18"/>
                <w:lang w:val="en-US"/>
              </w:rPr>
              <w:t>Captum</w:t>
            </w:r>
            <w:proofErr w:type="spellEnd"/>
            <w:r w:rsidRPr="00284ADC">
              <w:rPr>
                <w:sz w:val="18"/>
                <w:lang w:val="en-US"/>
              </w:rPr>
              <w:t>.</w:t>
            </w:r>
          </w:p>
        </w:tc>
        <w:tc>
          <w:tcPr>
            <w:tcW w:w="2604" w:type="dxa"/>
            <w:vAlign w:val="center"/>
          </w:tcPr>
          <w:p w14:paraId="3582DDCB" w14:textId="77777777" w:rsidR="003F0521" w:rsidRDefault="00000000">
            <w:r>
              <w:rPr>
                <w:sz w:val="18"/>
              </w:rPr>
              <w:t xml:space="preserve">Deterministyczny tryb </w:t>
            </w:r>
            <w:proofErr w:type="spellStart"/>
            <w:r>
              <w:rPr>
                <w:sz w:val="18"/>
              </w:rPr>
              <w:t>PyTorch</w:t>
            </w:r>
            <w:proofErr w:type="spellEnd"/>
            <w:r>
              <w:rPr>
                <w:sz w:val="18"/>
              </w:rPr>
              <w:t>; CPU; CUDA i MPS wyłączone; pełny plik lock z hashami.</w:t>
            </w:r>
          </w:p>
        </w:tc>
      </w:tr>
      <w:tr w:rsidR="003F0521" w14:paraId="4685FD75" w14:textId="77777777">
        <w:trPr>
          <w:cantSplit/>
          <w:jc w:val="center"/>
        </w:trPr>
        <w:tc>
          <w:tcPr>
            <w:tcW w:w="1595" w:type="dxa"/>
            <w:vAlign w:val="center"/>
          </w:tcPr>
          <w:p w14:paraId="6B637241" w14:textId="77777777" w:rsidR="003F0521" w:rsidRDefault="00000000">
            <w:r>
              <w:rPr>
                <w:sz w:val="18"/>
              </w:rPr>
              <w:t>Wejście do workera</w:t>
            </w:r>
          </w:p>
        </w:tc>
        <w:tc>
          <w:tcPr>
            <w:tcW w:w="1647" w:type="dxa"/>
            <w:vAlign w:val="center"/>
          </w:tcPr>
          <w:p w14:paraId="61231F46" w14:textId="77777777" w:rsidR="003F0521" w:rsidRDefault="00000000">
            <w:r>
              <w:rPr>
                <w:sz w:val="18"/>
              </w:rPr>
              <w:t>Numeryczny podproces</w:t>
            </w:r>
          </w:p>
        </w:tc>
        <w:tc>
          <w:tcPr>
            <w:tcW w:w="2658" w:type="dxa"/>
            <w:vAlign w:val="center"/>
          </w:tcPr>
          <w:p w14:paraId="1B739D6B" w14:textId="77777777" w:rsidR="003F0521" w:rsidRDefault="00000000">
            <w:r>
              <w:rPr>
                <w:sz w:val="18"/>
              </w:rPr>
              <w:t>NPZ z próbą treningową i walidacyjną oraz JSON z tożsamością zadania.</w:t>
            </w:r>
          </w:p>
        </w:tc>
        <w:tc>
          <w:tcPr>
            <w:tcW w:w="2604" w:type="dxa"/>
            <w:vAlign w:val="center"/>
          </w:tcPr>
          <w:p w14:paraId="3D6AD54F" w14:textId="77777777" w:rsidR="003F0521" w:rsidRDefault="00000000">
            <w:r>
              <w:rPr>
                <w:sz w:val="18"/>
              </w:rPr>
              <w:t>Brak dostępu do plików projektu i dowolnych ścieżek danych.</w:t>
            </w:r>
          </w:p>
        </w:tc>
      </w:tr>
      <w:tr w:rsidR="003F0521" w14:paraId="47197EE9" w14:textId="77777777">
        <w:trPr>
          <w:cantSplit/>
          <w:jc w:val="center"/>
        </w:trPr>
        <w:tc>
          <w:tcPr>
            <w:tcW w:w="1595" w:type="dxa"/>
            <w:vAlign w:val="center"/>
          </w:tcPr>
          <w:p w14:paraId="1D594F77" w14:textId="77777777" w:rsidR="003F0521" w:rsidRDefault="00000000">
            <w:r>
              <w:rPr>
                <w:sz w:val="18"/>
              </w:rPr>
              <w:lastRenderedPageBreak/>
              <w:t>Artefakty</w:t>
            </w:r>
          </w:p>
        </w:tc>
        <w:tc>
          <w:tcPr>
            <w:tcW w:w="1647" w:type="dxa"/>
            <w:vAlign w:val="center"/>
          </w:tcPr>
          <w:p w14:paraId="064A5988" w14:textId="77777777" w:rsidR="003F0521" w:rsidRDefault="00000000">
            <w:r>
              <w:rPr>
                <w:sz w:val="18"/>
              </w:rPr>
              <w:t>Kanoniczny JSON i atomowe zapisy</w:t>
            </w:r>
          </w:p>
        </w:tc>
        <w:tc>
          <w:tcPr>
            <w:tcW w:w="2658" w:type="dxa"/>
            <w:vAlign w:val="center"/>
          </w:tcPr>
          <w:p w14:paraId="6D596CF4" w14:textId="77777777" w:rsidR="003F0521" w:rsidRDefault="00000000">
            <w:r>
              <w:rPr>
                <w:sz w:val="18"/>
              </w:rPr>
              <w:t>Manifesty dla każdego foldu, seedu i konfiguracji; ranking, roster i checkpointy.</w:t>
            </w:r>
          </w:p>
        </w:tc>
        <w:tc>
          <w:tcPr>
            <w:tcW w:w="2604" w:type="dxa"/>
            <w:vAlign w:val="center"/>
          </w:tcPr>
          <w:p w14:paraId="1AB5AF79" w14:textId="77777777" w:rsidR="003F0521" w:rsidRDefault="00000000">
            <w:r>
              <w:rPr>
                <w:sz w:val="18"/>
              </w:rPr>
              <w:t>Hash SHA-256, stała kolejność, brak częściowych metryk.</w:t>
            </w:r>
          </w:p>
        </w:tc>
      </w:tr>
      <w:tr w:rsidR="003F0521" w14:paraId="5ADB8FB2" w14:textId="77777777">
        <w:trPr>
          <w:cantSplit/>
          <w:jc w:val="center"/>
        </w:trPr>
        <w:tc>
          <w:tcPr>
            <w:tcW w:w="1595" w:type="dxa"/>
            <w:vAlign w:val="center"/>
          </w:tcPr>
          <w:p w14:paraId="38269533" w14:textId="77777777" w:rsidR="003F0521" w:rsidRDefault="00000000">
            <w:r>
              <w:rPr>
                <w:sz w:val="18"/>
              </w:rPr>
              <w:t>Retry</w:t>
            </w:r>
          </w:p>
        </w:tc>
        <w:tc>
          <w:tcPr>
            <w:tcW w:w="1647" w:type="dxa"/>
            <w:vAlign w:val="center"/>
          </w:tcPr>
          <w:p w14:paraId="3B36963A" w14:textId="77777777" w:rsidR="003F0521" w:rsidRDefault="00000000">
            <w:r>
              <w:rPr>
                <w:sz w:val="18"/>
              </w:rPr>
              <w:t>Zdefiniowana maszyna stanów</w:t>
            </w:r>
          </w:p>
        </w:tc>
        <w:tc>
          <w:tcPr>
            <w:tcW w:w="2658" w:type="dxa"/>
            <w:vAlign w:val="center"/>
          </w:tcPr>
          <w:p w14:paraId="382DFA99" w14:textId="77777777" w:rsidR="003F0521" w:rsidRDefault="00000000">
            <w:r>
              <w:rPr>
                <w:sz w:val="18"/>
              </w:rPr>
              <w:t>Pierwsza próba, ewentualne wznowienie i najwyżej jedna świeża próba infrastrukturalna.</w:t>
            </w:r>
          </w:p>
        </w:tc>
        <w:tc>
          <w:tcPr>
            <w:tcW w:w="2604" w:type="dxa"/>
            <w:vAlign w:val="center"/>
          </w:tcPr>
          <w:p w14:paraId="56F39D04" w14:textId="77777777" w:rsidR="003F0521" w:rsidRDefault="00000000">
            <w:r>
              <w:rPr>
                <w:sz w:val="18"/>
              </w:rPr>
              <w:t>Brak zmiany seedów, konfiguracji, metody, członkostwa próby i limitu czasu.</w:t>
            </w:r>
          </w:p>
        </w:tc>
      </w:tr>
    </w:tbl>
    <w:p w14:paraId="3424996C" w14:textId="77777777" w:rsidR="003F0521" w:rsidRDefault="00000000">
      <w:pPr>
        <w:pStyle w:val="rdotabeli"/>
      </w:pPr>
      <w:r>
        <w:rPr>
          <w:color w:val="000000"/>
          <w:szCs w:val="18"/>
        </w:rPr>
        <w:t>Źródło: opracowanie własne na podstawie production runner and reproducible environments v1.0.0.</w:t>
      </w:r>
    </w:p>
    <w:p w14:paraId="7B1EA470" w14:textId="77777777" w:rsidR="003F0521" w:rsidRDefault="00000000">
      <w:pPr>
        <w:spacing w:after="0" w:line="360" w:lineRule="auto"/>
        <w:ind w:firstLine="709"/>
        <w:jc w:val="both"/>
      </w:pPr>
      <w:r>
        <w:rPr>
          <w:b/>
        </w:rPr>
        <w:t xml:space="preserve">Weryfikacja techniczna przed pełnym eksperymentem. </w:t>
      </w:r>
      <w:r>
        <w:t>Runner przeszedł próbny przebieg bez dopasowania (dry run) na zahashowanych projekcjach treningowych, pełny syntetyczny test end-to-end oraz test zasobów wszystkich sześciu kombinacji ansatz–liczba kubitów. Zaimplementowano również ograniczony tryb testu wykonania na danych rzeczywistych obejmujący wyłącznie dummy prior i fixed L2 logistic, jednak na analizowanym commicie nie został on uruchomiony na danych projektowych. Jego przeznaczeniem jest potwierdzenie poprawności wykonania foldów, preprocessingu, kluczy OOF i artefaktów, a nie wybór modelu. W wersji wykonawczej opisanej w przypisie 9 zaimplementowano ponadto odrębny tryb pełnego wstępnego wyszukiwania dla modeli klasycznych i MLP, który kończy działanie przed refinementem, QNN, kalibracją i otwarciem okresów 2021–2024.</w:t>
      </w:r>
    </w:p>
    <w:p w14:paraId="61976594" w14:textId="77777777" w:rsidR="003F0521" w:rsidRDefault="00000000">
      <w:pPr>
        <w:spacing w:after="0" w:line="360" w:lineRule="auto"/>
        <w:ind w:firstLine="709"/>
        <w:jc w:val="both"/>
      </w:pPr>
      <w:r>
        <w:rPr>
          <w:b/>
        </w:rPr>
        <w:t xml:space="preserve">Granica dostępu i kontrola zmian. </w:t>
      </w:r>
      <w:r>
        <w:t>Obowiązująca polityka dostępu koryguje historyczną deklarację model-stage v1. Lata 2021–2022 są okresem design-exposed, czyli zużytym rozwojowo, i nie stanowią niezależnej walidacji one-shot. Lata 2023–2024 pozostają czasowym holdoutem wyników modeli, przy czym wcześniej poznano wyłącznie agregaty targetu. Wszystkie decyzje dotyczące rodzin, hiperparametrów, bloków cech, ważenia i architektury QNN są podejmowane wyłącznie na podstawie OOF z lat 2015–2020. Żaden wynik z lat 2021–2024 nie może aktywować nowej rodziny, hiperparametru, ansatzu, bloku, metody ważenia ani uproszczenia QNN. Zmiana wymaga nowej jawnej wersji metodologii i zachowania dotychczasowej wersji jako punktu odniesienia.</w:t>
      </w:r>
      <w:r>
        <w:footnoteReference w:id="35"/>
      </w:r>
    </w:p>
    <w:p w14:paraId="0820D994" w14:textId="77777777" w:rsidR="003F0521" w:rsidRDefault="00000000">
      <w:pPr>
        <w:spacing w:after="0" w:line="360" w:lineRule="auto"/>
        <w:ind w:firstLine="709"/>
        <w:jc w:val="both"/>
      </w:pPr>
      <w:r>
        <w:t>Podrozdział ten określa dopuszczone modele i sposób ich trenowania. Metryki, agregacja OOF, kalibracja i progi są opisane w podrozdziale 4.5, a wyniki oraz analizy odporności odpowiednio w podrozdziałach 5.2 i 5.3.</w:t>
      </w:r>
    </w:p>
    <w:p w14:paraId="6F47AB13" w14:textId="77777777" w:rsidR="003F0521" w:rsidRDefault="00000000">
      <w:pPr>
        <w:pStyle w:val="Heading2"/>
      </w:pPr>
      <w:r>
        <w:lastRenderedPageBreak/>
        <w:t>4.5. Protokół ewaluacji modeli</w:t>
      </w:r>
    </w:p>
    <w:p w14:paraId="2B7AED77" w14:textId="77777777" w:rsidR="003F0521" w:rsidRDefault="00000000">
      <w:pPr>
        <w:spacing w:after="0" w:line="360" w:lineRule="auto"/>
        <w:ind w:firstLine="709"/>
        <w:jc w:val="both"/>
      </w:pPr>
      <w:r>
        <w:t>Protokół ewaluacji został określony przed pełnym wyszukiwaniem modeli i stanowi wspólną procedurę dla wszystkich rodzin opisanych w podrozdziale 4.4. Rozdzielono w nim wybór modelu, ocenę stabilności czasowej, kwantyfikację niepewności, kalibrację wyników oraz wybór operacyjnego progu klasyfikacyjnego. Podstawą selekcji są wyłącznie predykcje out-of-fold (OOF) z wewnętrznej walidacji czasowej dla lat 2015–2020. Późniejsze okresy nie mogą uruchamiać etapu doprecyzowania wyszukiwania (refinement), zmieniać rankingu, kalibratora, progu ani składu ocenianych modeli.</w:t>
      </w:r>
      <w:r>
        <w:footnoteReference w:id="36"/>
      </w:r>
    </w:p>
    <w:p w14:paraId="25F4C7EC" w14:textId="77777777" w:rsidR="003F0521" w:rsidRDefault="00000000">
      <w:pPr>
        <w:spacing w:after="0" w:line="360" w:lineRule="auto"/>
        <w:ind w:firstLine="709"/>
        <w:jc w:val="both"/>
      </w:pPr>
      <w:r>
        <w:rPr>
          <w:b/>
        </w:rPr>
        <w:t xml:space="preserve">Wielowarstwowy charakter oceny. </w:t>
      </w:r>
      <w:r>
        <w:t>Jedna liczba nie opisuje pełnej jakości modelu. Główna metryka służy do wyboru konfiguracji, wyniki roczne pokazują stabilność w czasie, bootstrap określa niepewność, kalibracja przekształca surowy wynik modelu w prawdopodobieństwo, a próg F1 definiuje konkretny punkt działania klasyfikatora. Analizy odporności i interpretowalności są prowadzone dopiero dla zamrożonych reprezentantów i nie mogą zmieniać wyniku głównej selekcji.</w:t>
      </w:r>
    </w:p>
    <w:p w14:paraId="3AA66C78" w14:textId="77777777" w:rsidR="003F0521" w:rsidRDefault="00000000">
      <w:pPr>
        <w:pStyle w:val="Podpistabeli"/>
        <w:keepLines/>
      </w:pPr>
      <w:r>
        <w:rPr>
          <w:color w:val="000000"/>
          <w:szCs w:val="20"/>
        </w:rPr>
        <w:t>Tabela 4.20. Warstwy protokołu ewaluacji</w:t>
      </w:r>
    </w:p>
    <w:tbl>
      <w:tblPr>
        <w:tblStyle w:val="TableGrid"/>
        <w:tblW w:w="8504" w:type="dxa"/>
        <w:jc w:val="center"/>
        <w:tblLayout w:type="fixed"/>
        <w:tblLook w:val="04A0" w:firstRow="1" w:lastRow="0" w:firstColumn="1" w:lastColumn="0" w:noHBand="0" w:noVBand="1"/>
      </w:tblPr>
      <w:tblGrid>
        <w:gridCol w:w="1474"/>
        <w:gridCol w:w="1985"/>
        <w:gridCol w:w="2551"/>
        <w:gridCol w:w="2494"/>
      </w:tblGrid>
      <w:tr w:rsidR="003F0521" w14:paraId="1679B1B3" w14:textId="77777777">
        <w:trPr>
          <w:cantSplit/>
          <w:tblHeader/>
          <w:jc w:val="center"/>
        </w:trPr>
        <w:tc>
          <w:tcPr>
            <w:tcW w:w="1418" w:type="dxa"/>
            <w:shd w:val="clear" w:color="auto" w:fill="D9E1F2"/>
            <w:vAlign w:val="center"/>
          </w:tcPr>
          <w:p w14:paraId="1D9C193A" w14:textId="77777777" w:rsidR="003F0521" w:rsidRDefault="00000000">
            <w:pPr>
              <w:jc w:val="center"/>
            </w:pPr>
            <w:r>
              <w:rPr>
                <w:b/>
                <w:sz w:val="16"/>
              </w:rPr>
              <w:t>Warstwa</w:t>
            </w:r>
          </w:p>
        </w:tc>
        <w:tc>
          <w:tcPr>
            <w:tcW w:w="1909" w:type="dxa"/>
            <w:shd w:val="clear" w:color="auto" w:fill="D9E1F2"/>
            <w:vAlign w:val="center"/>
          </w:tcPr>
          <w:p w14:paraId="0880938D" w14:textId="77777777" w:rsidR="003F0521" w:rsidRDefault="00000000">
            <w:pPr>
              <w:jc w:val="center"/>
            </w:pPr>
            <w:r>
              <w:rPr>
                <w:b/>
                <w:sz w:val="16"/>
              </w:rPr>
              <w:t>Obiekt oceny</w:t>
            </w:r>
          </w:p>
        </w:tc>
        <w:tc>
          <w:tcPr>
            <w:tcW w:w="2454" w:type="dxa"/>
            <w:shd w:val="clear" w:color="auto" w:fill="D9E1F2"/>
            <w:vAlign w:val="center"/>
          </w:tcPr>
          <w:p w14:paraId="47A934A8" w14:textId="77777777" w:rsidR="003F0521" w:rsidRDefault="00000000">
            <w:pPr>
              <w:jc w:val="center"/>
            </w:pPr>
            <w:r>
              <w:rPr>
                <w:b/>
                <w:sz w:val="16"/>
              </w:rPr>
              <w:t>Miara lub reguła</w:t>
            </w:r>
          </w:p>
        </w:tc>
        <w:tc>
          <w:tcPr>
            <w:tcW w:w="2399" w:type="dxa"/>
            <w:shd w:val="clear" w:color="auto" w:fill="D9E1F2"/>
            <w:vAlign w:val="center"/>
          </w:tcPr>
          <w:p w14:paraId="4155DFDB" w14:textId="77777777" w:rsidR="003F0521" w:rsidRDefault="00000000">
            <w:pPr>
              <w:jc w:val="center"/>
            </w:pPr>
            <w:r>
              <w:rPr>
                <w:b/>
                <w:sz w:val="16"/>
              </w:rPr>
              <w:t>Rola</w:t>
            </w:r>
          </w:p>
        </w:tc>
      </w:tr>
      <w:tr w:rsidR="003F0521" w14:paraId="68FCD164" w14:textId="77777777">
        <w:trPr>
          <w:cantSplit/>
          <w:jc w:val="center"/>
        </w:trPr>
        <w:tc>
          <w:tcPr>
            <w:tcW w:w="1418" w:type="dxa"/>
            <w:vAlign w:val="center"/>
          </w:tcPr>
          <w:p w14:paraId="55A2CB09" w14:textId="77777777" w:rsidR="003F0521" w:rsidRDefault="00000000">
            <w:r>
              <w:rPr>
                <w:sz w:val="16"/>
              </w:rPr>
              <w:t>Selekcja</w:t>
            </w:r>
          </w:p>
        </w:tc>
        <w:tc>
          <w:tcPr>
            <w:tcW w:w="1909" w:type="dxa"/>
            <w:vAlign w:val="center"/>
          </w:tcPr>
          <w:p w14:paraId="6153FC26" w14:textId="77777777" w:rsidR="003F0521" w:rsidRDefault="00000000">
            <w:r>
              <w:rPr>
                <w:sz w:val="16"/>
              </w:rPr>
              <w:t>Konfiguracje i bloki cech</w:t>
            </w:r>
          </w:p>
        </w:tc>
        <w:tc>
          <w:tcPr>
            <w:tcW w:w="2454" w:type="dxa"/>
            <w:vAlign w:val="center"/>
          </w:tcPr>
          <w:p w14:paraId="6DFD1C83" w14:textId="77777777" w:rsidR="003F0521" w:rsidRDefault="00000000">
            <w:r>
              <w:rPr>
                <w:sz w:val="16"/>
              </w:rPr>
              <w:t>Łączna OOF PR-AUC (pooled AP), lata 2015–2020</w:t>
            </w:r>
          </w:p>
        </w:tc>
        <w:tc>
          <w:tcPr>
            <w:tcW w:w="2399" w:type="dxa"/>
            <w:vAlign w:val="center"/>
          </w:tcPr>
          <w:p w14:paraId="223BBE36" w14:textId="77777777" w:rsidR="003F0521" w:rsidRDefault="00000000">
            <w:r>
              <w:rPr>
                <w:sz w:val="16"/>
              </w:rPr>
              <w:t>Jedyna główna reguła rankingu; wewnętrzna miara selekcyjna.</w:t>
            </w:r>
          </w:p>
        </w:tc>
      </w:tr>
      <w:tr w:rsidR="003F0521" w14:paraId="10E033DA" w14:textId="77777777">
        <w:trPr>
          <w:cantSplit/>
          <w:jc w:val="center"/>
        </w:trPr>
        <w:tc>
          <w:tcPr>
            <w:tcW w:w="1418" w:type="dxa"/>
            <w:vAlign w:val="center"/>
          </w:tcPr>
          <w:p w14:paraId="45F9D6E0" w14:textId="77777777" w:rsidR="003F0521" w:rsidRDefault="00000000">
            <w:r>
              <w:rPr>
                <w:sz w:val="16"/>
              </w:rPr>
              <w:t>Stabilność czasowa</w:t>
            </w:r>
          </w:p>
        </w:tc>
        <w:tc>
          <w:tcPr>
            <w:tcW w:w="1909" w:type="dxa"/>
            <w:vAlign w:val="center"/>
          </w:tcPr>
          <w:p w14:paraId="1CB51848" w14:textId="77777777" w:rsidR="003F0521" w:rsidRDefault="00000000">
            <w:r>
              <w:rPr>
                <w:sz w:val="16"/>
              </w:rPr>
              <w:t>Każdy fold walidacyjny</w:t>
            </w:r>
          </w:p>
        </w:tc>
        <w:tc>
          <w:tcPr>
            <w:tcW w:w="2454" w:type="dxa"/>
            <w:vAlign w:val="center"/>
          </w:tcPr>
          <w:p w14:paraId="6A7151E1" w14:textId="77777777" w:rsidR="003F0521" w:rsidRDefault="00000000">
            <w:r>
              <w:rPr>
                <w:sz w:val="16"/>
              </w:rPr>
              <w:t>Roczna PR-AUC, średnia, odchylenie standardowe, minimum i częstość klasy</w:t>
            </w:r>
          </w:p>
        </w:tc>
        <w:tc>
          <w:tcPr>
            <w:tcW w:w="2399" w:type="dxa"/>
            <w:vAlign w:val="center"/>
          </w:tcPr>
          <w:p w14:paraId="185F08C5" w14:textId="77777777" w:rsidR="003F0521" w:rsidRDefault="00000000">
            <w:r>
              <w:rPr>
                <w:sz w:val="16"/>
              </w:rPr>
              <w:t>Pokazuje, czy wynik nie zależy od pojedynczego roku.</w:t>
            </w:r>
          </w:p>
        </w:tc>
      </w:tr>
      <w:tr w:rsidR="003F0521" w14:paraId="51DC39B4" w14:textId="77777777">
        <w:trPr>
          <w:cantSplit/>
          <w:jc w:val="center"/>
        </w:trPr>
        <w:tc>
          <w:tcPr>
            <w:tcW w:w="1418" w:type="dxa"/>
            <w:vAlign w:val="center"/>
          </w:tcPr>
          <w:p w14:paraId="0431F436" w14:textId="77777777" w:rsidR="003F0521" w:rsidRDefault="00000000">
            <w:r>
              <w:rPr>
                <w:sz w:val="16"/>
              </w:rPr>
              <w:t>Stabilność losowa</w:t>
            </w:r>
          </w:p>
        </w:tc>
        <w:tc>
          <w:tcPr>
            <w:tcW w:w="1909" w:type="dxa"/>
            <w:vAlign w:val="center"/>
          </w:tcPr>
          <w:p w14:paraId="0B727012" w14:textId="77777777" w:rsidR="003F0521" w:rsidRDefault="00000000">
            <w:r>
              <w:rPr>
                <w:sz w:val="16"/>
              </w:rPr>
              <w:t>Potwierdzone modele stochastyczne</w:t>
            </w:r>
          </w:p>
        </w:tc>
        <w:tc>
          <w:tcPr>
            <w:tcW w:w="2454" w:type="dxa"/>
            <w:vAlign w:val="center"/>
          </w:tcPr>
          <w:p w14:paraId="40421BB6" w14:textId="77777777" w:rsidR="003F0521" w:rsidRDefault="00000000">
            <w:r>
              <w:rPr>
                <w:sz w:val="16"/>
              </w:rPr>
              <w:t>Rozrzut między ziarnami i PR-AUC po uśrednieniu surowych wyników</w:t>
            </w:r>
          </w:p>
        </w:tc>
        <w:tc>
          <w:tcPr>
            <w:tcW w:w="2399" w:type="dxa"/>
            <w:vAlign w:val="center"/>
          </w:tcPr>
          <w:p w14:paraId="432DDF4C" w14:textId="77777777" w:rsidR="003F0521" w:rsidRDefault="00000000">
            <w:r>
              <w:rPr>
                <w:sz w:val="16"/>
              </w:rPr>
              <w:t>Ogranicza zależność od jednej inicjalizacji lub losowania.</w:t>
            </w:r>
          </w:p>
        </w:tc>
      </w:tr>
      <w:tr w:rsidR="003F0521" w14:paraId="72CE8DE3" w14:textId="77777777">
        <w:trPr>
          <w:cantSplit/>
          <w:jc w:val="center"/>
        </w:trPr>
        <w:tc>
          <w:tcPr>
            <w:tcW w:w="1418" w:type="dxa"/>
            <w:vAlign w:val="center"/>
          </w:tcPr>
          <w:p w14:paraId="089E9918" w14:textId="77777777" w:rsidR="003F0521" w:rsidRDefault="00000000">
            <w:r>
              <w:rPr>
                <w:sz w:val="16"/>
              </w:rPr>
              <w:t>Niepewność</w:t>
            </w:r>
          </w:p>
        </w:tc>
        <w:tc>
          <w:tcPr>
            <w:tcW w:w="1909" w:type="dxa"/>
            <w:vAlign w:val="center"/>
          </w:tcPr>
          <w:p w14:paraId="4763D402" w14:textId="77777777" w:rsidR="003F0521" w:rsidRDefault="00000000">
            <w:r>
              <w:rPr>
                <w:sz w:val="16"/>
              </w:rPr>
              <w:t>Łączne OOF</w:t>
            </w:r>
          </w:p>
        </w:tc>
        <w:tc>
          <w:tcPr>
            <w:tcW w:w="2454" w:type="dxa"/>
            <w:vAlign w:val="center"/>
          </w:tcPr>
          <w:p w14:paraId="5BC92399" w14:textId="77777777" w:rsidR="003F0521" w:rsidRDefault="00000000">
            <w:r>
              <w:rPr>
                <w:sz w:val="16"/>
              </w:rPr>
              <w:t>Klastrowany bootstrap, 2 000 replikacji, 95% CI</w:t>
            </w:r>
          </w:p>
        </w:tc>
        <w:tc>
          <w:tcPr>
            <w:tcW w:w="2399" w:type="dxa"/>
            <w:vAlign w:val="center"/>
          </w:tcPr>
          <w:p w14:paraId="4E677A60" w14:textId="77777777" w:rsidR="003F0521" w:rsidRDefault="00000000">
            <w:r>
              <w:rPr>
                <w:sz w:val="16"/>
              </w:rPr>
              <w:t>Uwzględnia zależność obserwacji w economic_group_id; CI ma interpretację warunkową.</w:t>
            </w:r>
          </w:p>
        </w:tc>
      </w:tr>
      <w:tr w:rsidR="003F0521" w14:paraId="23F4528C" w14:textId="77777777">
        <w:trPr>
          <w:cantSplit/>
          <w:jc w:val="center"/>
        </w:trPr>
        <w:tc>
          <w:tcPr>
            <w:tcW w:w="1418" w:type="dxa"/>
            <w:vAlign w:val="center"/>
          </w:tcPr>
          <w:p w14:paraId="79263592" w14:textId="77777777" w:rsidR="003F0521" w:rsidRDefault="00000000">
            <w:r>
              <w:rPr>
                <w:sz w:val="16"/>
              </w:rPr>
              <w:t>Kalibracja</w:t>
            </w:r>
          </w:p>
        </w:tc>
        <w:tc>
          <w:tcPr>
            <w:tcW w:w="1909" w:type="dxa"/>
            <w:vAlign w:val="center"/>
          </w:tcPr>
          <w:p w14:paraId="49E228D6" w14:textId="77777777" w:rsidR="003F0521" w:rsidRDefault="00000000">
            <w:r>
              <w:rPr>
                <w:sz w:val="16"/>
              </w:rPr>
              <w:t>Reprezentant każdej rodziny</w:t>
            </w:r>
          </w:p>
        </w:tc>
        <w:tc>
          <w:tcPr>
            <w:tcW w:w="2454" w:type="dxa"/>
            <w:vAlign w:val="center"/>
          </w:tcPr>
          <w:p w14:paraId="04456AE5" w14:textId="77777777" w:rsidR="003F0521" w:rsidRDefault="00000000">
            <w:r>
              <w:rPr>
                <w:sz w:val="16"/>
              </w:rPr>
              <w:t>Jednowymiarowa regresja logistyczna Platta</w:t>
            </w:r>
          </w:p>
        </w:tc>
        <w:tc>
          <w:tcPr>
            <w:tcW w:w="2399" w:type="dxa"/>
            <w:vAlign w:val="center"/>
          </w:tcPr>
          <w:p w14:paraId="76227BCD" w14:textId="77777777" w:rsidR="003F0521" w:rsidRDefault="00000000">
            <w:r>
              <w:rPr>
                <w:sz w:val="16"/>
              </w:rPr>
              <w:t>Mapuje surowy wynik na prawdopodobieństwo po zamrożeniu rankingu.</w:t>
            </w:r>
          </w:p>
        </w:tc>
      </w:tr>
      <w:tr w:rsidR="003F0521" w14:paraId="4D541FEB" w14:textId="77777777">
        <w:trPr>
          <w:cantSplit/>
          <w:jc w:val="center"/>
        </w:trPr>
        <w:tc>
          <w:tcPr>
            <w:tcW w:w="1418" w:type="dxa"/>
            <w:vAlign w:val="center"/>
          </w:tcPr>
          <w:p w14:paraId="6F0F8E10" w14:textId="77777777" w:rsidR="003F0521" w:rsidRDefault="00000000">
            <w:r>
              <w:rPr>
                <w:sz w:val="16"/>
              </w:rPr>
              <w:t>Punkt operacyjny</w:t>
            </w:r>
          </w:p>
        </w:tc>
        <w:tc>
          <w:tcPr>
            <w:tcW w:w="1909" w:type="dxa"/>
            <w:vAlign w:val="center"/>
          </w:tcPr>
          <w:p w14:paraId="42C9E769" w14:textId="77777777" w:rsidR="003F0521" w:rsidRDefault="00000000">
            <w:r>
              <w:rPr>
                <w:sz w:val="16"/>
              </w:rPr>
              <w:t>Skalibrowane OOF</w:t>
            </w:r>
          </w:p>
        </w:tc>
        <w:tc>
          <w:tcPr>
            <w:tcW w:w="2454" w:type="dxa"/>
            <w:vAlign w:val="center"/>
          </w:tcPr>
          <w:p w14:paraId="56BF7AB0" w14:textId="77777777" w:rsidR="003F0521" w:rsidRDefault="00000000">
            <w:r>
              <w:rPr>
                <w:sz w:val="16"/>
              </w:rPr>
              <w:t>Próg maksymalizujący F1</w:t>
            </w:r>
          </w:p>
        </w:tc>
        <w:tc>
          <w:tcPr>
            <w:tcW w:w="2399" w:type="dxa"/>
            <w:vAlign w:val="center"/>
          </w:tcPr>
          <w:p w14:paraId="0AD2A016" w14:textId="77777777" w:rsidR="003F0521" w:rsidRDefault="00000000">
            <w:r>
              <w:rPr>
                <w:sz w:val="16"/>
              </w:rPr>
              <w:t>Wyznacza decyzję binarną; wynik OOF jest rozwojowy dla warstwy decyzyjnej.</w:t>
            </w:r>
          </w:p>
        </w:tc>
      </w:tr>
      <w:tr w:rsidR="003F0521" w14:paraId="494EC889" w14:textId="77777777">
        <w:trPr>
          <w:cantSplit/>
          <w:jc w:val="center"/>
        </w:trPr>
        <w:tc>
          <w:tcPr>
            <w:tcW w:w="1418" w:type="dxa"/>
            <w:vAlign w:val="center"/>
          </w:tcPr>
          <w:p w14:paraId="2F594F7E" w14:textId="77777777" w:rsidR="003F0521" w:rsidRDefault="00000000">
            <w:r>
              <w:rPr>
                <w:sz w:val="16"/>
              </w:rPr>
              <w:t>Analizy wtórne</w:t>
            </w:r>
          </w:p>
        </w:tc>
        <w:tc>
          <w:tcPr>
            <w:tcW w:w="1909" w:type="dxa"/>
            <w:vAlign w:val="center"/>
          </w:tcPr>
          <w:p w14:paraId="104B5571" w14:textId="77777777" w:rsidR="003F0521" w:rsidRDefault="00000000">
            <w:r>
              <w:rPr>
                <w:sz w:val="16"/>
              </w:rPr>
              <w:t>Globalny zwycięzca i wybrane reprezentanty</w:t>
            </w:r>
          </w:p>
        </w:tc>
        <w:tc>
          <w:tcPr>
            <w:tcW w:w="2454" w:type="dxa"/>
            <w:vAlign w:val="center"/>
          </w:tcPr>
          <w:p w14:paraId="35197A29" w14:textId="77777777" w:rsidR="003F0521" w:rsidRDefault="00000000">
            <w:r>
              <w:rPr>
                <w:sz w:val="16"/>
              </w:rPr>
              <w:t>Odporność, interpretowalność i kontrole QNN</w:t>
            </w:r>
          </w:p>
        </w:tc>
        <w:tc>
          <w:tcPr>
            <w:tcW w:w="2399" w:type="dxa"/>
            <w:vAlign w:val="center"/>
          </w:tcPr>
          <w:p w14:paraId="2D7053E2" w14:textId="77777777" w:rsidR="003F0521" w:rsidRDefault="00000000">
            <w:r>
              <w:rPr>
                <w:sz w:val="16"/>
              </w:rPr>
              <w:t>Test stabilności wniosków bez ponownego strojenia.</w:t>
            </w:r>
          </w:p>
        </w:tc>
      </w:tr>
    </w:tbl>
    <w:p w14:paraId="6E701BE3" w14:textId="77777777" w:rsidR="003F0521" w:rsidRDefault="00000000">
      <w:pPr>
        <w:pStyle w:val="rdotabeli"/>
      </w:pPr>
      <w:r>
        <w:rPr>
          <w:color w:val="000000"/>
          <w:szCs w:val="18"/>
        </w:rPr>
        <w:t>Źródło: opracowanie własne na podstawie zamrożonej specyfikacji supervised ML pipeline i kontraktu wykonania modeli.</w:t>
      </w:r>
    </w:p>
    <w:p w14:paraId="5DEAD7C9" w14:textId="77777777" w:rsidR="003F0521" w:rsidRDefault="00000000">
      <w:pPr>
        <w:pStyle w:val="Heading3"/>
        <w:spacing w:line="240" w:lineRule="auto"/>
      </w:pPr>
      <w:r>
        <w:t>4.5.1. Walidacja czasowa i predykcje OOF</w:t>
      </w:r>
    </w:p>
    <w:p w14:paraId="156531AF" w14:textId="77777777" w:rsidR="003F0521" w:rsidRDefault="00000000">
      <w:pPr>
        <w:spacing w:after="0" w:line="360" w:lineRule="auto"/>
        <w:ind w:firstLine="709"/>
        <w:jc w:val="both"/>
      </w:pPr>
      <w:r>
        <w:rPr>
          <w:b/>
        </w:rPr>
        <w:t xml:space="preserve">Walidacja czasowa. </w:t>
      </w:r>
      <w:r>
        <w:t xml:space="preserve">Zamiast losowego podziału zastosowano sześć kolejnych foldów typu expanding window. W każdym z nich część treningowa obejmuje wszystkie dopuszczone lata od 2011 r. do dwóch lat przed rokiem walidacyjnym. Rok bezpośrednio poprzedzający walidację pełni funkcję embarga, ponieważ etykieta dla </w:t>
      </w:r>
      <w:r>
        <w:lastRenderedPageBreak/>
        <w:t>roku cech t staje się obserwowalna dopiero po publikacji raportu za t+1. Takie rozdzielenie odtwarza sytuację, w której model jest oceniany na późniejszym roku niż wszystkie wykorzystane przez niego obserwacje treningowe.</w:t>
      </w:r>
      <w:r>
        <w:footnoteReference w:id="37"/>
      </w:r>
    </w:p>
    <w:p w14:paraId="662FBD1F" w14:textId="77777777" w:rsidR="003F0521" w:rsidRDefault="00000000">
      <w:pPr>
        <w:spacing w:after="0" w:line="360" w:lineRule="auto"/>
        <w:ind w:firstLine="709"/>
        <w:jc w:val="both"/>
      </w:pPr>
      <w:r>
        <w:t>Sam podział według roku nie jest jednak wystarczający. W obrębie tego samego roku emitenci publikują raporty w różnych terminach, dlatego z części treningowej foldu usuwa się każdą obserwację, której etykieta nie była jeszcze dostępna w chwili najwcześniejszej predykcji dla danego roku walidacyjnego. Dodatkowo dla każdej obserwacji musi zachodzić ścisła kolejność: moment predykcji poprzedza moment dostępności jej etykiety. Przetwarzanie wstępne, a w przypadku QNN również PCA, jest dopasowywane od zera wyłącznie do tak wyznaczonej części treningowej.</w:t>
      </w:r>
    </w:p>
    <w:p w14:paraId="50773117" w14:textId="77777777" w:rsidR="003F0521" w:rsidRDefault="00000000">
      <w:pPr>
        <w:keepLines/>
        <w:spacing w:before="60" w:after="60" w:line="240" w:lineRule="auto"/>
        <w:ind w:left="227" w:right="227"/>
        <w:jc w:val="cente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feat</m:t>
              </m:r>
            </m:sup>
          </m:sSub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oMath>
      </m:oMathPara>
    </w:p>
    <w:p w14:paraId="07A32F9A" w14:textId="77777777" w:rsidR="003F0521" w:rsidRDefault="00000000">
      <w:pPr>
        <w:keepLines/>
        <w:spacing w:before="60" w:after="60" w:line="240" w:lineRule="auto"/>
        <w:ind w:left="227" w:right="227"/>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avail</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v</m:t>
                  </m:r>
                </m:sub>
              </m:sSub>
            </m:lim>
          </m:limLow>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pred</m:t>
              </m:r>
            </m:sup>
          </m:sSubSup>
        </m:oMath>
      </m:oMathPara>
    </w:p>
    <w:p w14:paraId="1A65DE2C" w14:textId="77777777" w:rsidR="003F0521" w:rsidRDefault="00000000">
      <w:pPr>
        <w:keepLines/>
        <w:spacing w:before="60" w:after="60" w:line="240" w:lineRule="auto"/>
        <w:ind w:left="227" w:right="227"/>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pred</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avail</m:t>
              </m:r>
            </m:sup>
          </m:sSubSup>
        </m:oMath>
      </m:oMathPara>
    </w:p>
    <w:p w14:paraId="5108EC70" w14:textId="77777777" w:rsidR="003F0521" w:rsidRDefault="00000000">
      <w:pPr>
        <w:spacing w:after="0" w:line="360" w:lineRule="auto"/>
        <w:ind w:firstLine="709"/>
        <w:jc w:val="both"/>
      </w:pPr>
      <w:r>
        <w:t xml:space="preserve">We wzorach </w:t>
      </w:r>
      <w:r>
        <w:rPr>
          <w:i/>
        </w:rPr>
        <w:t>v</w:t>
      </w:r>
      <w:r>
        <w:t xml:space="preserve"> oznacza rok walidacyjny, </w:t>
      </w:r>
      <w:r>
        <w:rPr>
          <w:i/>
        </w:rPr>
        <w:t>V</w:t>
      </w:r>
      <w:r>
        <w:rPr>
          <w:i/>
          <w:vertAlign w:val="subscript"/>
        </w:rPr>
        <w:t>v</w:t>
      </w:r>
      <w:r>
        <w:t xml:space="preserve"> – zbiór obserwacji walidacyjnych w tym roku, natomiast </w:t>
      </w:r>
      <w:r>
        <w:rPr>
          <w:i/>
        </w:rPr>
        <w:t>t</w:t>
      </w:r>
      <w:r>
        <w:rPr>
          <w:i/>
          <w:vertAlign w:val="subscript"/>
        </w:rPr>
        <w:t>i</w:t>
      </w:r>
      <w:r>
        <w:rPr>
          <w:i/>
          <w:sz w:val="18"/>
          <w:vertAlign w:val="superscript"/>
        </w:rPr>
        <w:t>pred</w:t>
      </w:r>
      <w:r>
        <w:t xml:space="preserve"> i </w:t>
      </w:r>
      <w:r>
        <w:rPr>
          <w:i/>
        </w:rPr>
        <w:t>t</w:t>
      </w:r>
      <w:r>
        <w:rPr>
          <w:i/>
          <w:vertAlign w:val="subscript"/>
        </w:rPr>
        <w:t>i</w:t>
      </w:r>
      <w:r>
        <w:rPr>
          <w:i/>
          <w:sz w:val="18"/>
          <w:vertAlign w:val="superscript"/>
        </w:rPr>
        <w:t>avail</w:t>
      </w:r>
      <w:r>
        <w:t xml:space="preserve"> – odpowiednio moment predykcji i moment dostępności etykiety.</w:t>
      </w:r>
    </w:p>
    <w:p w14:paraId="5E637634" w14:textId="77777777" w:rsidR="003F0521" w:rsidRDefault="00000000">
      <w:pPr>
        <w:pStyle w:val="Podpistabeli"/>
        <w:keepLines/>
      </w:pPr>
      <w:r>
        <w:rPr>
          <w:color w:val="000000"/>
          <w:szCs w:val="20"/>
        </w:rPr>
        <w:t>Tabela 4.21. Sześć foldów PIT-safe czasowej walidacji krzyżowej po korekcie strefy czasowej</w:t>
      </w:r>
    </w:p>
    <w:tbl>
      <w:tblPr>
        <w:tblStyle w:val="TableGrid"/>
        <w:tblW w:w="8504" w:type="dxa"/>
        <w:jc w:val="center"/>
        <w:tblLayout w:type="fixed"/>
        <w:tblLook w:val="04A0" w:firstRow="1" w:lastRow="0" w:firstColumn="1" w:lastColumn="0" w:noHBand="0" w:noVBand="1"/>
      </w:tblPr>
      <w:tblGrid>
        <w:gridCol w:w="1361"/>
        <w:gridCol w:w="1758"/>
        <w:gridCol w:w="1020"/>
        <w:gridCol w:w="1361"/>
        <w:gridCol w:w="1587"/>
        <w:gridCol w:w="1417"/>
      </w:tblGrid>
      <w:tr w:rsidR="003F0521" w14:paraId="4C1C0B2E" w14:textId="77777777">
        <w:trPr>
          <w:cantSplit/>
          <w:tblHeader/>
          <w:jc w:val="center"/>
        </w:trPr>
        <w:tc>
          <w:tcPr>
            <w:tcW w:w="1309" w:type="dxa"/>
            <w:shd w:val="clear" w:color="auto" w:fill="D9E1F2"/>
            <w:vAlign w:val="center"/>
          </w:tcPr>
          <w:p w14:paraId="28BA89D9" w14:textId="77777777" w:rsidR="003F0521" w:rsidRDefault="00000000">
            <w:pPr>
              <w:jc w:val="center"/>
            </w:pPr>
            <w:r>
              <w:rPr>
                <w:b/>
                <w:sz w:val="16"/>
              </w:rPr>
              <w:t>Fold</w:t>
            </w:r>
          </w:p>
        </w:tc>
        <w:tc>
          <w:tcPr>
            <w:tcW w:w="1691" w:type="dxa"/>
            <w:shd w:val="clear" w:color="auto" w:fill="D9E1F2"/>
            <w:vAlign w:val="center"/>
          </w:tcPr>
          <w:p w14:paraId="17472553" w14:textId="77777777" w:rsidR="003F0521" w:rsidRDefault="00000000">
            <w:pPr>
              <w:jc w:val="center"/>
            </w:pPr>
            <w:r>
              <w:rPr>
                <w:b/>
                <w:sz w:val="16"/>
              </w:rPr>
              <w:t>Lata treningowe</w:t>
            </w:r>
          </w:p>
        </w:tc>
        <w:tc>
          <w:tcPr>
            <w:tcW w:w="981" w:type="dxa"/>
            <w:shd w:val="clear" w:color="auto" w:fill="D9E1F2"/>
            <w:vAlign w:val="center"/>
          </w:tcPr>
          <w:p w14:paraId="1F6F8C50" w14:textId="77777777" w:rsidR="003F0521" w:rsidRDefault="00000000">
            <w:pPr>
              <w:jc w:val="center"/>
            </w:pPr>
            <w:r>
              <w:rPr>
                <w:b/>
                <w:sz w:val="16"/>
              </w:rPr>
              <w:t>Embargo</w:t>
            </w:r>
          </w:p>
        </w:tc>
        <w:tc>
          <w:tcPr>
            <w:tcW w:w="1309" w:type="dxa"/>
            <w:shd w:val="clear" w:color="auto" w:fill="D9E1F2"/>
            <w:vAlign w:val="center"/>
          </w:tcPr>
          <w:p w14:paraId="1566A485" w14:textId="77777777" w:rsidR="003F0521" w:rsidRDefault="00000000">
            <w:pPr>
              <w:jc w:val="center"/>
            </w:pPr>
            <w:r>
              <w:rPr>
                <w:b/>
                <w:sz w:val="16"/>
              </w:rPr>
              <w:t>Rok walidacji</w:t>
            </w:r>
          </w:p>
        </w:tc>
        <w:tc>
          <w:tcPr>
            <w:tcW w:w="1527" w:type="dxa"/>
            <w:shd w:val="clear" w:color="auto" w:fill="D9E1F2"/>
            <w:vAlign w:val="center"/>
          </w:tcPr>
          <w:p w14:paraId="1DC2326C" w14:textId="77777777" w:rsidR="003F0521" w:rsidRDefault="00000000">
            <w:pPr>
              <w:jc w:val="center"/>
            </w:pPr>
            <w:r>
              <w:rPr>
                <w:b/>
                <w:sz w:val="16"/>
              </w:rPr>
              <w:t>N treningowe PIT-safe</w:t>
            </w:r>
          </w:p>
        </w:tc>
        <w:tc>
          <w:tcPr>
            <w:tcW w:w="1363" w:type="dxa"/>
            <w:shd w:val="clear" w:color="auto" w:fill="D9E1F2"/>
            <w:vAlign w:val="center"/>
          </w:tcPr>
          <w:p w14:paraId="3E15243D" w14:textId="77777777" w:rsidR="003F0521" w:rsidRDefault="00000000">
            <w:pPr>
              <w:jc w:val="center"/>
            </w:pPr>
            <w:r>
              <w:rPr>
                <w:b/>
                <w:sz w:val="16"/>
              </w:rPr>
              <w:t>N walidacyjne</w:t>
            </w:r>
          </w:p>
        </w:tc>
      </w:tr>
      <w:tr w:rsidR="003F0521" w14:paraId="133C0F5A" w14:textId="77777777">
        <w:trPr>
          <w:cantSplit/>
          <w:jc w:val="center"/>
        </w:trPr>
        <w:tc>
          <w:tcPr>
            <w:tcW w:w="1309" w:type="dxa"/>
            <w:vAlign w:val="center"/>
          </w:tcPr>
          <w:p w14:paraId="6AE5C770" w14:textId="77777777" w:rsidR="003F0521" w:rsidRDefault="00000000">
            <w:pPr>
              <w:jc w:val="center"/>
            </w:pPr>
            <w:r>
              <w:rPr>
                <w:sz w:val="16"/>
              </w:rPr>
              <w:t>fold_2015</w:t>
            </w:r>
          </w:p>
        </w:tc>
        <w:tc>
          <w:tcPr>
            <w:tcW w:w="1691" w:type="dxa"/>
            <w:vAlign w:val="center"/>
          </w:tcPr>
          <w:p w14:paraId="0C210AD4" w14:textId="77777777" w:rsidR="003F0521" w:rsidRDefault="00000000">
            <w:r>
              <w:rPr>
                <w:sz w:val="16"/>
              </w:rPr>
              <w:t>2011–2013</w:t>
            </w:r>
          </w:p>
        </w:tc>
        <w:tc>
          <w:tcPr>
            <w:tcW w:w="981" w:type="dxa"/>
            <w:vAlign w:val="center"/>
          </w:tcPr>
          <w:p w14:paraId="6AA91325" w14:textId="77777777" w:rsidR="003F0521" w:rsidRDefault="00000000">
            <w:r>
              <w:rPr>
                <w:sz w:val="16"/>
              </w:rPr>
              <w:t>2014</w:t>
            </w:r>
          </w:p>
        </w:tc>
        <w:tc>
          <w:tcPr>
            <w:tcW w:w="1309" w:type="dxa"/>
            <w:vAlign w:val="center"/>
          </w:tcPr>
          <w:p w14:paraId="7350721E" w14:textId="77777777" w:rsidR="003F0521" w:rsidRDefault="00000000">
            <w:r>
              <w:rPr>
                <w:sz w:val="16"/>
              </w:rPr>
              <w:t>2015</w:t>
            </w:r>
          </w:p>
        </w:tc>
        <w:tc>
          <w:tcPr>
            <w:tcW w:w="1527" w:type="dxa"/>
            <w:vAlign w:val="center"/>
          </w:tcPr>
          <w:p w14:paraId="7036D684" w14:textId="77777777" w:rsidR="003F0521" w:rsidRDefault="00000000">
            <w:r>
              <w:rPr>
                <w:sz w:val="16"/>
              </w:rPr>
              <w:t>6 468</w:t>
            </w:r>
          </w:p>
        </w:tc>
        <w:tc>
          <w:tcPr>
            <w:tcW w:w="1363" w:type="dxa"/>
            <w:vAlign w:val="center"/>
          </w:tcPr>
          <w:p w14:paraId="02D07C45" w14:textId="77777777" w:rsidR="003F0521" w:rsidRDefault="00000000">
            <w:r>
              <w:rPr>
                <w:sz w:val="16"/>
              </w:rPr>
              <w:t>2 241</w:t>
            </w:r>
          </w:p>
        </w:tc>
      </w:tr>
      <w:tr w:rsidR="003F0521" w14:paraId="22987DB8" w14:textId="77777777">
        <w:trPr>
          <w:cantSplit/>
          <w:jc w:val="center"/>
        </w:trPr>
        <w:tc>
          <w:tcPr>
            <w:tcW w:w="1309" w:type="dxa"/>
            <w:vAlign w:val="center"/>
          </w:tcPr>
          <w:p w14:paraId="0225B097" w14:textId="77777777" w:rsidR="003F0521" w:rsidRDefault="00000000">
            <w:pPr>
              <w:jc w:val="center"/>
            </w:pPr>
            <w:r>
              <w:rPr>
                <w:sz w:val="16"/>
              </w:rPr>
              <w:t>fold_2016</w:t>
            </w:r>
          </w:p>
        </w:tc>
        <w:tc>
          <w:tcPr>
            <w:tcW w:w="1691" w:type="dxa"/>
            <w:vAlign w:val="center"/>
          </w:tcPr>
          <w:p w14:paraId="7AF44082" w14:textId="77777777" w:rsidR="003F0521" w:rsidRDefault="00000000">
            <w:r>
              <w:rPr>
                <w:sz w:val="16"/>
              </w:rPr>
              <w:t>2011–2014</w:t>
            </w:r>
          </w:p>
        </w:tc>
        <w:tc>
          <w:tcPr>
            <w:tcW w:w="981" w:type="dxa"/>
            <w:vAlign w:val="center"/>
          </w:tcPr>
          <w:p w14:paraId="075BA927" w14:textId="77777777" w:rsidR="003F0521" w:rsidRDefault="00000000">
            <w:r>
              <w:rPr>
                <w:sz w:val="16"/>
              </w:rPr>
              <w:t>2015</w:t>
            </w:r>
          </w:p>
        </w:tc>
        <w:tc>
          <w:tcPr>
            <w:tcW w:w="1309" w:type="dxa"/>
            <w:vAlign w:val="center"/>
          </w:tcPr>
          <w:p w14:paraId="6274F331" w14:textId="77777777" w:rsidR="003F0521" w:rsidRDefault="00000000">
            <w:r>
              <w:rPr>
                <w:sz w:val="16"/>
              </w:rPr>
              <w:t>2016</w:t>
            </w:r>
          </w:p>
        </w:tc>
        <w:tc>
          <w:tcPr>
            <w:tcW w:w="1527" w:type="dxa"/>
            <w:vAlign w:val="center"/>
          </w:tcPr>
          <w:p w14:paraId="3BA27737" w14:textId="77777777" w:rsidR="003F0521" w:rsidRDefault="00000000">
            <w:r>
              <w:rPr>
                <w:sz w:val="16"/>
              </w:rPr>
              <w:t>8 761</w:t>
            </w:r>
          </w:p>
        </w:tc>
        <w:tc>
          <w:tcPr>
            <w:tcW w:w="1363" w:type="dxa"/>
            <w:vAlign w:val="center"/>
          </w:tcPr>
          <w:p w14:paraId="62C45FB5" w14:textId="77777777" w:rsidR="003F0521" w:rsidRDefault="00000000">
            <w:r>
              <w:rPr>
                <w:sz w:val="16"/>
              </w:rPr>
              <w:t>2 133</w:t>
            </w:r>
          </w:p>
        </w:tc>
      </w:tr>
      <w:tr w:rsidR="003F0521" w14:paraId="4C1CBFEC" w14:textId="77777777">
        <w:trPr>
          <w:cantSplit/>
          <w:jc w:val="center"/>
        </w:trPr>
        <w:tc>
          <w:tcPr>
            <w:tcW w:w="1309" w:type="dxa"/>
            <w:vAlign w:val="center"/>
          </w:tcPr>
          <w:p w14:paraId="4F1BC2F3" w14:textId="77777777" w:rsidR="003F0521" w:rsidRDefault="00000000">
            <w:pPr>
              <w:jc w:val="center"/>
            </w:pPr>
            <w:r>
              <w:rPr>
                <w:sz w:val="16"/>
              </w:rPr>
              <w:t>fold_2017</w:t>
            </w:r>
          </w:p>
        </w:tc>
        <w:tc>
          <w:tcPr>
            <w:tcW w:w="1691" w:type="dxa"/>
            <w:vAlign w:val="center"/>
          </w:tcPr>
          <w:p w14:paraId="7712CC93" w14:textId="77777777" w:rsidR="003F0521" w:rsidRDefault="00000000">
            <w:r>
              <w:rPr>
                <w:sz w:val="16"/>
              </w:rPr>
              <w:t>2011–2015</w:t>
            </w:r>
          </w:p>
        </w:tc>
        <w:tc>
          <w:tcPr>
            <w:tcW w:w="981" w:type="dxa"/>
            <w:vAlign w:val="center"/>
          </w:tcPr>
          <w:p w14:paraId="273F1D9D" w14:textId="77777777" w:rsidR="003F0521" w:rsidRDefault="00000000">
            <w:r>
              <w:rPr>
                <w:sz w:val="16"/>
              </w:rPr>
              <w:t>2016</w:t>
            </w:r>
          </w:p>
        </w:tc>
        <w:tc>
          <w:tcPr>
            <w:tcW w:w="1309" w:type="dxa"/>
            <w:vAlign w:val="center"/>
          </w:tcPr>
          <w:p w14:paraId="3B5FCD67" w14:textId="77777777" w:rsidR="003F0521" w:rsidRDefault="00000000">
            <w:r>
              <w:rPr>
                <w:sz w:val="16"/>
              </w:rPr>
              <w:t>2017</w:t>
            </w:r>
          </w:p>
        </w:tc>
        <w:tc>
          <w:tcPr>
            <w:tcW w:w="1527" w:type="dxa"/>
            <w:vAlign w:val="center"/>
          </w:tcPr>
          <w:p w14:paraId="6557B930" w14:textId="77777777" w:rsidR="003F0521" w:rsidRDefault="00000000">
            <w:r>
              <w:rPr>
                <w:sz w:val="16"/>
              </w:rPr>
              <w:t>11 089</w:t>
            </w:r>
          </w:p>
        </w:tc>
        <w:tc>
          <w:tcPr>
            <w:tcW w:w="1363" w:type="dxa"/>
            <w:vAlign w:val="center"/>
          </w:tcPr>
          <w:p w14:paraId="71685F4B" w14:textId="77777777" w:rsidR="003F0521" w:rsidRDefault="00000000">
            <w:r>
              <w:rPr>
                <w:sz w:val="16"/>
              </w:rPr>
              <w:t>1 549</w:t>
            </w:r>
          </w:p>
        </w:tc>
      </w:tr>
      <w:tr w:rsidR="003F0521" w14:paraId="0EC1B962" w14:textId="77777777">
        <w:trPr>
          <w:cantSplit/>
          <w:jc w:val="center"/>
        </w:trPr>
        <w:tc>
          <w:tcPr>
            <w:tcW w:w="1309" w:type="dxa"/>
            <w:vAlign w:val="center"/>
          </w:tcPr>
          <w:p w14:paraId="05FBAE5C" w14:textId="77777777" w:rsidR="003F0521" w:rsidRDefault="00000000">
            <w:pPr>
              <w:jc w:val="center"/>
            </w:pPr>
            <w:r>
              <w:rPr>
                <w:sz w:val="16"/>
              </w:rPr>
              <w:t>fold_2018</w:t>
            </w:r>
          </w:p>
        </w:tc>
        <w:tc>
          <w:tcPr>
            <w:tcW w:w="1691" w:type="dxa"/>
            <w:vAlign w:val="center"/>
          </w:tcPr>
          <w:p w14:paraId="235CA8EF" w14:textId="77777777" w:rsidR="003F0521" w:rsidRDefault="00000000">
            <w:r>
              <w:rPr>
                <w:sz w:val="16"/>
              </w:rPr>
              <w:t>2011–2016</w:t>
            </w:r>
          </w:p>
        </w:tc>
        <w:tc>
          <w:tcPr>
            <w:tcW w:w="981" w:type="dxa"/>
            <w:vAlign w:val="center"/>
          </w:tcPr>
          <w:p w14:paraId="34C9A46E" w14:textId="77777777" w:rsidR="003F0521" w:rsidRDefault="00000000">
            <w:r>
              <w:rPr>
                <w:sz w:val="16"/>
              </w:rPr>
              <w:t>2017</w:t>
            </w:r>
          </w:p>
        </w:tc>
        <w:tc>
          <w:tcPr>
            <w:tcW w:w="1309" w:type="dxa"/>
            <w:vAlign w:val="center"/>
          </w:tcPr>
          <w:p w14:paraId="36B5CE01" w14:textId="77777777" w:rsidR="003F0521" w:rsidRDefault="00000000">
            <w:r>
              <w:rPr>
                <w:sz w:val="16"/>
              </w:rPr>
              <w:t>2018</w:t>
            </w:r>
          </w:p>
        </w:tc>
        <w:tc>
          <w:tcPr>
            <w:tcW w:w="1527" w:type="dxa"/>
            <w:vAlign w:val="center"/>
          </w:tcPr>
          <w:p w14:paraId="77ACBF1F" w14:textId="77777777" w:rsidR="003F0521" w:rsidRDefault="00000000">
            <w:r>
              <w:rPr>
                <w:sz w:val="16"/>
              </w:rPr>
              <w:t>13 221</w:t>
            </w:r>
          </w:p>
        </w:tc>
        <w:tc>
          <w:tcPr>
            <w:tcW w:w="1363" w:type="dxa"/>
            <w:vAlign w:val="center"/>
          </w:tcPr>
          <w:p w14:paraId="392D0265" w14:textId="77777777" w:rsidR="003F0521" w:rsidRDefault="00000000">
            <w:r>
              <w:rPr>
                <w:sz w:val="16"/>
              </w:rPr>
              <w:t>1 511</w:t>
            </w:r>
          </w:p>
        </w:tc>
      </w:tr>
      <w:tr w:rsidR="003F0521" w14:paraId="077BC9A5" w14:textId="77777777">
        <w:trPr>
          <w:cantSplit/>
          <w:jc w:val="center"/>
        </w:trPr>
        <w:tc>
          <w:tcPr>
            <w:tcW w:w="1309" w:type="dxa"/>
            <w:vAlign w:val="center"/>
          </w:tcPr>
          <w:p w14:paraId="38F18C2A" w14:textId="77777777" w:rsidR="003F0521" w:rsidRDefault="00000000">
            <w:pPr>
              <w:jc w:val="center"/>
            </w:pPr>
            <w:r>
              <w:rPr>
                <w:sz w:val="16"/>
              </w:rPr>
              <w:t>fold_2019</w:t>
            </w:r>
          </w:p>
        </w:tc>
        <w:tc>
          <w:tcPr>
            <w:tcW w:w="1691" w:type="dxa"/>
            <w:vAlign w:val="center"/>
          </w:tcPr>
          <w:p w14:paraId="259AFD81" w14:textId="77777777" w:rsidR="003F0521" w:rsidRDefault="00000000">
            <w:r>
              <w:rPr>
                <w:sz w:val="16"/>
              </w:rPr>
              <w:t>2011–2017</w:t>
            </w:r>
          </w:p>
        </w:tc>
        <w:tc>
          <w:tcPr>
            <w:tcW w:w="981" w:type="dxa"/>
            <w:vAlign w:val="center"/>
          </w:tcPr>
          <w:p w14:paraId="45FBF3F6" w14:textId="77777777" w:rsidR="003F0521" w:rsidRDefault="00000000">
            <w:r>
              <w:rPr>
                <w:sz w:val="16"/>
              </w:rPr>
              <w:t>2018</w:t>
            </w:r>
          </w:p>
        </w:tc>
        <w:tc>
          <w:tcPr>
            <w:tcW w:w="1309" w:type="dxa"/>
            <w:vAlign w:val="center"/>
          </w:tcPr>
          <w:p w14:paraId="6DCB03C0" w14:textId="77777777" w:rsidR="003F0521" w:rsidRDefault="00000000">
            <w:r>
              <w:rPr>
                <w:sz w:val="16"/>
              </w:rPr>
              <w:t>2019</w:t>
            </w:r>
          </w:p>
        </w:tc>
        <w:tc>
          <w:tcPr>
            <w:tcW w:w="1527" w:type="dxa"/>
            <w:vAlign w:val="center"/>
          </w:tcPr>
          <w:p w14:paraId="205BBF5C" w14:textId="77777777" w:rsidR="003F0521" w:rsidRDefault="00000000">
            <w:r>
              <w:rPr>
                <w:sz w:val="16"/>
              </w:rPr>
              <w:t>14 783</w:t>
            </w:r>
          </w:p>
        </w:tc>
        <w:tc>
          <w:tcPr>
            <w:tcW w:w="1363" w:type="dxa"/>
            <w:vAlign w:val="center"/>
          </w:tcPr>
          <w:p w14:paraId="7AC8E165" w14:textId="77777777" w:rsidR="003F0521" w:rsidRDefault="00000000">
            <w:r>
              <w:rPr>
                <w:sz w:val="16"/>
              </w:rPr>
              <w:t>1 638</w:t>
            </w:r>
          </w:p>
        </w:tc>
      </w:tr>
      <w:tr w:rsidR="003F0521" w14:paraId="3B819808" w14:textId="77777777">
        <w:trPr>
          <w:cantSplit/>
          <w:jc w:val="center"/>
        </w:trPr>
        <w:tc>
          <w:tcPr>
            <w:tcW w:w="1309" w:type="dxa"/>
            <w:vAlign w:val="center"/>
          </w:tcPr>
          <w:p w14:paraId="32F36C46" w14:textId="77777777" w:rsidR="003F0521" w:rsidRDefault="00000000">
            <w:pPr>
              <w:jc w:val="center"/>
            </w:pPr>
            <w:r>
              <w:rPr>
                <w:sz w:val="16"/>
              </w:rPr>
              <w:t>fold_2020</w:t>
            </w:r>
          </w:p>
        </w:tc>
        <w:tc>
          <w:tcPr>
            <w:tcW w:w="1691" w:type="dxa"/>
            <w:vAlign w:val="center"/>
          </w:tcPr>
          <w:p w14:paraId="3F8D8F26" w14:textId="77777777" w:rsidR="003F0521" w:rsidRDefault="00000000">
            <w:r>
              <w:rPr>
                <w:sz w:val="16"/>
              </w:rPr>
              <w:t>2011–2018</w:t>
            </w:r>
          </w:p>
        </w:tc>
        <w:tc>
          <w:tcPr>
            <w:tcW w:w="981" w:type="dxa"/>
            <w:vAlign w:val="center"/>
          </w:tcPr>
          <w:p w14:paraId="34B976DA" w14:textId="77777777" w:rsidR="003F0521" w:rsidRDefault="00000000">
            <w:r>
              <w:rPr>
                <w:sz w:val="16"/>
              </w:rPr>
              <w:t>2019</w:t>
            </w:r>
          </w:p>
        </w:tc>
        <w:tc>
          <w:tcPr>
            <w:tcW w:w="1309" w:type="dxa"/>
            <w:vAlign w:val="center"/>
          </w:tcPr>
          <w:p w14:paraId="4A115F10" w14:textId="77777777" w:rsidR="003F0521" w:rsidRDefault="00000000">
            <w:r>
              <w:rPr>
                <w:sz w:val="16"/>
              </w:rPr>
              <w:t>2020</w:t>
            </w:r>
          </w:p>
        </w:tc>
        <w:tc>
          <w:tcPr>
            <w:tcW w:w="1527" w:type="dxa"/>
            <w:vAlign w:val="center"/>
          </w:tcPr>
          <w:p w14:paraId="1778C8CC" w14:textId="77777777" w:rsidR="003F0521" w:rsidRDefault="00000000">
            <w:r>
              <w:rPr>
                <w:sz w:val="16"/>
              </w:rPr>
              <w:t>16 280</w:t>
            </w:r>
          </w:p>
        </w:tc>
        <w:tc>
          <w:tcPr>
            <w:tcW w:w="1363" w:type="dxa"/>
            <w:vAlign w:val="center"/>
          </w:tcPr>
          <w:p w14:paraId="0FBC07BD" w14:textId="77777777" w:rsidR="003F0521" w:rsidRDefault="00000000">
            <w:r>
              <w:rPr>
                <w:sz w:val="16"/>
              </w:rPr>
              <w:t>1 688</w:t>
            </w:r>
          </w:p>
        </w:tc>
      </w:tr>
    </w:tbl>
    <w:p w14:paraId="75B2317C" w14:textId="77777777" w:rsidR="003F0521" w:rsidRDefault="00000000">
      <w:pPr>
        <w:pStyle w:val="rdotabeli"/>
      </w:pPr>
      <w:r>
        <w:rPr>
          <w:color w:val="000000"/>
          <w:szCs w:val="18"/>
        </w:rPr>
        <w:t>Źródło: opracowanie własne na podstawie configs/supervised_ml_pipeline_v1_3_0_timezone_fix.yaml.</w:t>
      </w:r>
    </w:p>
    <w:p w14:paraId="5021664B" w14:textId="77777777" w:rsidR="003F0521" w:rsidRDefault="00000000">
      <w:pPr>
        <w:spacing w:after="0" w:line="360" w:lineRule="auto"/>
        <w:ind w:firstLine="709"/>
        <w:jc w:val="both"/>
      </w:pPr>
      <w:r>
        <w:t>Czas przyjęcia zgłoszenia SEC jest interpretowany w strefie America/New_York z uwzględnieniem reguł czasu letniego, a następnie serializowany i porównywany w UTC. Korekta tej reprezentacji nie zmieniła definicji etykiety, liczebności całej próby ani walidacyjnych części foldów, lecz usunęła dwie obserwacje z części treningowej fold_2015 i jedną z części treningowej fold_2019. Po korekcie we wszystkich sześciu foldach liczba naruszeń relacji point-in-time wynosi zero.</w:t>
      </w:r>
    </w:p>
    <w:p w14:paraId="2C5E3C04" w14:textId="77777777" w:rsidR="003F0521" w:rsidRDefault="00000000">
      <w:pPr>
        <w:spacing w:after="0" w:line="360" w:lineRule="auto"/>
        <w:ind w:firstLine="709"/>
        <w:jc w:val="both"/>
      </w:pPr>
      <w:r>
        <w:rPr>
          <w:b/>
        </w:rPr>
        <w:t xml:space="preserve">Predykcje out-of-fold. </w:t>
      </w:r>
      <w:r>
        <w:t xml:space="preserve">Każda obserwacja z lat walidacyjnych 2015–2020 otrzymuje dokładnie jeden surowy wynik modelu, wygenerowany przez model, który nie był dopasowany do tej obserwacji ani do późniejszych lat. </w:t>
      </w:r>
      <w:r w:rsidRPr="00284ADC">
        <w:rPr>
          <w:lang w:val="en-US"/>
        </w:rPr>
        <w:t xml:space="preserve">Kanonicznym kluczem </w:t>
      </w:r>
      <w:r w:rsidRPr="00284ADC">
        <w:rPr>
          <w:lang w:val="en-US"/>
        </w:rPr>
        <w:lastRenderedPageBreak/>
        <w:t xml:space="preserve">predykcji jest para validation_feature_year oraz research_universe_company_year_id. </w:t>
      </w:r>
      <w:r>
        <w:t>Połączenie sześciu części walidacyjnych tworzy jeden zbiór OOF, na którym obliczana jest główna metryka. Duplikat klucza, brak predykcji albo niezgodność etykiety, grupy ekonomicznej, foldu bądź znacznika czasu powodują techniczne unieważnienie wyniku.</w:t>
      </w:r>
    </w:p>
    <w:p w14:paraId="36312717" w14:textId="77777777" w:rsidR="003F0521" w:rsidRDefault="00000000">
      <w:pPr>
        <w:pStyle w:val="Heading3"/>
        <w:spacing w:line="240" w:lineRule="auto"/>
      </w:pPr>
      <w:r>
        <w:t>4.5.2. Metryki, ranking i niepewność</w:t>
      </w:r>
    </w:p>
    <w:p w14:paraId="16B57BB1" w14:textId="77777777" w:rsidR="003F0521" w:rsidRDefault="00000000">
      <w:pPr>
        <w:spacing w:after="0" w:line="360" w:lineRule="auto"/>
        <w:ind w:firstLine="709"/>
        <w:jc w:val="both"/>
      </w:pPr>
      <w:r>
        <w:rPr>
          <w:b/>
        </w:rPr>
        <w:t xml:space="preserve">Główna metryka. </w:t>
      </w:r>
      <w:r>
        <w:t>Do rankingu przyjęto łączną OOF PR-AUC, implementowaną jako average precision (AP). Metryka podsumowuje relację precision–recall przy wszystkich możliwych progach i jest szczególnie użyteczna w klasyfikacji z mniejszościową klasą pozytywną. Najpierw łączy się wszystkie wiersze OOF, a dopiero potem oblicza jedną wartość. Nie jest to średnia sześciu rocznych PR-AUC, dlatego każda obserwacja zachowuje swoją wagę w całym okresie 2015–2020.</w:t>
      </w:r>
      <w:r>
        <w:footnoteReference w:id="38"/>
      </w:r>
    </w:p>
    <w:p w14:paraId="4B570313" w14:textId="77777777" w:rsidR="003F0521" w:rsidRDefault="00000000">
      <w:pPr>
        <w:keepLines/>
        <w:spacing w:before="60" w:after="60" w:line="240" w:lineRule="auto"/>
        <w:ind w:left="227" w:right="227"/>
        <w:jc w:val="center"/>
      </w:pPr>
      <m:oMathPara>
        <m:oMathParaPr>
          <m:jc m:val="center"/>
        </m:oMathParaPr>
        <m:oMath>
          <m:r>
            <w:rPr>
              <w:rFonts w:ascii="Cambria Math" w:hAnsi="Cambria Math"/>
            </w:rPr>
            <m:t>AP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Sub>
                </m:e>
              </m:d>
            </m:e>
          </m:nary>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641DDE92" w14:textId="77777777" w:rsidR="003F0521" w:rsidRDefault="00000000">
      <w:pPr>
        <w:keepLines/>
        <w:spacing w:before="60" w:after="60" w:line="240" w:lineRule="auto"/>
        <w:ind w:left="227" w:right="227"/>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primary</m:t>
              </m:r>
            </m:sub>
          </m:sSub>
          <m:r>
            <m:rPr>
              <m:sty m:val="p"/>
            </m:rPr>
            <w:rPr>
              <w:rFonts w:ascii="Cambria Math" w:hAnsi="Cambria Math"/>
            </w:rPr>
            <m:t>=</m:t>
          </m:r>
          <m:r>
            <w:rPr>
              <w:rFonts w:ascii="Cambria Math" w:hAnsi="Cambria Math"/>
            </w:rPr>
            <m:t>AP​</m:t>
          </m:r>
          <m:d>
            <m:dPr>
              <m:ctrlPr>
                <w:rPr>
                  <w:rFonts w:ascii="Cambria Math" w:hAnsi="Cambria Math"/>
                </w:rPr>
              </m:ctrlPr>
            </m:dPr>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2020</m:t>
                      </m:r>
                    </m:lim>
                  </m:limUpp>
                </m:e>
                <m:lim>
                  <m:r>
                    <w:rPr>
                      <w:rFonts w:ascii="Cambria Math" w:hAnsi="Cambria Math"/>
                    </w:rPr>
                    <m:t>v</m:t>
                  </m:r>
                  <m:r>
                    <m:rPr>
                      <m:sty m:val="p"/>
                    </m:rPr>
                    <w:rPr>
                      <w:rFonts w:ascii="Cambria Math" w:hAnsi="Cambria Math"/>
                    </w:rPr>
                    <m:t>=</m:t>
                  </m:r>
                  <m:r>
                    <w:rPr>
                      <w:rFonts w:ascii="Cambria Math" w:hAnsi="Cambria Math"/>
                    </w:rPr>
                    <m:t>2015</m:t>
                  </m:r>
                </m:lim>
              </m:limLow>
              <m:sSub>
                <m:sSubPr>
                  <m:ctrlPr>
                    <w:rPr>
                      <w:rFonts w:ascii="Cambria Math" w:hAnsi="Cambria Math"/>
                    </w:rPr>
                  </m:ctrlPr>
                </m:sSubPr>
                <m:e>
                  <m:r>
                    <m:rPr>
                      <m:scr m:val="script"/>
                      <m:sty m:val="p"/>
                    </m:rPr>
                    <w:rPr>
                      <w:rFonts w:ascii="Cambria Math" w:hAnsi="Cambria Math"/>
                    </w:rPr>
                    <m:t>O</m:t>
                  </m:r>
                </m:e>
                <m:sub>
                  <m:r>
                    <w:rPr>
                      <w:rFonts w:ascii="Cambria Math" w:hAnsi="Cambria Math"/>
                    </w:rPr>
                    <m:t>v</m:t>
                  </m:r>
                </m:sub>
              </m:sSub>
            </m:e>
          </m:d>
        </m:oMath>
      </m:oMathPara>
    </w:p>
    <w:p w14:paraId="68F06BBE" w14:textId="77777777" w:rsidR="003F0521" w:rsidRDefault="00000000">
      <w:pPr>
        <w:spacing w:after="0" w:line="360" w:lineRule="auto"/>
        <w:ind w:firstLine="709"/>
        <w:jc w:val="both"/>
      </w:pPr>
      <w:r>
        <w:t xml:space="preserve">We wzorach </w:t>
      </w:r>
      <w:r>
        <w:rPr>
          <w:i/>
        </w:rPr>
        <w:t>R</w:t>
      </w:r>
      <w:r>
        <w:rPr>
          <w:i/>
          <w:vertAlign w:val="subscript"/>
        </w:rPr>
        <w:t>k</w:t>
      </w:r>
      <w:r>
        <w:t xml:space="preserve"> i </w:t>
      </w:r>
      <w:r>
        <w:rPr>
          <w:i/>
        </w:rPr>
        <w:t>P</w:t>
      </w:r>
      <w:r>
        <w:rPr>
          <w:i/>
          <w:vertAlign w:val="subscript"/>
        </w:rPr>
        <w:t>k</w:t>
      </w:r>
      <w:r>
        <w:t xml:space="preserve"> oznaczają odpowiednio recall i precision w kolejnym punkcie krzywej, </w:t>
      </w:r>
      <w:r>
        <w:rPr>
          <w:i/>
        </w:rPr>
        <w:t>O</w:t>
      </w:r>
      <w:r>
        <w:rPr>
          <w:i/>
          <w:vertAlign w:val="subscript"/>
        </w:rPr>
        <w:t>v</w:t>
      </w:r>
      <w:r>
        <w:t xml:space="preserve"> – zbiór predykcji OOF dla roku </w:t>
      </w:r>
      <w:r>
        <w:rPr>
          <w:i/>
        </w:rPr>
        <w:t>v</w:t>
      </w:r>
      <w:r>
        <w:t xml:space="preserve">, a </w:t>
      </w:r>
      <w:r>
        <w:rPr>
          <w:i/>
        </w:rPr>
        <w:t>S</w:t>
      </w:r>
      <w:r>
        <w:rPr>
          <w:i/>
          <w:sz w:val="18"/>
          <w:vertAlign w:val="subscript"/>
        </w:rPr>
        <w:t>primary</w:t>
      </w:r>
      <w:r>
        <w:t xml:space="preserve"> – główny wynik selekcyjny.</w:t>
      </w:r>
    </w:p>
    <w:p w14:paraId="6A6236A8" w14:textId="77777777" w:rsidR="003F0521" w:rsidRDefault="00000000">
      <w:pPr>
        <w:spacing w:after="0" w:line="360" w:lineRule="auto"/>
        <w:ind w:firstLine="709"/>
        <w:jc w:val="both"/>
      </w:pPr>
      <w:r>
        <w:rPr>
          <w:b/>
        </w:rPr>
        <w:t xml:space="preserve">Interpretacja wyniku selekcyjnego. </w:t>
      </w:r>
      <w:r>
        <w:t>Każda predykcja OOF pochodzi z modelu niedopasowanego do ocenianej obserwacji, lecz ten sam zbiór OOF służy także do przeszukiwania konfiguracji, uruchamiania etapu doprecyzowania oraz wyboru reprezentantów rodzin. W rezultacie wynik zwycięskiego reprezentanta jest wewnętrzną miarą selekcyjną, warunkowaną całym procesem wyboru, a nie całkowicie niezależnym oszacowaniem jakości po selekcji. Niezależną rolę pełni dopiero późniejsza ocena zamrożonej procedury modelowej.</w:t>
      </w:r>
    </w:p>
    <w:p w14:paraId="54D7B4AE" w14:textId="77777777" w:rsidR="003F0521" w:rsidRDefault="00000000">
      <w:pPr>
        <w:spacing w:after="0" w:line="360" w:lineRule="auto"/>
        <w:ind w:firstLine="709"/>
        <w:jc w:val="both"/>
      </w:pPr>
      <w:r>
        <w:t>Obowiązkowo raportowane są również PR-AUC każdego roku, ich średnia arytmetyczna, odchylenie standardowe z ddof=1, wartość minimalna, porównanie z roczną częstością klasy oraz – dla modeli stochastycznych – rozrzut między ziarnami losowymi. Metryki pomocnicze, w tym ROC-AUC oraz późniejsze metryki progowe, służą opisowi modelu, lecz nie mogą zmienić głównego rankingu. Rozróżnienie łącznej PR-AUC od wyników rocznych pozwala oddzielić mikroocenę wszystkich obserwacji od stabilności w zmiennych warunkach makroekonomicznych i sprawozdawczych.</w:t>
      </w:r>
    </w:p>
    <w:p w14:paraId="723B5565" w14:textId="77777777" w:rsidR="003F0521" w:rsidRDefault="00000000">
      <w:pPr>
        <w:spacing w:after="0" w:line="360" w:lineRule="auto"/>
        <w:ind w:firstLine="709"/>
        <w:jc w:val="both"/>
      </w:pPr>
      <w:r>
        <w:rPr>
          <w:b/>
        </w:rPr>
        <w:lastRenderedPageBreak/>
        <w:t xml:space="preserve">Porównywalność między foldami. </w:t>
      </w:r>
      <w:r>
        <w:t>Łączna AP ocenia sekwencję modeli dopasowywanych w kolejnych oknach czasowych i obejmuje porównania surowych wyników pochodzących z różnych ponownych dopasowań. Jej interpretacja zakłada zatem wystarczającą porównywalność interfejsu oraz skali wyniku między foldami. Średnia rocznych AP stanowi odrębny opis makro, który traktuje każdy rok jednakowo i nie wymaga porównywania wyników pomiędzy latami.</w:t>
      </w:r>
    </w:p>
    <w:p w14:paraId="6947E9E4" w14:textId="77777777" w:rsidR="003F0521" w:rsidRDefault="00000000">
      <w:pPr>
        <w:spacing w:after="0" w:line="360" w:lineRule="auto"/>
        <w:ind w:firstLine="709"/>
        <w:jc w:val="both"/>
      </w:pPr>
      <w:r>
        <w:rPr>
          <w:b/>
        </w:rPr>
        <w:t xml:space="preserve">Agregacja ziaren losowych. </w:t>
      </w:r>
      <w:r>
        <w:t>Dummy prior, fixed L2 logistic oraz RBF SVM z probability=False są traktowane jako wyjątki deterministyczne i zachowują wynik dla ziarna 20260818. Dla pozostałych rodzin konfiguracje wybrane do potwierdzenia są dodatkowo uruchamiane z ziarnami 20260819 i 20260820. Surowe wyniki z trzech ziaren muszą zostać wyrównane na identycznym zestawie kluczy i są uśredniane w stałej kolejności z użyciem math.fsum. Dopiero na tak otrzymanym wektorze oblicza się jedną końcową łączną OOF PR-AUC. Uśrednianie prawdopodobieństw jest zabronione.</w:t>
      </w:r>
    </w:p>
    <w:p w14:paraId="06E4C6BE" w14:textId="77777777" w:rsidR="003F0521" w:rsidRDefault="00000000">
      <w:pPr>
        <w:pStyle w:val="Podpistabeli"/>
        <w:keepLines/>
      </w:pPr>
      <w:r>
        <w:rPr>
          <w:color w:val="000000"/>
          <w:szCs w:val="20"/>
        </w:rPr>
        <w:t>Tabela 4.22. Hierarchia agregacji i kwalifikacji wyniku</w:t>
      </w:r>
    </w:p>
    <w:tbl>
      <w:tblPr>
        <w:tblStyle w:val="TableGrid"/>
        <w:tblW w:w="8504" w:type="dxa"/>
        <w:jc w:val="center"/>
        <w:tblLayout w:type="fixed"/>
        <w:tblLook w:val="04A0" w:firstRow="1" w:lastRow="0" w:firstColumn="1" w:lastColumn="0" w:noHBand="0" w:noVBand="1"/>
      </w:tblPr>
      <w:tblGrid>
        <w:gridCol w:w="1530"/>
        <w:gridCol w:w="1871"/>
        <w:gridCol w:w="3118"/>
        <w:gridCol w:w="1985"/>
      </w:tblGrid>
      <w:tr w:rsidR="003F0521" w14:paraId="23DE0417" w14:textId="77777777">
        <w:trPr>
          <w:cantSplit/>
          <w:tblHeader/>
          <w:jc w:val="center"/>
        </w:trPr>
        <w:tc>
          <w:tcPr>
            <w:tcW w:w="1472" w:type="dxa"/>
            <w:shd w:val="clear" w:color="auto" w:fill="D9E1F2"/>
            <w:vAlign w:val="center"/>
          </w:tcPr>
          <w:p w14:paraId="11A9249E" w14:textId="77777777" w:rsidR="003F0521" w:rsidRDefault="00000000">
            <w:pPr>
              <w:jc w:val="center"/>
            </w:pPr>
            <w:r>
              <w:rPr>
                <w:b/>
                <w:sz w:val="16"/>
              </w:rPr>
              <w:t>Poziom</w:t>
            </w:r>
          </w:p>
        </w:tc>
        <w:tc>
          <w:tcPr>
            <w:tcW w:w="1800" w:type="dxa"/>
            <w:shd w:val="clear" w:color="auto" w:fill="D9E1F2"/>
            <w:vAlign w:val="center"/>
          </w:tcPr>
          <w:p w14:paraId="20EE80B7" w14:textId="77777777" w:rsidR="003F0521" w:rsidRDefault="00000000">
            <w:pPr>
              <w:jc w:val="center"/>
            </w:pPr>
            <w:r>
              <w:rPr>
                <w:b/>
                <w:sz w:val="16"/>
              </w:rPr>
              <w:t>Jednostka</w:t>
            </w:r>
          </w:p>
        </w:tc>
        <w:tc>
          <w:tcPr>
            <w:tcW w:w="2999" w:type="dxa"/>
            <w:shd w:val="clear" w:color="auto" w:fill="D9E1F2"/>
            <w:vAlign w:val="center"/>
          </w:tcPr>
          <w:p w14:paraId="78CCB29C" w14:textId="77777777" w:rsidR="003F0521" w:rsidRDefault="00000000">
            <w:pPr>
              <w:jc w:val="center"/>
            </w:pPr>
            <w:r>
              <w:rPr>
                <w:b/>
                <w:sz w:val="16"/>
              </w:rPr>
              <w:t>Operacja</w:t>
            </w:r>
          </w:p>
        </w:tc>
        <w:tc>
          <w:tcPr>
            <w:tcW w:w="1909" w:type="dxa"/>
            <w:shd w:val="clear" w:color="auto" w:fill="D9E1F2"/>
            <w:vAlign w:val="center"/>
          </w:tcPr>
          <w:p w14:paraId="5FED0B79" w14:textId="77777777" w:rsidR="003F0521" w:rsidRDefault="00000000">
            <w:pPr>
              <w:jc w:val="center"/>
            </w:pPr>
            <w:r>
              <w:rPr>
                <w:b/>
                <w:sz w:val="16"/>
              </w:rPr>
              <w:t>Warunek przejścia dalej</w:t>
            </w:r>
          </w:p>
        </w:tc>
      </w:tr>
      <w:tr w:rsidR="003F0521" w14:paraId="6A3B5C43" w14:textId="77777777">
        <w:trPr>
          <w:cantSplit/>
          <w:jc w:val="center"/>
        </w:trPr>
        <w:tc>
          <w:tcPr>
            <w:tcW w:w="1472" w:type="dxa"/>
            <w:vAlign w:val="center"/>
          </w:tcPr>
          <w:p w14:paraId="174FA5BF" w14:textId="77777777" w:rsidR="003F0521" w:rsidRDefault="00000000">
            <w:r>
              <w:rPr>
                <w:sz w:val="16"/>
              </w:rPr>
              <w:t>Dopasowanie w foldzie</w:t>
            </w:r>
          </w:p>
        </w:tc>
        <w:tc>
          <w:tcPr>
            <w:tcW w:w="1800" w:type="dxa"/>
            <w:vAlign w:val="center"/>
          </w:tcPr>
          <w:p w14:paraId="65965D7C" w14:textId="77777777" w:rsidR="003F0521" w:rsidRDefault="00000000">
            <w:r>
              <w:rPr>
                <w:sz w:val="16"/>
              </w:rPr>
              <w:t>Konfiguracja × ziarno × fold</w:t>
            </w:r>
          </w:p>
        </w:tc>
        <w:tc>
          <w:tcPr>
            <w:tcW w:w="2999" w:type="dxa"/>
            <w:vAlign w:val="center"/>
          </w:tcPr>
          <w:p w14:paraId="548D5ABA" w14:textId="77777777" w:rsidR="003F0521" w:rsidRDefault="00000000">
            <w:r>
              <w:rPr>
                <w:sz w:val="16"/>
              </w:rPr>
              <w:t>Dopasowanie do części treningowej i zapis surowych wyników walidacyjnych.</w:t>
            </w:r>
          </w:p>
        </w:tc>
        <w:tc>
          <w:tcPr>
            <w:tcW w:w="1909" w:type="dxa"/>
            <w:vAlign w:val="center"/>
          </w:tcPr>
          <w:p w14:paraId="4DDE7500" w14:textId="77777777" w:rsidR="003F0521" w:rsidRDefault="00000000">
            <w:r>
              <w:rPr>
                <w:sz w:val="16"/>
              </w:rPr>
              <w:t>Status COMPLETE oraz skończone wyniki dla wszystkich wierszy.</w:t>
            </w:r>
          </w:p>
        </w:tc>
      </w:tr>
      <w:tr w:rsidR="003F0521" w14:paraId="053061A5" w14:textId="77777777">
        <w:trPr>
          <w:cantSplit/>
          <w:jc w:val="center"/>
        </w:trPr>
        <w:tc>
          <w:tcPr>
            <w:tcW w:w="1472" w:type="dxa"/>
            <w:vAlign w:val="center"/>
          </w:tcPr>
          <w:p w14:paraId="024F5953" w14:textId="77777777" w:rsidR="003F0521" w:rsidRDefault="00000000">
            <w:r>
              <w:rPr>
                <w:sz w:val="16"/>
              </w:rPr>
              <w:t>Kandydat–ziarno</w:t>
            </w:r>
          </w:p>
        </w:tc>
        <w:tc>
          <w:tcPr>
            <w:tcW w:w="1800" w:type="dxa"/>
            <w:vAlign w:val="center"/>
          </w:tcPr>
          <w:p w14:paraId="3922769B" w14:textId="77777777" w:rsidR="003F0521" w:rsidRDefault="00000000">
            <w:r>
              <w:rPr>
                <w:sz w:val="16"/>
              </w:rPr>
              <w:t>Konfiguracja × ziarno</w:t>
            </w:r>
          </w:p>
        </w:tc>
        <w:tc>
          <w:tcPr>
            <w:tcW w:w="2999" w:type="dxa"/>
            <w:vAlign w:val="center"/>
          </w:tcPr>
          <w:p w14:paraId="7A2CEDA7" w14:textId="77777777" w:rsidR="003F0521" w:rsidRDefault="00000000">
            <w:r>
              <w:rPr>
                <w:sz w:val="16"/>
              </w:rPr>
              <w:t>Połączenie sześciu foldów w kanonicznym porządku.</w:t>
            </w:r>
          </w:p>
        </w:tc>
        <w:tc>
          <w:tcPr>
            <w:tcW w:w="1909" w:type="dxa"/>
            <w:vAlign w:val="center"/>
          </w:tcPr>
          <w:p w14:paraId="28A60C3E" w14:textId="77777777" w:rsidR="003F0521" w:rsidRDefault="00000000">
            <w:r>
              <w:rPr>
                <w:sz w:val="16"/>
              </w:rPr>
              <w:t>Komplet wszystkich sześciu foldów; brak metryk częściowych.</w:t>
            </w:r>
          </w:p>
        </w:tc>
      </w:tr>
      <w:tr w:rsidR="003F0521" w14:paraId="31F5EF76" w14:textId="77777777">
        <w:trPr>
          <w:cantSplit/>
          <w:jc w:val="center"/>
        </w:trPr>
        <w:tc>
          <w:tcPr>
            <w:tcW w:w="1472" w:type="dxa"/>
            <w:vAlign w:val="center"/>
          </w:tcPr>
          <w:p w14:paraId="2C1EB67B" w14:textId="77777777" w:rsidR="003F0521" w:rsidRDefault="00000000">
            <w:r>
              <w:rPr>
                <w:sz w:val="16"/>
              </w:rPr>
              <w:t>Potwierdzony kandydat</w:t>
            </w:r>
          </w:p>
        </w:tc>
        <w:tc>
          <w:tcPr>
            <w:tcW w:w="1800" w:type="dxa"/>
            <w:vAlign w:val="center"/>
          </w:tcPr>
          <w:p w14:paraId="314B67B9" w14:textId="77777777" w:rsidR="003F0521" w:rsidRDefault="00000000">
            <w:r>
              <w:rPr>
                <w:sz w:val="16"/>
              </w:rPr>
              <w:t>Konfiguracja stochastyczna</w:t>
            </w:r>
          </w:p>
        </w:tc>
        <w:tc>
          <w:tcPr>
            <w:tcW w:w="2999" w:type="dxa"/>
            <w:vAlign w:val="center"/>
          </w:tcPr>
          <w:p w14:paraId="34D6F249" w14:textId="77777777" w:rsidR="003F0521" w:rsidRDefault="00000000">
            <w:r>
              <w:rPr>
                <w:sz w:val="16"/>
              </w:rPr>
              <w:t>Wyrównanie i średnia surowych wyników z trzech ziaren; PR-AUC obliczana raz.</w:t>
            </w:r>
          </w:p>
        </w:tc>
        <w:tc>
          <w:tcPr>
            <w:tcW w:w="1909" w:type="dxa"/>
            <w:vAlign w:val="center"/>
          </w:tcPr>
          <w:p w14:paraId="35199856" w14:textId="77777777" w:rsidR="003F0521" w:rsidRDefault="00000000">
            <w:r>
              <w:rPr>
                <w:sz w:val="16"/>
              </w:rPr>
              <w:t>COMPLETE dla wszystkich trzech ziaren i wcześniejszy wybór do potwierdzenia.</w:t>
            </w:r>
          </w:p>
        </w:tc>
      </w:tr>
      <w:tr w:rsidR="003F0521" w14:paraId="715BAB76" w14:textId="77777777">
        <w:trPr>
          <w:cantSplit/>
          <w:jc w:val="center"/>
        </w:trPr>
        <w:tc>
          <w:tcPr>
            <w:tcW w:w="1472" w:type="dxa"/>
            <w:vAlign w:val="center"/>
          </w:tcPr>
          <w:p w14:paraId="42F06200" w14:textId="77777777" w:rsidR="003F0521" w:rsidRDefault="00000000">
            <w:r>
              <w:rPr>
                <w:sz w:val="16"/>
              </w:rPr>
              <w:t>Reprezentant rodziny</w:t>
            </w:r>
          </w:p>
        </w:tc>
        <w:tc>
          <w:tcPr>
            <w:tcW w:w="1800" w:type="dxa"/>
            <w:vAlign w:val="center"/>
          </w:tcPr>
          <w:p w14:paraId="1AEC7591" w14:textId="77777777" w:rsidR="003F0521" w:rsidRDefault="00000000">
            <w:r>
              <w:rPr>
                <w:sz w:val="16"/>
              </w:rPr>
              <w:t>Jedna rodzina modelowa</w:t>
            </w:r>
          </w:p>
        </w:tc>
        <w:tc>
          <w:tcPr>
            <w:tcW w:w="2999" w:type="dxa"/>
            <w:vAlign w:val="center"/>
          </w:tcPr>
          <w:p w14:paraId="7C66EDCD" w14:textId="77777777" w:rsidR="003F0521" w:rsidRDefault="00000000">
            <w:r>
              <w:rPr>
                <w:sz w:val="16"/>
              </w:rPr>
              <w:t>Najwyżej sklasyfikowany finalnie uprawniony kandydat ze wszystkich bloków.</w:t>
            </w:r>
          </w:p>
        </w:tc>
        <w:tc>
          <w:tcPr>
            <w:tcW w:w="1909" w:type="dxa"/>
            <w:vAlign w:val="center"/>
          </w:tcPr>
          <w:p w14:paraId="13BDBF2C" w14:textId="77777777" w:rsidR="003F0521" w:rsidRDefault="00000000">
            <w:r>
              <w:rPr>
                <w:sz w:val="16"/>
              </w:rPr>
              <w:t>Brak technicznego unieważnienia i pełna tożsamość artefaktów.</w:t>
            </w:r>
          </w:p>
        </w:tc>
      </w:tr>
      <w:tr w:rsidR="003F0521" w14:paraId="5D94AC10" w14:textId="77777777">
        <w:trPr>
          <w:cantSplit/>
          <w:jc w:val="center"/>
        </w:trPr>
        <w:tc>
          <w:tcPr>
            <w:tcW w:w="1472" w:type="dxa"/>
            <w:vAlign w:val="center"/>
          </w:tcPr>
          <w:p w14:paraId="64CDBBB6" w14:textId="77777777" w:rsidR="003F0521" w:rsidRDefault="00000000">
            <w:r>
              <w:rPr>
                <w:sz w:val="16"/>
              </w:rPr>
              <w:t>Globalny zwycięzca</w:t>
            </w:r>
          </w:p>
        </w:tc>
        <w:tc>
          <w:tcPr>
            <w:tcW w:w="1800" w:type="dxa"/>
            <w:vAlign w:val="center"/>
          </w:tcPr>
          <w:p w14:paraId="43A719E5" w14:textId="77777777" w:rsidR="003F0521" w:rsidRDefault="00000000">
            <w:r>
              <w:rPr>
                <w:sz w:val="16"/>
              </w:rPr>
              <w:t>Zestaw reprezentantów rodzin</w:t>
            </w:r>
          </w:p>
        </w:tc>
        <w:tc>
          <w:tcPr>
            <w:tcW w:w="2999" w:type="dxa"/>
            <w:vAlign w:val="center"/>
          </w:tcPr>
          <w:p w14:paraId="7C994BCA" w14:textId="77777777" w:rsidR="003F0521" w:rsidRDefault="00000000">
            <w:r>
              <w:rPr>
                <w:sz w:val="16"/>
              </w:rPr>
              <w:t>Deterministyczny ranking reprezentantów.</w:t>
            </w:r>
          </w:p>
        </w:tc>
        <w:tc>
          <w:tcPr>
            <w:tcW w:w="1909" w:type="dxa"/>
            <w:vAlign w:val="center"/>
          </w:tcPr>
          <w:p w14:paraId="1FFD9047" w14:textId="77777777" w:rsidR="003F0521" w:rsidRDefault="00000000">
            <w:r>
              <w:rPr>
                <w:sz w:val="16"/>
              </w:rPr>
              <w:t>Najwyższa pozycja według zamrożonego klucza.</w:t>
            </w:r>
          </w:p>
        </w:tc>
      </w:tr>
    </w:tbl>
    <w:p w14:paraId="2B99CB77" w14:textId="77777777" w:rsidR="003F0521" w:rsidRDefault="00000000">
      <w:pPr>
        <w:pStyle w:val="rdotabeli"/>
      </w:pPr>
      <w:r>
        <w:rPr>
          <w:color w:val="000000"/>
          <w:szCs w:val="18"/>
        </w:rPr>
        <w:t>Źródło: opracowanie własne na podstawie model execution contract v1.2.0.</w:t>
      </w:r>
    </w:p>
    <w:p w14:paraId="461F4C0D" w14:textId="77777777" w:rsidR="003F0521" w:rsidRDefault="00000000">
      <w:pPr>
        <w:spacing w:after="0" w:line="360" w:lineRule="auto"/>
        <w:ind w:firstLine="709"/>
        <w:jc w:val="both"/>
      </w:pPr>
      <w:r>
        <w:rPr>
          <w:b/>
        </w:rPr>
        <w:t xml:space="preserve">Techniczna ważność kandydata. </w:t>
      </w:r>
      <w:r>
        <w:t>Metryka istnieje wyłącznie wtedy, gdy wszystkie sześć foldów zakończyło się poprawnie. Wartości NaN lub nieskończone w wejściu, parametrach albo wynikach, ostrzeżenie o zbieżności, numeryczne RuntimeWarning, przekroczenie limitu czasu, niezgodny punkt kontrolny oraz deterministyczny wyjątek biblioteki prowadzą do terminalnego statusu invalid. Ponowienie wykonania jest dopuszczone wyłącznie dla z góry wymienionych awarii infrastruktury i nie może zmienić ziarna losowego, metody, przynależności obserwacji, przetwarzania wstępnego, urządzenia ani limitu czasu. Nie wolno zastąpić nieudanego potwierdzonego kandydata trzecią konfiguracją.</w:t>
      </w:r>
    </w:p>
    <w:p w14:paraId="39B574ED" w14:textId="77777777" w:rsidR="003F0521" w:rsidRDefault="00000000">
      <w:pPr>
        <w:spacing w:after="0" w:line="360" w:lineRule="auto"/>
        <w:ind w:firstLine="709"/>
        <w:jc w:val="both"/>
      </w:pPr>
      <w:r>
        <w:rPr>
          <w:b/>
        </w:rPr>
        <w:t xml:space="preserve">Deterministyczny ranking. </w:t>
      </w:r>
      <w:r>
        <w:t xml:space="preserve">Kandydaci są porównywani na surowej wartości float64 łącznej OOF PR-AUC. Remis podstawowej metryki występuje po zaokrągleniu </w:t>
      </w:r>
      <w:r>
        <w:lastRenderedPageBreak/>
        <w:t>do sześciu miejsc metodą ROUND_HALF_EVEN. Dystanse uruchamiające etap doprecyzowania pozostają natomiast obliczane z wartości niezaokrąglonych. Jeżeli po kwantyzacji metryka jest równa, stosuje się pełny, z góry ustalony klucz rozstrzygający. Dzięki temu wynik nie wymaga ręcznej decyzji badacza.</w:t>
      </w:r>
      <w:r>
        <w:footnoteReference w:id="39"/>
      </w:r>
    </w:p>
    <w:p w14:paraId="015378A6" w14:textId="77777777" w:rsidR="003F0521" w:rsidRDefault="00000000">
      <w:pPr>
        <w:pStyle w:val="Podpistabeli"/>
        <w:keepLines/>
      </w:pPr>
      <w:r>
        <w:rPr>
          <w:color w:val="000000"/>
          <w:szCs w:val="20"/>
        </w:rPr>
        <w:t>Tabela 4.23. Kolejność rozstrzygania remisów w rankingu</w:t>
      </w:r>
    </w:p>
    <w:tbl>
      <w:tblPr>
        <w:tblStyle w:val="TableGrid"/>
        <w:tblW w:w="8504" w:type="dxa"/>
        <w:jc w:val="center"/>
        <w:tblLayout w:type="fixed"/>
        <w:tblLook w:val="04A0" w:firstRow="1" w:lastRow="0" w:firstColumn="1" w:lastColumn="0" w:noHBand="0" w:noVBand="1"/>
      </w:tblPr>
      <w:tblGrid>
        <w:gridCol w:w="907"/>
        <w:gridCol w:w="2608"/>
        <w:gridCol w:w="4989"/>
      </w:tblGrid>
      <w:tr w:rsidR="003F0521" w14:paraId="50986E18" w14:textId="77777777">
        <w:trPr>
          <w:cantSplit/>
          <w:tblHeader/>
          <w:jc w:val="center"/>
        </w:trPr>
        <w:tc>
          <w:tcPr>
            <w:tcW w:w="873" w:type="dxa"/>
            <w:shd w:val="clear" w:color="auto" w:fill="D9E1F2"/>
            <w:vAlign w:val="center"/>
          </w:tcPr>
          <w:p w14:paraId="7A4835E4" w14:textId="77777777" w:rsidR="003F0521" w:rsidRDefault="00000000">
            <w:pPr>
              <w:jc w:val="center"/>
            </w:pPr>
            <w:r>
              <w:rPr>
                <w:b/>
                <w:sz w:val="17"/>
              </w:rPr>
              <w:t>Pozycja</w:t>
            </w:r>
          </w:p>
        </w:tc>
        <w:tc>
          <w:tcPr>
            <w:tcW w:w="2509" w:type="dxa"/>
            <w:shd w:val="clear" w:color="auto" w:fill="D9E1F2"/>
            <w:vAlign w:val="center"/>
          </w:tcPr>
          <w:p w14:paraId="3F4877DF" w14:textId="77777777" w:rsidR="003F0521" w:rsidRDefault="00000000">
            <w:pPr>
              <w:jc w:val="center"/>
            </w:pPr>
            <w:r>
              <w:rPr>
                <w:b/>
                <w:sz w:val="17"/>
              </w:rPr>
              <w:t>Kryterium</w:t>
            </w:r>
          </w:p>
        </w:tc>
        <w:tc>
          <w:tcPr>
            <w:tcW w:w="4800" w:type="dxa"/>
            <w:shd w:val="clear" w:color="auto" w:fill="D9E1F2"/>
            <w:vAlign w:val="center"/>
          </w:tcPr>
          <w:p w14:paraId="5A2B779B" w14:textId="77777777" w:rsidR="003F0521" w:rsidRDefault="00000000">
            <w:pPr>
              <w:jc w:val="center"/>
            </w:pPr>
            <w:r>
              <w:rPr>
                <w:b/>
                <w:sz w:val="17"/>
              </w:rPr>
              <w:t>Preferencja</w:t>
            </w:r>
          </w:p>
        </w:tc>
      </w:tr>
      <w:tr w:rsidR="003F0521" w14:paraId="6DC0C11E" w14:textId="77777777">
        <w:trPr>
          <w:cantSplit/>
          <w:jc w:val="center"/>
        </w:trPr>
        <w:tc>
          <w:tcPr>
            <w:tcW w:w="873" w:type="dxa"/>
            <w:vAlign w:val="center"/>
          </w:tcPr>
          <w:p w14:paraId="02C46112" w14:textId="77777777" w:rsidR="003F0521" w:rsidRDefault="00000000">
            <w:pPr>
              <w:jc w:val="center"/>
            </w:pPr>
            <w:r>
              <w:rPr>
                <w:sz w:val="17"/>
              </w:rPr>
              <w:t>1</w:t>
            </w:r>
          </w:p>
        </w:tc>
        <w:tc>
          <w:tcPr>
            <w:tcW w:w="2509" w:type="dxa"/>
            <w:vAlign w:val="center"/>
          </w:tcPr>
          <w:p w14:paraId="42CC948E" w14:textId="77777777" w:rsidR="003F0521" w:rsidRDefault="00000000">
            <w:r>
              <w:rPr>
                <w:sz w:val="17"/>
              </w:rPr>
              <w:t>Status techniczny</w:t>
            </w:r>
          </w:p>
        </w:tc>
        <w:tc>
          <w:tcPr>
            <w:tcW w:w="4800" w:type="dxa"/>
            <w:vAlign w:val="center"/>
          </w:tcPr>
          <w:p w14:paraId="3D6BDB16" w14:textId="77777777" w:rsidR="003F0521" w:rsidRDefault="00000000">
            <w:r>
              <w:rPr>
                <w:sz w:val="17"/>
              </w:rPr>
              <w:t>Wynik COMPLETE przed każdym wynikiem invalid.</w:t>
            </w:r>
          </w:p>
        </w:tc>
      </w:tr>
      <w:tr w:rsidR="003F0521" w14:paraId="7F939C1B" w14:textId="77777777">
        <w:trPr>
          <w:cantSplit/>
          <w:jc w:val="center"/>
        </w:trPr>
        <w:tc>
          <w:tcPr>
            <w:tcW w:w="873" w:type="dxa"/>
            <w:vAlign w:val="center"/>
          </w:tcPr>
          <w:p w14:paraId="16BD8BD8" w14:textId="77777777" w:rsidR="003F0521" w:rsidRDefault="00000000">
            <w:pPr>
              <w:jc w:val="center"/>
            </w:pPr>
            <w:r>
              <w:rPr>
                <w:sz w:val="17"/>
              </w:rPr>
              <w:t>2</w:t>
            </w:r>
          </w:p>
        </w:tc>
        <w:tc>
          <w:tcPr>
            <w:tcW w:w="2509" w:type="dxa"/>
            <w:vAlign w:val="center"/>
          </w:tcPr>
          <w:p w14:paraId="00AA9F2F" w14:textId="77777777" w:rsidR="003F0521" w:rsidRDefault="00000000">
            <w:r>
              <w:rPr>
                <w:sz w:val="17"/>
              </w:rPr>
              <w:t>Łączna OOF PR-AUC</w:t>
            </w:r>
          </w:p>
        </w:tc>
        <w:tc>
          <w:tcPr>
            <w:tcW w:w="4800" w:type="dxa"/>
            <w:vAlign w:val="center"/>
          </w:tcPr>
          <w:p w14:paraId="2CA98D04" w14:textId="77777777" w:rsidR="003F0521" w:rsidRDefault="00000000">
            <w:r>
              <w:rPr>
                <w:sz w:val="17"/>
              </w:rPr>
              <w:t>Wyższa wartość po kwantyzacji do 6 miejsc.</w:t>
            </w:r>
          </w:p>
        </w:tc>
      </w:tr>
      <w:tr w:rsidR="003F0521" w14:paraId="42C5B94C" w14:textId="77777777">
        <w:trPr>
          <w:cantSplit/>
          <w:jc w:val="center"/>
        </w:trPr>
        <w:tc>
          <w:tcPr>
            <w:tcW w:w="873" w:type="dxa"/>
            <w:vAlign w:val="center"/>
          </w:tcPr>
          <w:p w14:paraId="5CD8B25A" w14:textId="77777777" w:rsidR="003F0521" w:rsidRDefault="00000000">
            <w:pPr>
              <w:jc w:val="center"/>
            </w:pPr>
            <w:r>
              <w:rPr>
                <w:sz w:val="17"/>
              </w:rPr>
              <w:t>3</w:t>
            </w:r>
          </w:p>
        </w:tc>
        <w:tc>
          <w:tcPr>
            <w:tcW w:w="2509" w:type="dxa"/>
            <w:vAlign w:val="center"/>
          </w:tcPr>
          <w:p w14:paraId="003F1691" w14:textId="77777777" w:rsidR="003F0521" w:rsidRDefault="00000000">
            <w:r>
              <w:rPr>
                <w:sz w:val="17"/>
              </w:rPr>
              <w:t>Blok cech</w:t>
            </w:r>
          </w:p>
        </w:tc>
        <w:tc>
          <w:tcPr>
            <w:tcW w:w="4800" w:type="dxa"/>
            <w:vAlign w:val="center"/>
          </w:tcPr>
          <w:p w14:paraId="0F51736C" w14:textId="77777777" w:rsidR="003F0521" w:rsidRDefault="00000000">
            <w:r>
              <w:rPr>
                <w:sz w:val="17"/>
              </w:rPr>
              <w:t>L przed L+D, a L+D przed L+D+R.</w:t>
            </w:r>
          </w:p>
        </w:tc>
      </w:tr>
      <w:tr w:rsidR="003F0521" w:rsidRPr="00284ADC" w14:paraId="2365C077" w14:textId="77777777">
        <w:trPr>
          <w:cantSplit/>
          <w:jc w:val="center"/>
        </w:trPr>
        <w:tc>
          <w:tcPr>
            <w:tcW w:w="873" w:type="dxa"/>
            <w:vAlign w:val="center"/>
          </w:tcPr>
          <w:p w14:paraId="36627042" w14:textId="77777777" w:rsidR="003F0521" w:rsidRDefault="00000000">
            <w:pPr>
              <w:jc w:val="center"/>
            </w:pPr>
            <w:r>
              <w:rPr>
                <w:sz w:val="17"/>
              </w:rPr>
              <w:t>4</w:t>
            </w:r>
          </w:p>
        </w:tc>
        <w:tc>
          <w:tcPr>
            <w:tcW w:w="2509" w:type="dxa"/>
            <w:vAlign w:val="center"/>
          </w:tcPr>
          <w:p w14:paraId="7979633F" w14:textId="77777777" w:rsidR="003F0521" w:rsidRDefault="00000000">
            <w:r>
              <w:rPr>
                <w:sz w:val="17"/>
              </w:rPr>
              <w:t>Rodzina</w:t>
            </w:r>
          </w:p>
        </w:tc>
        <w:tc>
          <w:tcPr>
            <w:tcW w:w="4800" w:type="dxa"/>
            <w:vAlign w:val="center"/>
          </w:tcPr>
          <w:p w14:paraId="40E16ED5" w14:textId="77777777" w:rsidR="003F0521" w:rsidRPr="00284ADC" w:rsidRDefault="00000000">
            <w:pPr>
              <w:rPr>
                <w:lang w:val="en-US"/>
              </w:rPr>
            </w:pPr>
            <w:r w:rsidRPr="00284ADC">
              <w:rPr>
                <w:sz w:val="17"/>
                <w:lang w:val="en-US"/>
              </w:rPr>
              <w:t>dummy prior, fixed LR, elastic LR, RBF SVM, HistGB, XGBoost, RF, MLP, QNN.</w:t>
            </w:r>
          </w:p>
        </w:tc>
      </w:tr>
      <w:tr w:rsidR="003F0521" w14:paraId="07B09340" w14:textId="77777777">
        <w:trPr>
          <w:cantSplit/>
          <w:jc w:val="center"/>
        </w:trPr>
        <w:tc>
          <w:tcPr>
            <w:tcW w:w="873" w:type="dxa"/>
            <w:vAlign w:val="center"/>
          </w:tcPr>
          <w:p w14:paraId="11955BF7" w14:textId="77777777" w:rsidR="003F0521" w:rsidRDefault="00000000">
            <w:pPr>
              <w:jc w:val="center"/>
            </w:pPr>
            <w:r>
              <w:rPr>
                <w:sz w:val="17"/>
              </w:rPr>
              <w:t>5</w:t>
            </w:r>
          </w:p>
        </w:tc>
        <w:tc>
          <w:tcPr>
            <w:tcW w:w="2509" w:type="dxa"/>
            <w:vAlign w:val="center"/>
          </w:tcPr>
          <w:p w14:paraId="29F5D831" w14:textId="77777777" w:rsidR="003F0521" w:rsidRDefault="00000000">
            <w:r>
              <w:rPr>
                <w:sz w:val="17"/>
              </w:rPr>
              <w:t>Ważenie klas</w:t>
            </w:r>
          </w:p>
        </w:tc>
        <w:tc>
          <w:tcPr>
            <w:tcW w:w="4800" w:type="dxa"/>
            <w:vAlign w:val="center"/>
          </w:tcPr>
          <w:p w14:paraId="577391E3" w14:textId="77777777" w:rsidR="003F0521" w:rsidRDefault="00000000">
            <w:r>
              <w:rPr>
                <w:sz w:val="17"/>
              </w:rPr>
              <w:t>none przed sqrt.</w:t>
            </w:r>
          </w:p>
        </w:tc>
      </w:tr>
      <w:tr w:rsidR="003F0521" w14:paraId="0EDB987F" w14:textId="77777777">
        <w:trPr>
          <w:cantSplit/>
          <w:jc w:val="center"/>
        </w:trPr>
        <w:tc>
          <w:tcPr>
            <w:tcW w:w="873" w:type="dxa"/>
            <w:vAlign w:val="center"/>
          </w:tcPr>
          <w:p w14:paraId="1C0DB34D" w14:textId="77777777" w:rsidR="003F0521" w:rsidRDefault="00000000">
            <w:pPr>
              <w:jc w:val="center"/>
            </w:pPr>
            <w:r>
              <w:rPr>
                <w:sz w:val="17"/>
              </w:rPr>
              <w:t>6</w:t>
            </w:r>
          </w:p>
        </w:tc>
        <w:tc>
          <w:tcPr>
            <w:tcW w:w="2509" w:type="dxa"/>
            <w:vAlign w:val="center"/>
          </w:tcPr>
          <w:p w14:paraId="54A45B86" w14:textId="77777777" w:rsidR="003F0521" w:rsidRDefault="00000000">
            <w:r>
              <w:rPr>
                <w:sz w:val="17"/>
              </w:rPr>
              <w:t>Złożoność</w:t>
            </w:r>
          </w:p>
        </w:tc>
        <w:tc>
          <w:tcPr>
            <w:tcW w:w="4800" w:type="dxa"/>
            <w:vAlign w:val="center"/>
          </w:tcPr>
          <w:p w14:paraId="4058199E" w14:textId="77777777" w:rsidR="003F0521" w:rsidRDefault="00000000">
            <w:r>
              <w:rPr>
                <w:sz w:val="17"/>
              </w:rPr>
              <w:t>Niższa zamrożona liczba jednostek złożoności.</w:t>
            </w:r>
          </w:p>
        </w:tc>
      </w:tr>
      <w:tr w:rsidR="003F0521" w14:paraId="3031570D" w14:textId="77777777">
        <w:trPr>
          <w:cantSplit/>
          <w:jc w:val="center"/>
        </w:trPr>
        <w:tc>
          <w:tcPr>
            <w:tcW w:w="873" w:type="dxa"/>
            <w:vAlign w:val="center"/>
          </w:tcPr>
          <w:p w14:paraId="1975E84D" w14:textId="77777777" w:rsidR="003F0521" w:rsidRDefault="00000000">
            <w:pPr>
              <w:jc w:val="center"/>
            </w:pPr>
            <w:r>
              <w:rPr>
                <w:sz w:val="17"/>
              </w:rPr>
              <w:t>7</w:t>
            </w:r>
          </w:p>
        </w:tc>
        <w:tc>
          <w:tcPr>
            <w:tcW w:w="2509" w:type="dxa"/>
            <w:vAlign w:val="center"/>
          </w:tcPr>
          <w:p w14:paraId="5B5D933C" w14:textId="77777777" w:rsidR="003F0521" w:rsidRDefault="00000000">
            <w:r>
              <w:rPr>
                <w:sz w:val="17"/>
              </w:rPr>
              <w:t>Etap</w:t>
            </w:r>
          </w:p>
        </w:tc>
        <w:tc>
          <w:tcPr>
            <w:tcW w:w="4800" w:type="dxa"/>
            <w:vAlign w:val="center"/>
          </w:tcPr>
          <w:p w14:paraId="2FE646A8" w14:textId="77777777" w:rsidR="003F0521" w:rsidRDefault="00000000">
            <w:r>
              <w:rPr>
                <w:sz w:val="17"/>
              </w:rPr>
              <w:t>Etap wstępny (coarse) przed doprecyzowaniem (refinement).</w:t>
            </w:r>
          </w:p>
        </w:tc>
      </w:tr>
      <w:tr w:rsidR="003F0521" w14:paraId="040E7CC5" w14:textId="77777777">
        <w:trPr>
          <w:cantSplit/>
          <w:jc w:val="center"/>
        </w:trPr>
        <w:tc>
          <w:tcPr>
            <w:tcW w:w="873" w:type="dxa"/>
            <w:vAlign w:val="center"/>
          </w:tcPr>
          <w:p w14:paraId="6FE55427" w14:textId="77777777" w:rsidR="003F0521" w:rsidRDefault="00000000">
            <w:pPr>
              <w:jc w:val="center"/>
            </w:pPr>
            <w:r>
              <w:rPr>
                <w:sz w:val="17"/>
              </w:rPr>
              <w:t>8</w:t>
            </w:r>
          </w:p>
        </w:tc>
        <w:tc>
          <w:tcPr>
            <w:tcW w:w="2509" w:type="dxa"/>
            <w:vAlign w:val="center"/>
          </w:tcPr>
          <w:p w14:paraId="4BDA527B" w14:textId="77777777" w:rsidR="003F0521" w:rsidRDefault="00000000">
            <w:r>
              <w:rPr>
                <w:sz w:val="17"/>
              </w:rPr>
              <w:t>Identyfikator</w:t>
            </w:r>
          </w:p>
        </w:tc>
        <w:tc>
          <w:tcPr>
            <w:tcW w:w="4800" w:type="dxa"/>
            <w:vAlign w:val="center"/>
          </w:tcPr>
          <w:p w14:paraId="119B0B55" w14:textId="77777777" w:rsidR="003F0521" w:rsidRDefault="00000000">
            <w:r>
              <w:rPr>
                <w:sz w:val="17"/>
              </w:rPr>
              <w:t>Porządek leksykograficzny configuration_id w UTF-8.</w:t>
            </w:r>
          </w:p>
        </w:tc>
      </w:tr>
    </w:tbl>
    <w:p w14:paraId="3AD55095" w14:textId="77777777" w:rsidR="003F0521" w:rsidRDefault="00000000">
      <w:pPr>
        <w:pStyle w:val="rdotabeli"/>
      </w:pPr>
      <w:r w:rsidRPr="00284ADC">
        <w:rPr>
          <w:color w:val="000000"/>
          <w:szCs w:val="18"/>
          <w:lang w:val="en-US"/>
        </w:rPr>
        <w:t xml:space="preserve">Źródło: opracowanie własne na podstawie configs/model_execution_contract_v1_2_0.yaml i scientific correctness patch. </w:t>
      </w:r>
      <w:r>
        <w:rPr>
          <w:color w:val="000000"/>
          <w:szCs w:val="18"/>
        </w:rPr>
        <w:t>Skróty: LR – regresja logistyczna; HistGB – histogramowy gradient boosting; RF – las losowy; MLP – wielowarstwowy perceptron; QNN – kwantowa sieć neuronowa.</w:t>
      </w:r>
    </w:p>
    <w:p w14:paraId="248134C1" w14:textId="77777777" w:rsidR="003F0521" w:rsidRDefault="00000000">
      <w:pPr>
        <w:spacing w:after="0" w:line="360" w:lineRule="auto"/>
        <w:ind w:firstLine="709"/>
        <w:jc w:val="both"/>
      </w:pPr>
      <w:r>
        <w:rPr>
          <w:b/>
        </w:rPr>
        <w:t xml:space="preserve">Niepewność statystyczna. </w:t>
      </w:r>
      <w:r>
        <w:t>Dla łącznej OOF PR-AUC główny przedział ufności powstaje przez klastrowany bootstrap. Jednostką losowania nie jest pojedynczy wiersz, lecz unikalny economic_group_id. W każdej z 2 000 replikacji grupy są losowane ze zwracaniem, a wszystkie należące do nich obserwacje oraz wielokrotność losowania pozostają zachowane. Takie podejście uwzględnia zależność między emitentami lub zakresami sprawozdawczymi powiązanymi historycznymi wspólnymi zgłoszeniami (joint filings). Identyfikator grupy pozostaje zmienną metadanych i nigdy nie jest predyktorem.</w:t>
      </w:r>
      <w:r>
        <w:footnoteReference w:id="40"/>
      </w:r>
    </w:p>
    <w:p w14:paraId="0BD194AD" w14:textId="77777777" w:rsidR="003F0521" w:rsidRDefault="00000000">
      <w:pPr>
        <w:keepLines/>
        <w:spacing w:before="60" w:after="60" w:line="240" w:lineRule="auto"/>
        <w:ind w:left="227" w:right="227"/>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0.95</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0.025</m:t>
                  </m:r>
                </m:sub>
              </m:sSub>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b</m:t>
                          </m:r>
                        </m:e>
                      </m:d>
                    </m:sup>
                  </m:sSup>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0.975</m:t>
                  </m:r>
                </m:sub>
              </m:sSub>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b</m:t>
                          </m:r>
                        </m:e>
                      </m:d>
                    </m:sup>
                  </m:sSup>
                </m:e>
              </m:d>
            </m:e>
          </m:d>
        </m:oMath>
      </m:oMathPara>
    </w:p>
    <w:p w14:paraId="02416C0C" w14:textId="77777777" w:rsidR="003F0521" w:rsidRDefault="00000000">
      <w:pPr>
        <w:spacing w:after="80" w:line="240" w:lineRule="auto"/>
        <w:jc w:val="center"/>
      </w:pPr>
      <w:r>
        <w:rPr>
          <w:sz w:val="22"/>
        </w:rPr>
        <w:t>Jednostka losowania: unikalny economic_group_id; liczba replikacji B = 2 000; ziarno losowe = 20260818.</w:t>
      </w:r>
    </w:p>
    <w:p w14:paraId="22DAA881" w14:textId="77777777" w:rsidR="003F0521" w:rsidRDefault="00000000">
      <w:pPr>
        <w:spacing w:after="0" w:line="360" w:lineRule="auto"/>
        <w:ind w:firstLine="709"/>
        <w:jc w:val="both"/>
      </w:pPr>
      <w:r>
        <w:t xml:space="preserve">Jeżeli wylosowana replikacja zawiera tylko jedną klasę, jest deterministycznie losowana ponownie, a liczba takich odrzuceń podlega raportowaniu. Bootstrap wierszowy nie może pełnić roli głównego przedziału ufności. Przedział ma interpretację warunkową względem zamrożonego reprezentanta i otrzymanego wektora OOF: nie obejmuje niepewności wynikającej z przeszukania konfiguracji, wyboru rodziny ani pełnego procesu ponownego dopasowania modeli. Osobne przedziały dla dwóch modeli nie stanowią bezpośredniego testu różnicy ich jakości. Bezpośrednie twierdzenie o </w:t>
      </w:r>
      <w:r>
        <w:lastRenderedPageBreak/>
        <w:t>przewadze wymagałoby odrębnie zamrożonego, sparowanego bootstrapu klastrowego różnicy AP na tych samych replikacjach.</w:t>
      </w:r>
    </w:p>
    <w:p w14:paraId="397F33C8" w14:textId="77777777" w:rsidR="003F0521" w:rsidRDefault="00000000">
      <w:pPr>
        <w:pStyle w:val="Heading3"/>
        <w:spacing w:line="240" w:lineRule="auto"/>
      </w:pPr>
      <w:r>
        <w:t>4.5.3. Kalibracja i wybór progu</w:t>
      </w:r>
    </w:p>
    <w:p w14:paraId="5FF2651C" w14:textId="77777777" w:rsidR="003F0521" w:rsidRDefault="00000000">
      <w:pPr>
        <w:spacing w:after="0" w:line="360" w:lineRule="auto"/>
        <w:ind w:firstLine="709"/>
        <w:jc w:val="both"/>
      </w:pPr>
      <w:r>
        <w:rPr>
          <w:b/>
        </w:rPr>
        <w:t xml:space="preserve">Kalibracja prawdopodobieństwa. </w:t>
      </w:r>
      <w:r>
        <w:t>Po zakończeniu rankingu jeden finalny reprezentant każdej technicznie ważnej rodziny otrzymuje osobny kalibrator Platta. Jednowymiarowa, nieważona regresja logistyczna jest dopasowywana do końcowych surowych wyników OOF, uśrednionych między ziarnami losowymi i ustawionych w kanonicznym porządku. Kalibracja nie uczestniczy w wyborze rodziny ani bloku. Jeżeli wszystkie surowe wyniki są bitowo identyczne, stosowana jest deterministyczna mapa o zerowym nachyleniu i wyrazie wolnym równym logitowi częstości klasy pozytywnej. Brak dwóch klas, wartości NaN lub nieskończone albo problem zbieżności unieważniają kalibrację bez możliwości wyboru alternatywnej metody.</w:t>
      </w:r>
      <w:r>
        <w:footnoteReference w:id="41"/>
      </w:r>
    </w:p>
    <w:p w14:paraId="711DBAC3" w14:textId="77777777" w:rsidR="003F0521" w:rsidRDefault="00000000">
      <w:pPr>
        <w:keepLines/>
        <w:spacing w:before="60" w:after="60" w:line="240" w:lineRule="auto"/>
        <w:ind w:left="227" w:right="227"/>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b</m:t>
              </m:r>
            </m:e>
          </m:d>
        </m:oMath>
      </m:oMathPara>
    </w:p>
    <w:p w14:paraId="1C92B1A5" w14:textId="77777777" w:rsidR="003F0521" w:rsidRDefault="00000000">
      <w:pPr>
        <w:keepLines/>
        <w:spacing w:before="60" w:after="60" w:line="240" w:lineRule="auto"/>
        <w:ind w:left="227" w:right="227"/>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2TP</m:t>
              </m:r>
              <m:d>
                <m:dPr>
                  <m:ctrlPr>
                    <w:rPr>
                      <w:rFonts w:ascii="Cambria Math" w:hAnsi="Cambria Math"/>
                    </w:rPr>
                  </m:ctrlPr>
                </m:dPr>
                <m:e>
                  <m:r>
                    <w:rPr>
                      <w:rFonts w:ascii="Cambria Math" w:hAnsi="Cambria Math"/>
                    </w:rPr>
                    <m:t>t</m:t>
                  </m:r>
                </m:e>
              </m:d>
            </m:num>
            <m:den>
              <m:r>
                <w:rPr>
                  <w:rFonts w:ascii="Cambria Math" w:hAnsi="Cambria Math"/>
                </w:rPr>
                <m:t>2TP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FP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FN</m:t>
              </m:r>
              <m:d>
                <m:dPr>
                  <m:ctrlPr>
                    <w:rPr>
                      <w:rFonts w:ascii="Cambria Math" w:hAnsi="Cambria Math"/>
                    </w:rPr>
                  </m:ctrlPr>
                </m:dPr>
                <m:e>
                  <m:r>
                    <w:rPr>
                      <w:rFonts w:ascii="Cambria Math" w:hAnsi="Cambria Math"/>
                    </w:rPr>
                    <m:t>t</m:t>
                  </m:r>
                </m:e>
              </m:d>
            </m:den>
          </m:f>
        </m:oMath>
      </m:oMathPara>
    </w:p>
    <w:p w14:paraId="42B5C282" w14:textId="77777777" w:rsidR="003F0521" w:rsidRDefault="00000000">
      <w:pPr>
        <w:keepLines/>
        <w:spacing w:before="60" w:after="60" w:line="240" w:lineRule="auto"/>
        <w:ind w:left="227" w:right="227"/>
        <w:jc w:val="center"/>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t</m:t>
              </m:r>
              <m:r>
                <m:rPr>
                  <m:scr m:val="script"/>
                  <m:sty m:val="p"/>
                </m:rPr>
                <w:rPr>
                  <w:rFonts w:ascii="Cambria Math" w:hAnsi="Cambria Math"/>
                </w:rPr>
                <m:t>∈T</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t</m:t>
              </m:r>
            </m:e>
          </m:d>
        </m:oMath>
      </m:oMathPara>
    </w:p>
    <w:p w14:paraId="51F3DE93" w14:textId="77777777" w:rsidR="003F0521" w:rsidRDefault="00000000">
      <w:pPr>
        <w:spacing w:after="0" w:line="360" w:lineRule="auto"/>
        <w:ind w:firstLine="709"/>
        <w:jc w:val="both"/>
      </w:pPr>
      <w:r>
        <w:rPr>
          <w:b/>
        </w:rPr>
        <w:t xml:space="preserve">Interpretacja warstwy kalibracyjnej. </w:t>
      </w:r>
      <w:r>
        <w:t>Predykcje OOF są niezależne od dopasowania modelu bazowego do ocenianej obserwacji, lecz kalibrator jest dopasowany do całego wektora OOF, a próg jest wybierany na tych samych skalibrowanych wartościach. Dlatego miary kalibracyjne oraz F1 obliczone dla lat 2015–2020 mają charakter rozwojowy względem warstwy kalibracyjno-decyzyjnej. Ich niezależna ocena następuje dopiero po zastosowaniu zamrożonego kalibratora i progu do późniejszego okresu.</w:t>
      </w:r>
    </w:p>
    <w:p w14:paraId="13AE9615" w14:textId="77777777" w:rsidR="003F0521" w:rsidRDefault="00000000">
      <w:pPr>
        <w:spacing w:after="0" w:line="360" w:lineRule="auto"/>
        <w:ind w:firstLine="709"/>
        <w:jc w:val="both"/>
      </w:pPr>
      <w:r>
        <w:rPr>
          <w:b/>
        </w:rPr>
        <w:t xml:space="preserve">Wybór progu. </w:t>
      </w:r>
      <w:r>
        <w:t xml:space="preserve">Próg klasyfikacyjny jest wybierany na skalibrowanych predykcjach OOF jako wartość maksymalizująca F1. Kandydatami są wszystkie unikalne, skończone prawdopodobieństwa oraz wartość bezpośrednio większa od maksimum, reprezentująca brak wskazania klasy pozytywnej. Porównanie F1 wykorzystuje dokładne iloczyny krzyżowe liczb całkowitych, a przy pełnym remisie wybierany jest wyższy próg. F1 przyjęto jako neutralny i w pełni reprodukowalny punkt operacyjny wobec braku wiarygodnie oszacowanej macierzy kosztów błędów. Nie jest to uniwersalny próg wdrożeniowy ani niezależny estymator generalizacji; w </w:t>
      </w:r>
      <w:r>
        <w:lastRenderedPageBreak/>
        <w:t>zastosowaniu operacyjnym powinien zostać dostosowany do kosztu przeoczenia przypadku oraz dostępnych zasobów kontrolnych.</w:t>
      </w:r>
      <w:r>
        <w:footnoteReference w:id="42"/>
      </w:r>
    </w:p>
    <w:p w14:paraId="2BC04D97" w14:textId="77777777" w:rsidR="003F0521" w:rsidRDefault="00000000">
      <w:pPr>
        <w:spacing w:after="0" w:line="360" w:lineRule="auto"/>
        <w:ind w:firstLine="709"/>
        <w:jc w:val="both"/>
      </w:pPr>
      <w:r>
        <w:rPr>
          <w:b/>
        </w:rPr>
        <w:t xml:space="preserve">Zakres raportowania po kalibracji. </w:t>
      </w:r>
      <w:r>
        <w:t>Zamrożony kontrakt określa metodę Platta i regułę maksymalizacji F1, lecz na analizowanym commicie nie definiuje jeszcze pełnego zestawu miar probabilistycznych i progowych. W celu domknięcia warstwy raportowania przed uruchomieniem późniejszych bramek należy zamrozić odrębny, wersjonowany kontrakt raportowania. Powinien on co najmniej określić Brier score, log loss, wykres kalibracji, intercept i slope kalibracji, a dla zamrożonego progu – macierz pomyłek, precision, recall, specificity, F1 oraz udział predykcji pozytywnych. W ocenie późniejszych lat metryki progowe powinny być obliczane osobno dla każdego roku przy tym samym zamrożonym progu, bez jego ponownej optymalizacji. Miary te mają charakter opisowy i nie mogą zmieniać rankingu.</w:t>
      </w:r>
    </w:p>
    <w:p w14:paraId="0B6D68E9" w14:textId="77777777" w:rsidR="003F0521" w:rsidRDefault="00000000">
      <w:pPr>
        <w:pStyle w:val="Podpistabeli"/>
        <w:keepLines/>
      </w:pPr>
      <w:r>
        <w:rPr>
          <w:color w:val="000000"/>
          <w:szCs w:val="20"/>
        </w:rPr>
        <w:t>Tabela 4.24. Zamrożony kontrakt kalibracji i progu</w:t>
      </w:r>
    </w:p>
    <w:tbl>
      <w:tblPr>
        <w:tblStyle w:val="TableGrid"/>
        <w:tblW w:w="8504" w:type="dxa"/>
        <w:jc w:val="center"/>
        <w:tblLayout w:type="fixed"/>
        <w:tblLook w:val="04A0" w:firstRow="1" w:lastRow="0" w:firstColumn="1" w:lastColumn="0" w:noHBand="0" w:noVBand="1"/>
      </w:tblPr>
      <w:tblGrid>
        <w:gridCol w:w="1572"/>
        <w:gridCol w:w="2966"/>
        <w:gridCol w:w="3966"/>
      </w:tblGrid>
      <w:tr w:rsidR="003F0521" w14:paraId="43061BC1" w14:textId="77777777">
        <w:trPr>
          <w:cantSplit/>
          <w:tblHeader/>
          <w:jc w:val="center"/>
        </w:trPr>
        <w:tc>
          <w:tcPr>
            <w:tcW w:w="1200" w:type="dxa"/>
            <w:shd w:val="clear" w:color="auto" w:fill="D9E1F2"/>
            <w:vAlign w:val="center"/>
          </w:tcPr>
          <w:p w14:paraId="7F5E57F5" w14:textId="77777777" w:rsidR="003F0521" w:rsidRDefault="00000000">
            <w:pPr>
              <w:jc w:val="center"/>
            </w:pPr>
            <w:r>
              <w:rPr>
                <w:b/>
                <w:sz w:val="16"/>
              </w:rPr>
              <w:t>Element</w:t>
            </w:r>
          </w:p>
        </w:tc>
        <w:tc>
          <w:tcPr>
            <w:tcW w:w="2264" w:type="dxa"/>
            <w:shd w:val="clear" w:color="auto" w:fill="D9E1F2"/>
            <w:vAlign w:val="center"/>
          </w:tcPr>
          <w:p w14:paraId="61613D60" w14:textId="77777777" w:rsidR="003F0521" w:rsidRDefault="00000000">
            <w:pPr>
              <w:jc w:val="center"/>
            </w:pPr>
            <w:r>
              <w:rPr>
                <w:b/>
                <w:sz w:val="16"/>
              </w:rPr>
              <w:t>Reguła</w:t>
            </w:r>
          </w:p>
        </w:tc>
        <w:tc>
          <w:tcPr>
            <w:tcW w:w="3027" w:type="dxa"/>
            <w:shd w:val="clear" w:color="auto" w:fill="D9E1F2"/>
            <w:vAlign w:val="center"/>
          </w:tcPr>
          <w:p w14:paraId="6A7C70F3" w14:textId="77777777" w:rsidR="003F0521" w:rsidRDefault="00000000">
            <w:pPr>
              <w:jc w:val="center"/>
            </w:pPr>
            <w:r>
              <w:rPr>
                <w:b/>
                <w:sz w:val="16"/>
              </w:rPr>
              <w:t>Konsekwencja</w:t>
            </w:r>
          </w:p>
        </w:tc>
      </w:tr>
      <w:tr w:rsidR="003F0521" w14:paraId="5285B776" w14:textId="77777777">
        <w:trPr>
          <w:cantSplit/>
          <w:jc w:val="center"/>
        </w:trPr>
        <w:tc>
          <w:tcPr>
            <w:tcW w:w="1200" w:type="dxa"/>
            <w:vAlign w:val="center"/>
          </w:tcPr>
          <w:p w14:paraId="5C639028" w14:textId="77777777" w:rsidR="003F0521" w:rsidRDefault="00000000">
            <w:r>
              <w:rPr>
                <w:sz w:val="16"/>
              </w:rPr>
              <w:t>Zakres</w:t>
            </w:r>
          </w:p>
        </w:tc>
        <w:tc>
          <w:tcPr>
            <w:tcW w:w="2264" w:type="dxa"/>
            <w:vAlign w:val="center"/>
          </w:tcPr>
          <w:p w14:paraId="729E2E96" w14:textId="77777777" w:rsidR="003F0521" w:rsidRDefault="00000000">
            <w:r>
              <w:rPr>
                <w:sz w:val="16"/>
              </w:rPr>
              <w:t>Jeden kalibrator i jeden próg dla reprezentanta każdej rodziny.</w:t>
            </w:r>
          </w:p>
        </w:tc>
        <w:tc>
          <w:tcPr>
            <w:tcW w:w="3027" w:type="dxa"/>
            <w:vAlign w:val="center"/>
          </w:tcPr>
          <w:p w14:paraId="396E2B73" w14:textId="77777777" w:rsidR="003F0521" w:rsidRDefault="00000000">
            <w:r>
              <w:rPr>
                <w:sz w:val="16"/>
              </w:rPr>
              <w:t>Rodziny pozostają porównywalne i nie są ponownie wybierane po kalibracji.</w:t>
            </w:r>
          </w:p>
        </w:tc>
      </w:tr>
      <w:tr w:rsidR="003F0521" w14:paraId="79CB2D94" w14:textId="77777777">
        <w:trPr>
          <w:cantSplit/>
          <w:jc w:val="center"/>
        </w:trPr>
        <w:tc>
          <w:tcPr>
            <w:tcW w:w="1200" w:type="dxa"/>
            <w:vAlign w:val="center"/>
          </w:tcPr>
          <w:p w14:paraId="6EDC1E27" w14:textId="77777777" w:rsidR="003F0521" w:rsidRDefault="00000000">
            <w:r>
              <w:rPr>
                <w:sz w:val="16"/>
              </w:rPr>
              <w:t>Wejście</w:t>
            </w:r>
          </w:p>
        </w:tc>
        <w:tc>
          <w:tcPr>
            <w:tcW w:w="2264" w:type="dxa"/>
            <w:vAlign w:val="center"/>
          </w:tcPr>
          <w:p w14:paraId="0D7DBAC7" w14:textId="77777777" w:rsidR="003F0521" w:rsidRDefault="00000000">
            <w:r>
              <w:rPr>
                <w:sz w:val="16"/>
              </w:rPr>
              <w:t>Końcowe surowe OOF po agregacji ziaren.</w:t>
            </w:r>
          </w:p>
        </w:tc>
        <w:tc>
          <w:tcPr>
            <w:tcW w:w="3027" w:type="dxa"/>
            <w:vAlign w:val="center"/>
          </w:tcPr>
          <w:p w14:paraId="2B731A78" w14:textId="77777777" w:rsidR="003F0521" w:rsidRDefault="00000000">
            <w:r>
              <w:rPr>
                <w:sz w:val="16"/>
              </w:rPr>
              <w:t>Brak mieszania wyników z różnych etapów lub niepotwierdzonych kandydatów.</w:t>
            </w:r>
          </w:p>
        </w:tc>
      </w:tr>
      <w:tr w:rsidR="003F0521" w14:paraId="65EB8BE8" w14:textId="77777777">
        <w:trPr>
          <w:cantSplit/>
          <w:jc w:val="center"/>
        </w:trPr>
        <w:tc>
          <w:tcPr>
            <w:tcW w:w="1200" w:type="dxa"/>
            <w:vAlign w:val="center"/>
          </w:tcPr>
          <w:p w14:paraId="02A08B9E" w14:textId="77777777" w:rsidR="003F0521" w:rsidRDefault="00000000">
            <w:r>
              <w:rPr>
                <w:sz w:val="16"/>
              </w:rPr>
              <w:t>Kalibrator</w:t>
            </w:r>
          </w:p>
        </w:tc>
        <w:tc>
          <w:tcPr>
            <w:tcW w:w="2264" w:type="dxa"/>
            <w:vAlign w:val="center"/>
          </w:tcPr>
          <w:p w14:paraId="6418E1D2" w14:textId="77777777" w:rsidR="003F0521" w:rsidRDefault="00000000">
            <w:r>
              <w:rPr>
                <w:sz w:val="16"/>
              </w:rPr>
              <w:t>Nieważona 1D LogisticRegression, metoda Platta.</w:t>
            </w:r>
          </w:p>
        </w:tc>
        <w:tc>
          <w:tcPr>
            <w:tcW w:w="3027" w:type="dxa"/>
            <w:vAlign w:val="center"/>
          </w:tcPr>
          <w:p w14:paraId="299C22B0" w14:textId="77777777" w:rsidR="003F0521" w:rsidRDefault="00000000">
            <w:r>
              <w:rPr>
                <w:sz w:val="16"/>
              </w:rPr>
              <w:t>Współczynnik a jest raportowany; porządek surowych wyników jest zachowany tylko dla a &gt; 0.</w:t>
            </w:r>
          </w:p>
        </w:tc>
      </w:tr>
      <w:tr w:rsidR="003F0521" w14:paraId="6A84AF6A" w14:textId="77777777">
        <w:trPr>
          <w:cantSplit/>
          <w:jc w:val="center"/>
        </w:trPr>
        <w:tc>
          <w:tcPr>
            <w:tcW w:w="1200" w:type="dxa"/>
            <w:vAlign w:val="center"/>
          </w:tcPr>
          <w:p w14:paraId="1863388C" w14:textId="77777777" w:rsidR="003F0521" w:rsidRDefault="00000000">
            <w:r>
              <w:rPr>
                <w:sz w:val="16"/>
              </w:rPr>
              <w:t>Stały wynik</w:t>
            </w:r>
          </w:p>
        </w:tc>
        <w:tc>
          <w:tcPr>
            <w:tcW w:w="2264" w:type="dxa"/>
            <w:vAlign w:val="center"/>
          </w:tcPr>
          <w:p w14:paraId="317D109A" w14:textId="77777777" w:rsidR="003F0521" w:rsidRDefault="00000000">
            <w:r>
              <w:rPr>
                <w:sz w:val="16"/>
              </w:rPr>
              <w:t>Nachylenie 0; intercept równy logitowi częstości klasy.</w:t>
            </w:r>
          </w:p>
        </w:tc>
        <w:tc>
          <w:tcPr>
            <w:tcW w:w="3027" w:type="dxa"/>
            <w:vAlign w:val="center"/>
          </w:tcPr>
          <w:p w14:paraId="25F2B133" w14:textId="77777777" w:rsidR="003F0521" w:rsidRDefault="00000000">
            <w:r>
              <w:rPr>
                <w:sz w:val="16"/>
              </w:rPr>
              <w:t>Deterministyczne rozwiązanie bez pozornego dopasowania.</w:t>
            </w:r>
          </w:p>
        </w:tc>
      </w:tr>
      <w:tr w:rsidR="003F0521" w14:paraId="46F75BCE" w14:textId="77777777">
        <w:trPr>
          <w:cantSplit/>
          <w:jc w:val="center"/>
        </w:trPr>
        <w:tc>
          <w:tcPr>
            <w:tcW w:w="1200" w:type="dxa"/>
            <w:vAlign w:val="center"/>
          </w:tcPr>
          <w:p w14:paraId="7F4A770E" w14:textId="77777777" w:rsidR="003F0521" w:rsidRDefault="00000000">
            <w:r>
              <w:rPr>
                <w:sz w:val="16"/>
              </w:rPr>
              <w:t>Błąd kalibracji</w:t>
            </w:r>
          </w:p>
        </w:tc>
        <w:tc>
          <w:tcPr>
            <w:tcW w:w="2264" w:type="dxa"/>
            <w:vAlign w:val="center"/>
          </w:tcPr>
          <w:p w14:paraId="66C65676" w14:textId="77777777" w:rsidR="003F0521" w:rsidRDefault="00000000">
            <w:r>
              <w:rPr>
                <w:sz w:val="16"/>
              </w:rPr>
              <w:t>Status technicznie invalid; brak metody zastępczej.</w:t>
            </w:r>
          </w:p>
        </w:tc>
        <w:tc>
          <w:tcPr>
            <w:tcW w:w="3027" w:type="dxa"/>
            <w:vAlign w:val="center"/>
          </w:tcPr>
          <w:p w14:paraId="61EFC8CD" w14:textId="77777777" w:rsidR="003F0521" w:rsidRDefault="00000000">
            <w:r>
              <w:rPr>
                <w:sz w:val="16"/>
              </w:rPr>
              <w:t>Brak reselekcji, ponownej kalibracji inną metodą lub wymiany rodziny.</w:t>
            </w:r>
          </w:p>
        </w:tc>
      </w:tr>
      <w:tr w:rsidR="003F0521" w14:paraId="0D7927F4" w14:textId="77777777">
        <w:trPr>
          <w:cantSplit/>
          <w:jc w:val="center"/>
        </w:trPr>
        <w:tc>
          <w:tcPr>
            <w:tcW w:w="1200" w:type="dxa"/>
            <w:vAlign w:val="center"/>
          </w:tcPr>
          <w:p w14:paraId="1A89C6EE" w14:textId="77777777" w:rsidR="003F0521" w:rsidRDefault="00000000">
            <w:r>
              <w:rPr>
                <w:sz w:val="16"/>
              </w:rPr>
              <w:t>Próg</w:t>
            </w:r>
          </w:p>
        </w:tc>
        <w:tc>
          <w:tcPr>
            <w:tcW w:w="2264" w:type="dxa"/>
            <w:vAlign w:val="center"/>
          </w:tcPr>
          <w:p w14:paraId="32A14AD0" w14:textId="77777777" w:rsidR="003F0521" w:rsidRDefault="00000000">
            <w:r>
              <w:rPr>
                <w:sz w:val="16"/>
              </w:rPr>
              <w:t>Maksymalizacja F1; przy remisie wyższa wartość.</w:t>
            </w:r>
          </w:p>
        </w:tc>
        <w:tc>
          <w:tcPr>
            <w:tcW w:w="3027" w:type="dxa"/>
            <w:vAlign w:val="center"/>
          </w:tcPr>
          <w:p w14:paraId="70BFE9CC" w14:textId="77777777" w:rsidR="003F0521" w:rsidRDefault="00000000">
            <w:r>
              <w:rPr>
                <w:sz w:val="16"/>
              </w:rPr>
              <w:t>Jednoznaczna decyzja positive if p ≥ t.</w:t>
            </w:r>
          </w:p>
        </w:tc>
      </w:tr>
      <w:tr w:rsidR="003F0521" w14:paraId="28BF3071" w14:textId="77777777">
        <w:trPr>
          <w:cantSplit/>
          <w:jc w:val="center"/>
        </w:trPr>
        <w:tc>
          <w:tcPr>
            <w:tcW w:w="1200" w:type="dxa"/>
            <w:vAlign w:val="center"/>
          </w:tcPr>
          <w:p w14:paraId="7BFE843E" w14:textId="77777777" w:rsidR="003F0521" w:rsidRDefault="00000000">
            <w:r>
              <w:rPr>
                <w:sz w:val="16"/>
              </w:rPr>
              <w:t>Ocena na OOF</w:t>
            </w:r>
          </w:p>
        </w:tc>
        <w:tc>
          <w:tcPr>
            <w:tcW w:w="2264" w:type="dxa"/>
            <w:vAlign w:val="center"/>
          </w:tcPr>
          <w:p w14:paraId="6E243F19" w14:textId="77777777" w:rsidR="003F0521" w:rsidRDefault="00000000">
            <w:r>
              <w:rPr>
                <w:sz w:val="16"/>
              </w:rPr>
              <w:t>Kalibrator i próg są dopasowane do tego samego OOF.</w:t>
            </w:r>
          </w:p>
        </w:tc>
        <w:tc>
          <w:tcPr>
            <w:tcW w:w="3027" w:type="dxa"/>
            <w:vAlign w:val="center"/>
          </w:tcPr>
          <w:p w14:paraId="7F959698" w14:textId="77777777" w:rsidR="003F0521" w:rsidRDefault="00000000">
            <w:r>
              <w:rPr>
                <w:sz w:val="16"/>
              </w:rPr>
              <w:t>Miary kalibracji i F1 za lata 2015–2020 są rozwojowe względem warstwy decyzyjnej.</w:t>
            </w:r>
          </w:p>
        </w:tc>
      </w:tr>
      <w:tr w:rsidR="003F0521" w14:paraId="204B30C2" w14:textId="77777777">
        <w:trPr>
          <w:cantSplit/>
          <w:jc w:val="center"/>
        </w:trPr>
        <w:tc>
          <w:tcPr>
            <w:tcW w:w="1200" w:type="dxa"/>
            <w:vAlign w:val="center"/>
          </w:tcPr>
          <w:p w14:paraId="49B23631" w14:textId="77777777" w:rsidR="003F0521" w:rsidRDefault="00000000">
            <w:r>
              <w:rPr>
                <w:sz w:val="16"/>
              </w:rPr>
              <w:t>Rola</w:t>
            </w:r>
          </w:p>
        </w:tc>
        <w:tc>
          <w:tcPr>
            <w:tcW w:w="2264" w:type="dxa"/>
            <w:vAlign w:val="center"/>
          </w:tcPr>
          <w:p w14:paraId="54D5D928" w14:textId="77777777" w:rsidR="003F0521" w:rsidRDefault="00000000">
            <w:r>
              <w:rPr>
                <w:sz w:val="16"/>
              </w:rPr>
              <w:t>Ranking jest zamrażany przed kalibracją.</w:t>
            </w:r>
          </w:p>
        </w:tc>
        <w:tc>
          <w:tcPr>
            <w:tcW w:w="3027" w:type="dxa"/>
            <w:vAlign w:val="center"/>
          </w:tcPr>
          <w:p w14:paraId="2AF8A7D4" w14:textId="77777777" w:rsidR="003F0521" w:rsidRDefault="00000000">
            <w:r>
              <w:rPr>
                <w:sz w:val="16"/>
              </w:rPr>
              <w:t>Kalibracja i próg nie mogą zmienić wyboru rodziny, konfiguracji ani bloku.</w:t>
            </w:r>
          </w:p>
        </w:tc>
      </w:tr>
    </w:tbl>
    <w:p w14:paraId="7F9A338D" w14:textId="77777777" w:rsidR="003F0521" w:rsidRDefault="00000000">
      <w:pPr>
        <w:pStyle w:val="rdotabeli"/>
      </w:pPr>
      <w:r>
        <w:rPr>
          <w:color w:val="000000"/>
          <w:szCs w:val="18"/>
        </w:rPr>
        <w:t>Źródło: opracowanie własne na podstawie model execution contract v1.2.0.</w:t>
      </w:r>
    </w:p>
    <w:p w14:paraId="59B8A773" w14:textId="77777777" w:rsidR="003F0521" w:rsidRDefault="00000000">
      <w:pPr>
        <w:pStyle w:val="Heading3"/>
        <w:spacing w:line="240" w:lineRule="auto"/>
      </w:pPr>
      <w:r>
        <w:t>4.5.4. Ocena okresów późniejszych</w:t>
      </w:r>
    </w:p>
    <w:p w14:paraId="1BFCD0F4" w14:textId="77777777" w:rsidR="003F0521" w:rsidRDefault="00000000">
      <w:pPr>
        <w:spacing w:after="0" w:line="360" w:lineRule="auto"/>
        <w:ind w:firstLine="709"/>
        <w:jc w:val="both"/>
      </w:pPr>
      <w:r>
        <w:rPr>
          <w:b/>
        </w:rPr>
        <w:t xml:space="preserve">Ocena okresów późniejszych. </w:t>
      </w:r>
      <w:r>
        <w:t xml:space="preserve">Wewnętrzne OOF z lat 2015–2020 służy do wyboru modeli. Lata 2021–2022 mają obecnie status design-exposed, czyli okresu wykorzystanego na etapie projektowania; nie wolno przedstawiać ich jako niezależnej walidacji one-shot. Po spełnieniu bramki mogą zostać wykorzystane jedynie jako jawnie oznaczony wtórny materiał dowodowy z wykorzystanego okresu rozwojowego, bez możliwości strojenia, doprecyzowania wyszukiwania, zmiany kalibracji lub progu. Lata 2023–2024 zachowują rolę czasowego holdoutu zamrożonej procedury </w:t>
      </w:r>
      <w:r>
        <w:lastRenderedPageBreak/>
        <w:t>modelowej, lecz z obowiązkowym ujawnieniem wcześniejszej ekspozycji zagregowanych statystyk etykiety.</w:t>
      </w:r>
      <w:r>
        <w:footnoteReference w:id="43"/>
      </w:r>
    </w:p>
    <w:p w14:paraId="4CE8E2E0" w14:textId="77777777" w:rsidR="003F0521" w:rsidRDefault="00000000">
      <w:pPr>
        <w:pStyle w:val="Podpistabeli"/>
        <w:keepLines/>
      </w:pPr>
      <w:r>
        <w:rPr>
          <w:color w:val="000000"/>
          <w:szCs w:val="20"/>
        </w:rPr>
        <w:t>Tabela 4.25. PIT-safe ponowne dopasowania, role okresów i bramki dostępu</w:t>
      </w:r>
    </w:p>
    <w:tbl>
      <w:tblPr>
        <w:tblStyle w:val="TableGrid"/>
        <w:tblW w:w="8504" w:type="dxa"/>
        <w:jc w:val="center"/>
        <w:tblLayout w:type="fixed"/>
        <w:tblLook w:val="04A0" w:firstRow="1" w:lastRow="0" w:firstColumn="1" w:lastColumn="0" w:noHBand="0" w:noVBand="1"/>
      </w:tblPr>
      <w:tblGrid>
        <w:gridCol w:w="1144"/>
        <w:gridCol w:w="1572"/>
        <w:gridCol w:w="894"/>
        <w:gridCol w:w="2214"/>
        <w:gridCol w:w="2680"/>
      </w:tblGrid>
      <w:tr w:rsidR="003F0521" w14:paraId="2D76149C" w14:textId="77777777">
        <w:trPr>
          <w:cantSplit/>
          <w:tblHeader/>
          <w:jc w:val="center"/>
        </w:trPr>
        <w:tc>
          <w:tcPr>
            <w:tcW w:w="873" w:type="dxa"/>
            <w:shd w:val="clear" w:color="auto" w:fill="D9E1F2"/>
            <w:vAlign w:val="center"/>
          </w:tcPr>
          <w:p w14:paraId="1D549B18" w14:textId="77777777" w:rsidR="003F0521" w:rsidRDefault="00000000">
            <w:pPr>
              <w:jc w:val="center"/>
            </w:pPr>
            <w:r>
              <w:rPr>
                <w:b/>
                <w:sz w:val="15"/>
              </w:rPr>
              <w:t>Rok / okres</w:t>
            </w:r>
          </w:p>
        </w:tc>
        <w:tc>
          <w:tcPr>
            <w:tcW w:w="1200" w:type="dxa"/>
            <w:shd w:val="clear" w:color="auto" w:fill="D9E1F2"/>
            <w:vAlign w:val="center"/>
          </w:tcPr>
          <w:p w14:paraId="51CEBAE3" w14:textId="77777777" w:rsidR="003F0521" w:rsidRDefault="00000000">
            <w:pPr>
              <w:jc w:val="center"/>
            </w:pPr>
            <w:r>
              <w:rPr>
                <w:b/>
                <w:sz w:val="15"/>
              </w:rPr>
              <w:t>Okres treningowy</w:t>
            </w:r>
          </w:p>
        </w:tc>
        <w:tc>
          <w:tcPr>
            <w:tcW w:w="682" w:type="dxa"/>
            <w:shd w:val="clear" w:color="auto" w:fill="D9E1F2"/>
            <w:vAlign w:val="center"/>
          </w:tcPr>
          <w:p w14:paraId="02E48823" w14:textId="77777777" w:rsidR="003F0521" w:rsidRDefault="00000000">
            <w:pPr>
              <w:jc w:val="center"/>
            </w:pPr>
            <w:r>
              <w:rPr>
                <w:b/>
                <w:sz w:val="15"/>
              </w:rPr>
              <w:t>Embargo</w:t>
            </w:r>
          </w:p>
        </w:tc>
        <w:tc>
          <w:tcPr>
            <w:tcW w:w="1690" w:type="dxa"/>
            <w:shd w:val="clear" w:color="auto" w:fill="D9E1F2"/>
            <w:vAlign w:val="center"/>
          </w:tcPr>
          <w:p w14:paraId="144748E3" w14:textId="77777777" w:rsidR="003F0521" w:rsidRDefault="00000000">
            <w:pPr>
              <w:jc w:val="center"/>
            </w:pPr>
            <w:r>
              <w:rPr>
                <w:b/>
                <w:sz w:val="15"/>
              </w:rPr>
              <w:t>Bramka / źródło decyzji</w:t>
            </w:r>
          </w:p>
        </w:tc>
        <w:tc>
          <w:tcPr>
            <w:tcW w:w="2045" w:type="dxa"/>
            <w:shd w:val="clear" w:color="auto" w:fill="D9E1F2"/>
            <w:vAlign w:val="center"/>
          </w:tcPr>
          <w:p w14:paraId="0DC3D95A" w14:textId="77777777" w:rsidR="003F0521" w:rsidRDefault="00000000">
            <w:pPr>
              <w:jc w:val="center"/>
            </w:pPr>
            <w:r>
              <w:rPr>
                <w:b/>
                <w:sz w:val="15"/>
              </w:rPr>
              <w:t>Interpretacja</w:t>
            </w:r>
          </w:p>
        </w:tc>
      </w:tr>
      <w:tr w:rsidR="003F0521" w14:paraId="4B1BE95C" w14:textId="77777777">
        <w:trPr>
          <w:cantSplit/>
          <w:jc w:val="center"/>
        </w:trPr>
        <w:tc>
          <w:tcPr>
            <w:tcW w:w="873" w:type="dxa"/>
            <w:vAlign w:val="center"/>
          </w:tcPr>
          <w:p w14:paraId="26016004" w14:textId="77777777" w:rsidR="003F0521" w:rsidRDefault="00000000">
            <w:r>
              <w:rPr>
                <w:sz w:val="15"/>
              </w:rPr>
              <w:t>2015–2020</w:t>
            </w:r>
          </w:p>
        </w:tc>
        <w:tc>
          <w:tcPr>
            <w:tcW w:w="1200" w:type="dxa"/>
            <w:vAlign w:val="center"/>
          </w:tcPr>
          <w:p w14:paraId="1DCD4DE6" w14:textId="77777777" w:rsidR="003F0521" w:rsidRDefault="00000000">
            <w:r>
              <w:rPr>
                <w:sz w:val="15"/>
              </w:rPr>
              <w:t>Rozszerzane okno do v−2</w:t>
            </w:r>
          </w:p>
        </w:tc>
        <w:tc>
          <w:tcPr>
            <w:tcW w:w="682" w:type="dxa"/>
            <w:vAlign w:val="center"/>
          </w:tcPr>
          <w:p w14:paraId="68323F3A" w14:textId="77777777" w:rsidR="003F0521" w:rsidRDefault="00000000">
            <w:r>
              <w:rPr>
                <w:sz w:val="15"/>
              </w:rPr>
              <w:t>v−1</w:t>
            </w:r>
          </w:p>
        </w:tc>
        <w:tc>
          <w:tcPr>
            <w:tcW w:w="1690" w:type="dxa"/>
            <w:vAlign w:val="center"/>
          </w:tcPr>
          <w:p w14:paraId="6AB089A1" w14:textId="77777777" w:rsidR="003F0521" w:rsidRDefault="00000000">
            <w:r>
              <w:rPr>
                <w:sz w:val="15"/>
              </w:rPr>
              <w:t>Wewnętrzny kontrakt czasowej CV</w:t>
            </w:r>
          </w:p>
        </w:tc>
        <w:tc>
          <w:tcPr>
            <w:tcW w:w="2045" w:type="dxa"/>
            <w:vAlign w:val="center"/>
          </w:tcPr>
          <w:p w14:paraId="119CE578" w14:textId="77777777" w:rsidR="003F0521" w:rsidRDefault="00000000">
            <w:r>
              <w:rPr>
                <w:sz w:val="15"/>
              </w:rPr>
              <w:t>OOF do selekcji, rankingu i kalibracji.</w:t>
            </w:r>
          </w:p>
        </w:tc>
      </w:tr>
      <w:tr w:rsidR="003F0521" w14:paraId="07019D29" w14:textId="77777777">
        <w:trPr>
          <w:cantSplit/>
          <w:jc w:val="center"/>
        </w:trPr>
        <w:tc>
          <w:tcPr>
            <w:tcW w:w="873" w:type="dxa"/>
            <w:vAlign w:val="center"/>
          </w:tcPr>
          <w:p w14:paraId="08D4542E" w14:textId="77777777" w:rsidR="003F0521" w:rsidRDefault="00000000">
            <w:r>
              <w:rPr>
                <w:sz w:val="15"/>
              </w:rPr>
              <w:t>2021</w:t>
            </w:r>
          </w:p>
        </w:tc>
        <w:tc>
          <w:tcPr>
            <w:tcW w:w="1200" w:type="dxa"/>
            <w:vAlign w:val="center"/>
          </w:tcPr>
          <w:p w14:paraId="54AE0F73" w14:textId="77777777" w:rsidR="003F0521" w:rsidRDefault="00000000">
            <w:r>
              <w:rPr>
                <w:sz w:val="15"/>
              </w:rPr>
              <w:t>2011–2019</w:t>
            </w:r>
          </w:p>
        </w:tc>
        <w:tc>
          <w:tcPr>
            <w:tcW w:w="682" w:type="dxa"/>
            <w:vAlign w:val="center"/>
          </w:tcPr>
          <w:p w14:paraId="34938519" w14:textId="77777777" w:rsidR="003F0521" w:rsidRDefault="00000000">
            <w:r>
              <w:rPr>
                <w:sz w:val="15"/>
              </w:rPr>
              <w:t>2020</w:t>
            </w:r>
          </w:p>
        </w:tc>
        <w:tc>
          <w:tcPr>
            <w:tcW w:w="1690" w:type="dxa"/>
            <w:vAlign w:val="center"/>
          </w:tcPr>
          <w:p w14:paraId="1A65CD27" w14:textId="77777777" w:rsidR="003F0521" w:rsidRDefault="00000000">
            <w:r>
              <w:rPr>
                <w:sz w:val="15"/>
              </w:rPr>
              <w:t>Ponowne otwarcie 2021–2022</w:t>
            </w:r>
          </w:p>
        </w:tc>
        <w:tc>
          <w:tcPr>
            <w:tcW w:w="2045" w:type="dxa"/>
            <w:vAlign w:val="center"/>
          </w:tcPr>
          <w:p w14:paraId="4E7C0611" w14:textId="77777777" w:rsidR="003F0521" w:rsidRDefault="00000000">
            <w:r>
              <w:rPr>
                <w:sz w:val="15"/>
              </w:rPr>
              <w:t>Wtórny materiał dowodowy z okresu rozwojowego; bez strojenia.</w:t>
            </w:r>
          </w:p>
        </w:tc>
      </w:tr>
      <w:tr w:rsidR="003F0521" w14:paraId="61382F59" w14:textId="77777777">
        <w:trPr>
          <w:cantSplit/>
          <w:jc w:val="center"/>
        </w:trPr>
        <w:tc>
          <w:tcPr>
            <w:tcW w:w="873" w:type="dxa"/>
            <w:vAlign w:val="center"/>
          </w:tcPr>
          <w:p w14:paraId="63F6DF58" w14:textId="77777777" w:rsidR="003F0521" w:rsidRDefault="00000000">
            <w:r>
              <w:rPr>
                <w:sz w:val="15"/>
              </w:rPr>
              <w:t>2022</w:t>
            </w:r>
          </w:p>
        </w:tc>
        <w:tc>
          <w:tcPr>
            <w:tcW w:w="1200" w:type="dxa"/>
            <w:vAlign w:val="center"/>
          </w:tcPr>
          <w:p w14:paraId="10E32EAE" w14:textId="77777777" w:rsidR="003F0521" w:rsidRDefault="00000000">
            <w:r>
              <w:rPr>
                <w:sz w:val="15"/>
              </w:rPr>
              <w:t>2011–2020</w:t>
            </w:r>
          </w:p>
        </w:tc>
        <w:tc>
          <w:tcPr>
            <w:tcW w:w="682" w:type="dxa"/>
            <w:vAlign w:val="center"/>
          </w:tcPr>
          <w:p w14:paraId="7682786A" w14:textId="77777777" w:rsidR="003F0521" w:rsidRDefault="00000000">
            <w:r>
              <w:rPr>
                <w:sz w:val="15"/>
              </w:rPr>
              <w:t>2021</w:t>
            </w:r>
          </w:p>
        </w:tc>
        <w:tc>
          <w:tcPr>
            <w:tcW w:w="1690" w:type="dxa"/>
            <w:vAlign w:val="center"/>
          </w:tcPr>
          <w:p w14:paraId="065264FC" w14:textId="77777777" w:rsidR="003F0521" w:rsidRDefault="00000000">
            <w:r>
              <w:rPr>
                <w:sz w:val="15"/>
              </w:rPr>
              <w:t>Ta sama bramka</w:t>
            </w:r>
          </w:p>
        </w:tc>
        <w:tc>
          <w:tcPr>
            <w:tcW w:w="2045" w:type="dxa"/>
            <w:vAlign w:val="center"/>
          </w:tcPr>
          <w:p w14:paraId="21F8CF5F" w14:textId="77777777" w:rsidR="003F0521" w:rsidRDefault="00000000">
            <w:r>
              <w:rPr>
                <w:sz w:val="15"/>
              </w:rPr>
              <w:t>Wtórny materiał dowodowy z okresu rozwojowego; bez strojenia.</w:t>
            </w:r>
          </w:p>
        </w:tc>
      </w:tr>
      <w:tr w:rsidR="003F0521" w14:paraId="648CDC83" w14:textId="77777777">
        <w:trPr>
          <w:cantSplit/>
          <w:jc w:val="center"/>
        </w:trPr>
        <w:tc>
          <w:tcPr>
            <w:tcW w:w="873" w:type="dxa"/>
            <w:vAlign w:val="center"/>
          </w:tcPr>
          <w:p w14:paraId="437D603E" w14:textId="77777777" w:rsidR="003F0521" w:rsidRDefault="00000000">
            <w:r>
              <w:rPr>
                <w:sz w:val="15"/>
              </w:rPr>
              <w:t>2023</w:t>
            </w:r>
          </w:p>
        </w:tc>
        <w:tc>
          <w:tcPr>
            <w:tcW w:w="1200" w:type="dxa"/>
            <w:vAlign w:val="center"/>
          </w:tcPr>
          <w:p w14:paraId="3BE20E7A" w14:textId="77777777" w:rsidR="003F0521" w:rsidRDefault="00000000">
            <w:r>
              <w:rPr>
                <w:sz w:val="15"/>
              </w:rPr>
              <w:t>2011–2021</w:t>
            </w:r>
          </w:p>
        </w:tc>
        <w:tc>
          <w:tcPr>
            <w:tcW w:w="682" w:type="dxa"/>
            <w:vAlign w:val="center"/>
          </w:tcPr>
          <w:p w14:paraId="6A5243FF" w14:textId="77777777" w:rsidR="003F0521" w:rsidRDefault="00000000">
            <w:r>
              <w:rPr>
                <w:sz w:val="15"/>
              </w:rPr>
              <w:t>2022</w:t>
            </w:r>
          </w:p>
        </w:tc>
        <w:tc>
          <w:tcPr>
            <w:tcW w:w="1690" w:type="dxa"/>
            <w:vAlign w:val="center"/>
          </w:tcPr>
          <w:p w14:paraId="71077A21" w14:textId="77777777" w:rsidR="003F0521" w:rsidRDefault="00000000">
            <w:r>
              <w:rPr>
                <w:sz w:val="15"/>
              </w:rPr>
              <w:t>Zastosowanie cech, następnie ujawnienie etykiet</w:t>
            </w:r>
          </w:p>
        </w:tc>
        <w:tc>
          <w:tcPr>
            <w:tcW w:w="2045" w:type="dxa"/>
            <w:vAlign w:val="center"/>
          </w:tcPr>
          <w:p w14:paraId="46E544CA" w14:textId="77777777" w:rsidR="003F0521" w:rsidRDefault="00000000">
            <w:r>
              <w:rPr>
                <w:sz w:val="15"/>
              </w:rPr>
              <w:t>Czasowy holdout zamrożonej procedury; najpierw ślepe predykcje zapisane ze skrótem SHA-256.</w:t>
            </w:r>
          </w:p>
        </w:tc>
      </w:tr>
      <w:tr w:rsidR="003F0521" w14:paraId="2FDC0BF7" w14:textId="77777777">
        <w:trPr>
          <w:cantSplit/>
          <w:jc w:val="center"/>
        </w:trPr>
        <w:tc>
          <w:tcPr>
            <w:tcW w:w="873" w:type="dxa"/>
            <w:vAlign w:val="center"/>
          </w:tcPr>
          <w:p w14:paraId="0AF47359" w14:textId="77777777" w:rsidR="003F0521" w:rsidRDefault="00000000">
            <w:r>
              <w:rPr>
                <w:sz w:val="15"/>
              </w:rPr>
              <w:t>2024</w:t>
            </w:r>
          </w:p>
        </w:tc>
        <w:tc>
          <w:tcPr>
            <w:tcW w:w="1200" w:type="dxa"/>
            <w:vAlign w:val="center"/>
          </w:tcPr>
          <w:p w14:paraId="5EF9C412" w14:textId="77777777" w:rsidR="003F0521" w:rsidRDefault="00000000">
            <w:r>
              <w:rPr>
                <w:sz w:val="15"/>
              </w:rPr>
              <w:t>2011–2022</w:t>
            </w:r>
          </w:p>
        </w:tc>
        <w:tc>
          <w:tcPr>
            <w:tcW w:w="682" w:type="dxa"/>
            <w:vAlign w:val="center"/>
          </w:tcPr>
          <w:p w14:paraId="2EE3BCDC" w14:textId="77777777" w:rsidR="003F0521" w:rsidRDefault="00000000">
            <w:r>
              <w:rPr>
                <w:sz w:val="15"/>
              </w:rPr>
              <w:t>2023</w:t>
            </w:r>
          </w:p>
        </w:tc>
        <w:tc>
          <w:tcPr>
            <w:tcW w:w="1690" w:type="dxa"/>
            <w:vAlign w:val="center"/>
          </w:tcPr>
          <w:p w14:paraId="71D100FC" w14:textId="77777777" w:rsidR="003F0521" w:rsidRDefault="00000000">
            <w:r>
              <w:rPr>
                <w:sz w:val="15"/>
              </w:rPr>
              <w:t>Zastosowanie cech, następnie ujawnienie etykiet</w:t>
            </w:r>
          </w:p>
        </w:tc>
        <w:tc>
          <w:tcPr>
            <w:tcW w:w="2045" w:type="dxa"/>
            <w:vAlign w:val="center"/>
          </w:tcPr>
          <w:p w14:paraId="7A1FC52B" w14:textId="77777777" w:rsidR="003F0521" w:rsidRDefault="00000000">
            <w:r>
              <w:rPr>
                <w:sz w:val="15"/>
              </w:rPr>
              <w:t>Czasowy holdout; etykiety z 2023 r. nie mogą wejść do części treningowej.</w:t>
            </w:r>
          </w:p>
        </w:tc>
      </w:tr>
    </w:tbl>
    <w:p w14:paraId="27C3DAA0" w14:textId="77777777" w:rsidR="003F0521" w:rsidRPr="00284ADC" w:rsidRDefault="00000000">
      <w:pPr>
        <w:spacing w:after="0" w:line="360" w:lineRule="auto"/>
        <w:ind w:firstLine="709"/>
        <w:jc w:val="both"/>
        <w:rPr>
          <w:lang w:val="en-US"/>
        </w:rPr>
      </w:pPr>
      <w:r w:rsidRPr="00284ADC">
        <w:rPr>
          <w:i/>
          <w:sz w:val="19"/>
          <w:lang w:val="en-US"/>
        </w:rPr>
        <w:t>Pełne identyfikatory bramek: DATA_ACCESS_GATE_2021_2022_REOPEN_V1, DATA_ACCESS_GATE_2023_2024_FEATURE_APPLICATION_V1 oraz DATA_ACCESS_GATE_2023_2024_LABEL_REVEAL_V1.</w:t>
      </w:r>
    </w:p>
    <w:p w14:paraId="1FA6E213" w14:textId="77777777" w:rsidR="003F0521" w:rsidRDefault="00000000">
      <w:pPr>
        <w:pStyle w:val="rdotabeli"/>
      </w:pPr>
      <w:r>
        <w:rPr>
          <w:color w:val="000000"/>
          <w:szCs w:val="18"/>
        </w:rPr>
        <w:t>Źródło: opracowanie własne na podstawie data access policy v1.1.0 i prerejestrowanych ponownych dopasowań PIT-safe.</w:t>
      </w:r>
    </w:p>
    <w:p w14:paraId="603BC459" w14:textId="77777777" w:rsidR="003F0521" w:rsidRDefault="00000000">
      <w:pPr>
        <w:spacing w:after="0" w:line="360" w:lineRule="auto"/>
        <w:ind w:firstLine="709"/>
        <w:jc w:val="both"/>
      </w:pPr>
      <w:r>
        <w:t>Każde ponowne dopasowanie dla późniejszego roku odtwarza przetwarzanie wstępne od zera, stosuje dokładną granicę target_available_at i zachowuje zamrożony blok cech, konfigurację, interfejs wyniku, kalibrator oraz próg. Oceniany jest zatem nie jeden niezmienny wektor parametrów, lecz zamrożona procedura uczenia. Modele stochastyczne są ponownie dopasowywane dla trzech ziaren losowych, po czym uśrednia się surowe wyniki i dopiero następnie stosuje zamrożony kalibrator. Dla holdoutu 2023–2024 obowiązuje procedura dwuetapowa: najpierw pipeline generuje predykcje bez otwierania etykiet, kontroluje ich kompletność i zapisuje skrót SHA-256, a dopiero osobna bramka pozwala na jednorazowe ujawnienie etykiet i obliczenie wyników.</w:t>
      </w:r>
    </w:p>
    <w:p w14:paraId="6FE8752D" w14:textId="77777777" w:rsidR="003F0521" w:rsidRDefault="00000000">
      <w:pPr>
        <w:spacing w:after="0" w:line="360" w:lineRule="auto"/>
        <w:ind w:firstLine="709"/>
        <w:jc w:val="both"/>
      </w:pPr>
      <w:r>
        <w:rPr>
          <w:b/>
        </w:rPr>
        <w:t xml:space="preserve">Bramka integralności. </w:t>
      </w:r>
      <w:r>
        <w:t>Po kontrolowanej ocenie lat 2021–2022, lecz przed jakimkolwiek dostępem do lat 2023–2024, przewidziana jest bramka wyłącznie integralnościowa. Jej werdykt zależy od zgodności skrótów SHA-256, kompletności artefaktów, niezmienności składu reprezentantów, kalibratorów, progów i tożsamości QNN oraz utrzymania blokady holdoutu. Sama wartość PR-AUC, F1, przedziału ufności lub innej miary z lat 2021–2022 nie może wpływać na wynik bramki. Zapobiega to przekształceniu pozornie technicznej decyzji w ukryty test akceptacyjny oparty na jakości modelu.</w:t>
      </w:r>
    </w:p>
    <w:p w14:paraId="43E4404D" w14:textId="77777777" w:rsidR="003F0521" w:rsidRDefault="00000000">
      <w:pPr>
        <w:pStyle w:val="Heading3"/>
        <w:spacing w:line="240" w:lineRule="auto"/>
      </w:pPr>
      <w:r>
        <w:lastRenderedPageBreak/>
        <w:t>4.5.5. Analizy odporności i aktualny stan wykonania</w:t>
      </w:r>
    </w:p>
    <w:p w14:paraId="268394AE" w14:textId="77777777" w:rsidR="003F0521" w:rsidRDefault="00000000">
      <w:pPr>
        <w:spacing w:after="0" w:line="360" w:lineRule="auto"/>
        <w:ind w:firstLine="709"/>
        <w:jc w:val="both"/>
      </w:pPr>
      <w:r>
        <w:rPr>
          <w:b/>
        </w:rPr>
        <w:t xml:space="preserve">Analizy odporności. </w:t>
      </w:r>
      <w:r>
        <w:t>Po zamrożeniu globalnego zwycięzcy hiperparametry, blok cech i rodzina pozostają niezmienne, a bez ponownego strojenia wykonuje się pięć wariantów pipeline'u: bez wskaźników braków danych, complete case, bez winsoryzacji, walidację z oczyszczaniem grup ekonomicznych (purged economic-group CV) oraz ograniczenie do wierszy z co najmniej 11 z 17 dostępnych cech. Ocenia się również trzy warianty etykiety: deterioration score co najmniej 2, deterioration score co najmniej 4 oraz alternatywny wynik operacyjny max(D1,D2) co najmniej 3. Niepowodzenie analizy wtórnej jest raportowane bez reselekcji.</w:t>
      </w:r>
    </w:p>
    <w:p w14:paraId="20EB8E5C" w14:textId="77777777" w:rsidR="003F0521" w:rsidRDefault="00000000">
      <w:pPr>
        <w:spacing w:after="0" w:line="360" w:lineRule="auto"/>
        <w:ind w:firstLine="709"/>
        <w:jc w:val="both"/>
      </w:pPr>
      <w:r>
        <w:rPr>
          <w:b/>
        </w:rPr>
        <w:t xml:space="preserve">Kontrole QNN. </w:t>
      </w:r>
      <w:r>
        <w:t>Jeżeli QNN jest technicznie wykonalna, wykonuje się dodatkowo wariant bez bramek splątujących, dwa niewybrane ansatze z etapu Q1 przy zamrożonych ustawieniach końcowych, zamianę reprezentacji PCA z 4 na 6 kubitów lub odwrotnie oraz klasyczne kontrole dopasowane do tej samej reprezentacji PCA: fixed L2 logistic i MLP. Uruchomienie tych analiz zależy od tożsamości lub wykonalności modelu, a nie od wielkości uzyskanego wyniku.</w:t>
      </w:r>
    </w:p>
    <w:p w14:paraId="07C12D47" w14:textId="77777777" w:rsidR="003F0521" w:rsidRDefault="00000000">
      <w:pPr>
        <w:spacing w:after="0" w:line="360" w:lineRule="auto"/>
        <w:ind w:firstLine="709"/>
        <w:jc w:val="both"/>
      </w:pPr>
      <w:r>
        <w:rPr>
          <w:b/>
        </w:rPr>
        <w:t xml:space="preserve">Interpretowalność. </w:t>
      </w:r>
      <w:r>
        <w:t>Wspólna, grupowana ocena ważności permutacyjnej jest obliczana na predykcjach OOF w 20 powtórzeniach z ziarnem 20260818 i z uwzględnieniem economic_group_id. Dla reprezentanta liniowego raportuje się standaryzowane współczynniki, ilorazy szans i stabilność znaku między foldami i ziarnami; dla najlepszego reprezentanta drzewiastego lub boostingowego – interventional TreeSHAP; dla MLP – Integrated Gradients na logitach; dla technicznie wykonalnego QNN – ładunki PCA, wariancję wyjaśnioną i stabilność wrażliwości zakodowanych komponentów. Wyniki te należą do analiz wrażliwości i interpretacji, nie do głównego rankingu.</w:t>
      </w:r>
      <w:r>
        <w:footnoteReference w:id="44"/>
      </w:r>
    </w:p>
    <w:p w14:paraId="18F2A5B5" w14:textId="77777777" w:rsidR="003F0521" w:rsidRDefault="00000000">
      <w:pPr>
        <w:pageBreakBefore/>
        <w:spacing w:after="0" w:line="360" w:lineRule="auto"/>
        <w:ind w:firstLine="709"/>
        <w:jc w:val="both"/>
      </w:pPr>
      <w:r>
        <w:rPr>
          <w:b/>
        </w:rPr>
        <w:lastRenderedPageBreak/>
        <w:t xml:space="preserve">Aktualna granica wykonania. </w:t>
      </w:r>
      <w:r>
        <w:t>Bieżące repozytorium zawiera kompletny protokół, produkcyjny runner oraz zaimplementowany ograniczony tryb testu wykonania na danych rzeczywistych dla dummy prior i fixed L2 logistic. Na analizowanym commicie tryb ten nie został jednak uruchomiony na danych projektowych; udokumentowano dry run bez dopasowania modeli oraz pełny test syntetyczny. Repozytorium nie zawiera jeszcze zamrożonego pełnego rankingu wszystkich rodzin, końcowych przedziałów ufności, kalibratorów ani progów. Ponadto otwarty, lecz opanowany incydent dostępu wymaga niezależnego przeglądu i powtórzenia bramki integralności w kontekście opartym na jawnej liście dozwolonych plików. Do czasu jego formalnego rozstrzygnięcia lata 2021–2024 pozostają zamknięte. Incydent nie zmienia metodologii, ale uniemożliwia przedstawianie późniejszych ocen jako już wykonanych.</w:t>
      </w:r>
      <w:r>
        <w:footnoteReference w:id="45"/>
      </w:r>
    </w:p>
    <w:p w14:paraId="2FCBCAF9" w14:textId="77777777" w:rsidR="003F0521" w:rsidRDefault="00000000">
      <w:pPr>
        <w:spacing w:after="0" w:line="360" w:lineRule="auto"/>
        <w:ind w:firstLine="709"/>
        <w:jc w:val="both"/>
      </w:pPr>
      <w:r>
        <w:t>Podrozdział 4.5 definiuje metodę bez wyników końcowych. Wyniki główne należy przedstawić w 5.2, analizy odporności i QNN w 5.3, a ograniczenia interpretacji w 5.4; wcześniej trzeba zamrozić kontrakt raportowania.</w:t>
      </w:r>
    </w:p>
    <w:sectPr w:rsidR="003F0521" w:rsidSect="00034616">
      <w:footerReference w:type="default" r:id="rId8"/>
      <w:pgSz w:w="11906" w:h="16838"/>
      <w:pgMar w:top="1417" w:right="1417" w:bottom="1417"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B6CBD" w14:textId="77777777" w:rsidR="002413BB" w:rsidRDefault="002413BB">
      <w:pPr>
        <w:spacing w:after="0" w:line="240" w:lineRule="auto"/>
      </w:pPr>
      <w:r>
        <w:separator/>
      </w:r>
    </w:p>
  </w:endnote>
  <w:endnote w:type="continuationSeparator" w:id="0">
    <w:p w14:paraId="3B305632" w14:textId="77777777" w:rsidR="002413BB" w:rsidRDefault="00241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01296" w14:textId="77777777" w:rsidR="003F0521" w:rsidRDefault="00000000">
    <w:pPr>
      <w:pStyle w:val="Footer"/>
      <w:jc w:val="center"/>
    </w:pPr>
    <w:r>
      <w:fldChar w:fldCharType="begin"/>
    </w:r>
    <w:r>
      <w:instrText xml:space="preserve"> PAGE </w:instrText>
    </w:r>
    <w:r w:rsidR="00284ADC">
      <w:fldChar w:fldCharType="separate"/>
    </w:r>
    <w:r w:rsidR="00284A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0034B" w14:textId="77777777" w:rsidR="002413BB" w:rsidRDefault="002413BB">
      <w:pPr>
        <w:spacing w:after="0" w:line="240" w:lineRule="auto"/>
      </w:pPr>
      <w:r>
        <w:separator/>
      </w:r>
    </w:p>
  </w:footnote>
  <w:footnote w:type="continuationSeparator" w:id="0">
    <w:p w14:paraId="0B66013F" w14:textId="77777777" w:rsidR="002413BB" w:rsidRDefault="002413BB">
      <w:pPr>
        <w:spacing w:after="0" w:line="240" w:lineRule="auto"/>
      </w:pPr>
      <w:r>
        <w:continuationSeparator/>
      </w:r>
    </w:p>
  </w:footnote>
  <w:footnote w:id="1">
    <w:p w14:paraId="45446FFC"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Repozytorium badania: O. Stachowski, qnn-financial-statement-analysis, commit 39a0a841e51ddfeb5402aeadf9e6a2864b637ac9, w szczególności: docs/05_1_historical_research_universe_pit_frozen_specification.md oraz configs/research_universe_pit.yaml (dostęp: 20.08.2026).</w:t>
      </w:r>
    </w:p>
  </w:footnote>
  <w:footnote w:id="2">
    <w:p w14:paraId="6D88EF2F"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U.S. Securities and Exchange Commission, Accessing EDGAR Data, https://www.sec.gov/search-filings/edgar-search-assistance/accessing-edgar-data (dostęp: 20.08.2026).</w:t>
      </w:r>
    </w:p>
  </w:footnote>
  <w:footnote w:id="3">
    <w:p w14:paraId="394CD9B5" w14:textId="77777777" w:rsidR="003F0521" w:rsidRPr="00284ADC" w:rsidRDefault="00000000">
      <w:pPr>
        <w:tabs>
          <w:tab w:val="left" w:pos="360"/>
        </w:tabs>
        <w:spacing w:after="0" w:line="220" w:lineRule="auto"/>
        <w:ind w:left="360" w:hanging="360"/>
        <w:rPr>
          <w:lang w:val="nb-NO"/>
        </w:rPr>
      </w:pPr>
      <w:r>
        <w:rPr>
          <w:sz w:val="16"/>
          <w:szCs w:val="16"/>
          <w:vertAlign w:val="superscript"/>
        </w:rPr>
        <w:footnoteRef/>
      </w:r>
      <w:r w:rsidRPr="00284ADC">
        <w:rPr>
          <w:sz w:val="20"/>
          <w:szCs w:val="20"/>
          <w:lang w:val="nb-NO"/>
        </w:rPr>
        <w:t xml:space="preserve"> Investor.gov, Form 10-K, https://www.investor.gov/introduction-investing/investing-basics/glossary/form-10-k (dostęp: 20.08.2026).</w:t>
      </w:r>
    </w:p>
  </w:footnote>
  <w:footnote w:id="4">
    <w:p w14:paraId="5448C35A"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U.S. Securities and Exchange Commission: Financial Statement Data Sets, https://www.sec.gov/data-research/sec-markets-data/financial-statement-data-sets; EDGAR Application Programming Interfaces (APIs), https://www.sec.gov/search-filings/edgar-application-programming-interfaces; Standard Industrial Classification (SIC) Code List, https://www.sec.gov/search-filings/standard-industrial-classification-sic-code-list (dostęp do wszystkich źródeł: 20.08.2026).</w:t>
      </w:r>
    </w:p>
  </w:footnote>
  <w:footnote w:id="5">
    <w:p w14:paraId="067B424B"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S.J. Brown, W.N. Goetzmann, R.G. Ibbotson, S.A. Ross, Survivorship Bias in Performance Studies, The Review of Financial Studies, 1992, vol. 5, no. 4, s. 553–580, https://doi.org/10.1093/rfs/5.4.553.</w:t>
      </w:r>
    </w:p>
  </w:footnote>
  <w:footnote w:id="6">
    <w:p w14:paraId="41AAEE9E"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S. Kaufman, S. Rosset, C. Perlich, O. Stitelman, Leakage in Data Mining: Formulation, Detection, and Avoidance, ACM Transactions on Knowledge Discovery from Data, 2012, vol. 6, no. 4, art. 15, https://doi.org/10.1145/2382577.2382579.</w:t>
      </w:r>
    </w:p>
  </w:footnote>
  <w:footnote w:id="7">
    <w:p w14:paraId="55910627"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J.J. Heckman, Sample Selection Bias as a Specification Error, Econometrica, 1979, vol. 47, no. 1, s. 153–161, https://doi.org/10.2307/1912352.</w:t>
      </w:r>
    </w:p>
  </w:footnote>
  <w:footnote w:id="8">
    <w:p w14:paraId="37A5EF71"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L.J. Tashman, Out-of-Sample Tests of Forecasting Accuracy: An Analysis and Review, International Journal of Forecasting, 2000, vol. 16, no. 4, s. 437–450, https://doi.org/10.1016/S0169-2070(00)00065-0.</w:t>
      </w:r>
    </w:p>
  </w:footnote>
  <w:footnote w:id="9">
    <w:p w14:paraId="73DFA3C1" w14:textId="77777777" w:rsidR="003F0521" w:rsidRPr="00284ADC" w:rsidRDefault="00000000">
      <w:pPr>
        <w:tabs>
          <w:tab w:val="left" w:pos="360"/>
        </w:tabs>
        <w:spacing w:after="0" w:line="220" w:lineRule="auto"/>
        <w:ind w:left="360" w:hanging="360"/>
        <w:rPr>
          <w:lang w:val="en-US"/>
        </w:rPr>
      </w:pPr>
      <w:r>
        <w:rPr>
          <w:sz w:val="16"/>
          <w:szCs w:val="16"/>
          <w:vertAlign w:val="superscript"/>
        </w:rPr>
        <w:footnoteRef/>
      </w:r>
      <w:r w:rsidRPr="00284ADC">
        <w:rPr>
          <w:sz w:val="20"/>
          <w:szCs w:val="20"/>
          <w:lang w:val="en-US"/>
        </w:rPr>
        <w:t xml:space="preserve"> Repozytorium badania: docs/09_1_data_access_policy_v1_1_0.md oraz configs/data_access_policy_v1_1_0.yaml, commit 39a0a841e51ddfeb5402aeadf9e6a2864b637ac9 (dostęp: 20.08.2026).</w:t>
      </w:r>
    </w:p>
  </w:footnote>
  <w:footnote w:id="10">
    <w:p w14:paraId="659A1DEB"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Repozytorium badania: O. Stachowski, qnn-financial-statement-analysis, commit 39a0a841e51ddfeb5402aeadf9e6a2864b637ac9, w szczególności: docs/04_9_target_candidate_v2_pit_b_frozen_specification.md oraz configs/target_candidate_v2_pit.yaml (dostęp: 20.08.2026).</w:t>
      </w:r>
    </w:p>
  </w:footnote>
  <w:footnote w:id="11">
    <w:p w14:paraId="647AB57B"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W.H. Beaver, Financial Ratios as Predictors of Failure, Journal of Accounting Research, 1966, vol. 4, s. 71-111, https://doi.org/10.2307/2490171; E.I. Altman, Financial Ratios, Discriminant Analysis and the Prediction of Corporate Bankruptcy, The Journal of Finance, 1968, vol. 23, no. 4, s. 589-609, https://doi.org/10.1111/j.1540-6261.1968.tb00843.x; J.D. Piotroski, Value Investing: The Use of Historical Financial Statement Information to Separate Winners from Losers, Journal of Accounting Research, 2000, vol. 38, Supplement, s. 1-41, https://doi.org/10.2307/2672906.</w:t>
      </w:r>
    </w:p>
  </w:footnote>
  <w:footnote w:id="12">
    <w:p w14:paraId="52912C37"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Repozytorium badania: docs/04_9_target_candidate_v2_pit_b_frozen_specification.md, sekcje 2 i 5, oraz configs/target_candidate_v2_pit.yaml, commit 39a0a841e51ddfeb5402aeadf9e6a2864b637ac9 (dostęp: 20.08.2026).</w:t>
      </w:r>
    </w:p>
  </w:footnote>
  <w:footnote w:id="13">
    <w:p w14:paraId="265A0F7A" w14:textId="77777777" w:rsidR="003F0521" w:rsidRDefault="00000000">
      <w:pPr>
        <w:tabs>
          <w:tab w:val="left" w:pos="360"/>
        </w:tabs>
        <w:spacing w:after="0" w:line="200" w:lineRule="auto"/>
        <w:ind w:left="360" w:hanging="360"/>
      </w:pPr>
      <w:r>
        <w:rPr>
          <w:sz w:val="16"/>
          <w:szCs w:val="16"/>
          <w:vertAlign w:val="superscript"/>
        </w:rPr>
        <w:footnoteRef/>
      </w:r>
      <w:r>
        <w:rPr>
          <w:sz w:val="18"/>
          <w:szCs w:val="18"/>
        </w:rPr>
        <w:tab/>
        <w:t>Repozytorium badania: configs/target_candidate_v2_pit.yaml oraz docs/04_3_target_candidate_v2_definicja.md. Dokument 04_3 zachowuje autorytatywne definicje sygnałów i techniczne wymagania mianowników, natomiast jego dawne liczebności empiryczne są oznaczone jako historyczne pre-PIT (dostęp: 20.08.2026).</w:t>
      </w:r>
    </w:p>
  </w:footnote>
  <w:footnote w:id="14">
    <w:p w14:paraId="68107876"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Repozytorium badania: src/data/revenue_statement_resolver.py, src/data/revenue_manual_review.py, docs/04_9_target_candidate_v2_pit_b_frozen_specification.md oraz data/reports/target_candidate_v2_pit_b_final_revenue_resolver.md, commit 39a0a841e51ddfeb5402aeadf9e6a2864b637ac9 (dostęp: 20.08.2026).</w:t>
      </w:r>
    </w:p>
  </w:footnote>
  <w:footnote w:id="15">
    <w:p w14:paraId="5AEA2919"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Pr>
          <w:sz w:val="18"/>
          <w:szCs w:val="18"/>
        </w:rPr>
        <w:tab/>
        <w:t xml:space="preserve">Repozytorium badania, commit jak w przyp. </w:t>
      </w:r>
      <w:r w:rsidRPr="00284ADC">
        <w:rPr>
          <w:sz w:val="18"/>
          <w:szCs w:val="18"/>
          <w:lang w:val="en-US"/>
        </w:rPr>
        <w:t>1: docs/04_10_target_resolver_v1_1_0_train_correction.md, docs/07_4_timezone_pit_fix_v1_0_0.md i configs/supervised_ml_pipeline_v1_3_0_timezone_fix.yaml. Korekty train-only; definicja i etykiety bez zmian.</w:t>
      </w:r>
    </w:p>
  </w:footnote>
  <w:footnote w:id="16">
    <w:p w14:paraId="643782F0"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Pr>
          <w:sz w:val="18"/>
          <w:szCs w:val="18"/>
        </w:rPr>
        <w:tab/>
        <w:t xml:space="preserve">Repozytorium badania, commit jak w przyp. </w:t>
      </w:r>
      <w:r w:rsidRPr="00284ADC">
        <w:rPr>
          <w:sz w:val="18"/>
          <w:szCs w:val="18"/>
          <w:lang w:val="en-US"/>
        </w:rPr>
        <w:t>1: configs/target_candidate_v2_pit_b_freeze_manifest.yaml oraz data_access_policy v1.1.0 w docs/09_1_data_access_policy_v1_1_0.md i configs/data_access_policy_v1_1_0.yaml.</w:t>
      </w:r>
    </w:p>
  </w:footnote>
  <w:footnote w:id="17">
    <w:p w14:paraId="40A72FBE"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Repozytorium badania: O. Stachowski, qnn-financial-statement-analysis, commit 39a0a841e51ddfeb5402aeadf9e6a2864b637ac9, w szczególności docs/06_2_raw_point_in_time_x_t_v1_frozen_specification.md, docs/06_3_raw_x_t_v1_1_0_resolver_correction.md, docs/07_3_supervised_ml_pipeline_v1_2_0_resolver_correction.md oraz configs/supervised_ml_pipeline_v1_3_0_timezone_fix.yaml (dostęp: 20.08.2026).</w:t>
      </w:r>
    </w:p>
  </w:footnote>
  <w:footnote w:id="18">
    <w:p w14:paraId="68DF5DD8"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J.D. Piotroski, Value Investing: The Use of Historical Financial Statement Information to Separate Winners from Losers, Journal of Accounting Research, 2000, vol. 38, Supplement, s. 1–41; W.H. Beaver, Financial Ratios as Predictors of Failure, Journal of Accounting Research, 1966, vol. 4, s. 71–111; P.M. Dechow, W. Ge, C.R. Larson, R.G. Sloan, Predicting Material Accounting Misstatements, Contemporary Accounting Research, 2011, vol. 28, no. 1, s. 17–82; M.D. Beneish, The Detection of Earnings Manipulation, Financial Analysts Journal, 1999, vol. 55, no. 5, s. 24–36.</w:t>
      </w:r>
    </w:p>
  </w:footnote>
  <w:footnote w:id="19">
    <w:p w14:paraId="5C200ECB" w14:textId="77777777" w:rsidR="003F0521" w:rsidRDefault="00000000">
      <w:pPr>
        <w:tabs>
          <w:tab w:val="left" w:pos="360"/>
        </w:tabs>
        <w:spacing w:after="0" w:line="200" w:lineRule="auto"/>
        <w:ind w:left="360" w:hanging="360"/>
      </w:pPr>
      <w:r>
        <w:rPr>
          <w:sz w:val="16"/>
          <w:szCs w:val="16"/>
          <w:vertAlign w:val="superscript"/>
        </w:rPr>
        <w:footnoteRef/>
      </w:r>
      <w:r>
        <w:rPr>
          <w:sz w:val="18"/>
          <w:szCs w:val="18"/>
        </w:rPr>
        <w:tab/>
        <w:t>Repozytorium badania, commit jak w przyp. 1: docs/06_2_raw_point_in_time_x_t_v1_frozen_specification.md, sekcje 4-6, configs/x_t_pit_v1.yaml oraz src/data/x_t_pit.py. Zasada exact accession oddziela informację dostępną w chwili predykcji od późniejszych filingów i restatementów.</w:t>
      </w:r>
    </w:p>
  </w:footnote>
  <w:footnote w:id="20">
    <w:p w14:paraId="54E46E17"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T. Hastie, R. Tibshirani, J. Friedman, The Elements of Statistical Learning: Data Mining, Inference, and Prediction, 2nd ed., Springer, New York 2009; R.J.A. Little, D.B. Rubin, Statistical Analysis with Missing Data, 3rd ed., Wiley, Hoboken 2019; repozytorium badania: docs/07_1_supervised_ml_pipeline_v1_frozen_specification.md oraz src/modeling/preprocessing.py.</w:t>
      </w:r>
    </w:p>
  </w:footnote>
  <w:footnote w:id="21">
    <w:p w14:paraId="5A605B38"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Repozytorium badania: docs/08_1_model_stage_v1_frozen_specification.md i configs/model_stage_v1.yaml. QNN-specific PCA jest transformacją po preprocessing C i nie zmienia identyfikatora bloku L, L+D ani L+D+R.</w:t>
      </w:r>
    </w:p>
  </w:footnote>
  <w:footnote w:id="22">
    <w:p w14:paraId="3D985EA4"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I.T. Jolliffe, J. Cadima, Principal Component Analysis: a Review and Recent Developments, Philosophical Transactions of the Royal Society A, 2016, vol. 374, 20150202, https://doi.org/10.1098/rsta.2015.0202.</w:t>
      </w:r>
    </w:p>
  </w:footnote>
  <w:footnote w:id="23">
    <w:p w14:paraId="1973979E"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M. Schuld, R. Sweke, J.J. Meyer, Effect of Data Encoding on the Expressive Power of Variational Quantum-Machine-Learning Models, Physical Review A, 2021, vol. 103, 032430, https://doi.org/10.1103/PhysRevA.103.032430.</w:t>
      </w:r>
    </w:p>
  </w:footnote>
  <w:footnote w:id="24">
    <w:p w14:paraId="028C3A4E" w14:textId="77777777" w:rsidR="003F0521" w:rsidRDefault="00000000">
      <w:pPr>
        <w:tabs>
          <w:tab w:val="left" w:pos="360"/>
        </w:tabs>
        <w:spacing w:after="0" w:line="200" w:lineRule="auto"/>
        <w:ind w:left="360" w:hanging="360"/>
      </w:pPr>
      <w:r>
        <w:rPr>
          <w:sz w:val="16"/>
          <w:szCs w:val="16"/>
          <w:vertAlign w:val="superscript"/>
        </w:rPr>
        <w:footnoteRef/>
      </w:r>
      <w:r w:rsidRPr="00284ADC">
        <w:rPr>
          <w:sz w:val="18"/>
          <w:szCs w:val="18"/>
          <w:lang w:val="en-US"/>
        </w:rPr>
        <w:tab/>
        <w:t xml:space="preserve">Repozytorium badania: docs/08_1_model_stage_v1_frozen_specification.md, sekcja QNN stages, representation and resources, oraz configs/model_stage_v1.yaml, qnn.matched_controls. </w:t>
      </w:r>
      <w:r>
        <w:rPr>
          <w:sz w:val="18"/>
          <w:szCs w:val="18"/>
        </w:rPr>
        <w:t>Kontrole PCA-matched są diagnostyczne i nie uczestniczą w głównym rankingu.</w:t>
      </w:r>
    </w:p>
  </w:footnote>
  <w:footnote w:id="25">
    <w:p w14:paraId="58A574C3" w14:textId="77777777" w:rsidR="003F0521" w:rsidRDefault="00000000">
      <w:pPr>
        <w:tabs>
          <w:tab w:val="left" w:pos="360"/>
        </w:tabs>
        <w:spacing w:after="0" w:line="200" w:lineRule="auto"/>
        <w:ind w:left="360" w:hanging="360"/>
      </w:pPr>
      <w:r>
        <w:rPr>
          <w:sz w:val="16"/>
          <w:szCs w:val="16"/>
          <w:vertAlign w:val="superscript"/>
        </w:rPr>
        <w:footnoteRef/>
      </w:r>
      <w:r>
        <w:rPr>
          <w:sz w:val="18"/>
          <w:szCs w:val="18"/>
        </w:rPr>
        <w:tab/>
        <w:t>Repozytorium badania: docs/06_3_raw_x_t_v1_1_0_resolver_correction.md, docs/07_3_supervised_ml_pipeline_v1_2_0_resolver_correction.md, docs/07_4_timezone_pit_fix_v1_0_0.md oraz configs/supervised_ml_pipeline_v1_3_0_timezone_fix.yaml. Korekty wykonano przed właściwym modelowaniem; nie zmieniły definicji cech ani polityki przetwarzania wstępnego.</w:t>
      </w:r>
    </w:p>
  </w:footnote>
  <w:footnote w:id="26">
    <w:p w14:paraId="5E7D400C"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Repozytorium badania: O. Stachowski, qnn-financial-statement-analysis, commit 39a0a841e51ddfeb5402aeadf9e6a2864b637ac9, w szczególności docs/08_1_model_stage_v1_frozen_specification.md, docs/08_3_model_execution_contract_v1_2_0.md, configs/model_stage_v1.yaml oraz configs/model_execution_contract_v1_2_0_scientific_patch.yaml (dostęp: 20.08.2026).</w:t>
      </w:r>
    </w:p>
  </w:footnote>
  <w:footnote w:id="27">
    <w:p w14:paraId="060EE9B9"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Por. T. Hastie, R. Tibshirani, J. Friedman, The Elements of Statistical Learning: Data Mining, Inference, and Prediction, 2nd ed., Springer, New York 2009; H. Zou, T. Hastie, Regularization and Variable Selection via the Elastic Net, Journal of the Royal Statistical Society: Series B, 2005, vol. 67, nr 2, s. 301-320, https://doi.org/10.1111/j.1467-9868.2005.00503.x; C. Cortes, V. Vapnik, Support-Vector Networks, Machine Learning, 1995, vol. 20, s. 273-297, https://doi.org/10.1007/BF00994018; L. Breiman, Random Forests, Machine Learning, 2001, vol. 45, s. 5-32, https://doi.org/10.1023/A:1010933404324; J.H. Friedman, Greedy Function Approximation: A Gradient Boosting Machine, The Annals of Statistics, 2001, vol. 29, nr 5, s. 1189-1232, https://doi.org/10.1214/aos/1013203451; T. Chen, C. Guestrin, XGBoost: A Scalable Tree Boosting System, KDD 2016, s. 785-794, https://doi.org/10.1145/2939672.2939785.</w:t>
      </w:r>
    </w:p>
  </w:footnote>
  <w:footnote w:id="28">
    <w:p w14:paraId="05291E20" w14:textId="77777777" w:rsidR="003F0521" w:rsidRDefault="00000000">
      <w:pPr>
        <w:spacing w:after="0" w:line="240" w:lineRule="auto"/>
        <w:ind w:left="567" w:hanging="567"/>
      </w:pPr>
      <w:r>
        <w:rPr>
          <w:sz w:val="20"/>
          <w:szCs w:val="20"/>
          <w:vertAlign w:val="superscript"/>
        </w:rPr>
        <w:footnoteRef/>
      </w:r>
      <w:r>
        <w:rPr>
          <w:sz w:val="20"/>
          <w:szCs w:val="20"/>
        </w:rPr>
        <w:t>       Repozytorium badania, commit jak w przyp. 1: configs/model_stage_candidates_v1_scientific_patch.json (wersja 1.0.1), configs/model_execution_contract_v1_2_0_scientific_patch.yaml oraz src/modeling/model_execution_contract.py. Scientific patch zastosowano przed pierwszym fit i nie zmienił on przestrzeni wyszukiwania.</w:t>
      </w:r>
    </w:p>
  </w:footnote>
  <w:footnote w:id="29">
    <w:p w14:paraId="157562C8" w14:textId="77777777" w:rsidR="003F0521" w:rsidRDefault="00000000">
      <w:pPr>
        <w:spacing w:after="0" w:line="240" w:lineRule="auto"/>
        <w:ind w:left="567" w:hanging="567"/>
      </w:pPr>
      <w:r>
        <w:rPr>
          <w:sz w:val="20"/>
          <w:szCs w:val="20"/>
          <w:vertAlign w:val="superscript"/>
        </w:rPr>
        <w:footnoteRef/>
      </w:r>
      <w:r>
        <w:rPr>
          <w:sz w:val="20"/>
          <w:szCs w:val="20"/>
        </w:rPr>
        <w:t>       Repozytorium badania: configs/model_stage_v1.yaml, sekcje class_imbalance i seed_aggregation, oraz docs/08_3_model_execution_contract_v1_2_0.md. Wagi są obliczane na aktualnym train fold i nie są stosowane do obserwacji walidacyjnych.</w:t>
      </w:r>
    </w:p>
  </w:footnote>
  <w:footnote w:id="30">
    <w:p w14:paraId="535B4C20" w14:textId="77777777" w:rsidR="003F0521" w:rsidRDefault="00000000">
      <w:pPr>
        <w:spacing w:after="0" w:line="240" w:lineRule="auto"/>
        <w:ind w:left="567" w:hanging="567"/>
      </w:pPr>
      <w:r>
        <w:rPr>
          <w:sz w:val="20"/>
          <w:szCs w:val="20"/>
          <w:vertAlign w:val="superscript"/>
        </w:rPr>
        <w:footnoteRef/>
      </w:r>
      <w:r>
        <w:rPr>
          <w:sz w:val="20"/>
          <w:szCs w:val="20"/>
        </w:rPr>
        <w:t>       I. Goodfellow, Y. Bengio, A. Courville, Deep Learning, MIT Press, Cambridge 2016; D.P. Kingma, J. Ba, Adam: A Method for Stochastic Optimization, ICLR 2015, arXiv:1412.6980; repozytorium badania: configs/model_stage_v1.yaml, sekcja pytorch_mlp, oraz src/modeling/production_worker.py.</w:t>
      </w:r>
    </w:p>
  </w:footnote>
  <w:footnote w:id="31">
    <w:p w14:paraId="70844DAD"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M. Schuld, A. Bocharov, K.M. Svore, N. Wiebe, Circuit-Centric Quantum Classifiers, Physical Review A, 2020, vol. 101, 032308, https://doi.org/10.1103/PhysRevA.101.032308; M. Benedetti, E. Lloyd, S. Sack, M. Fiorentini, Parameterized Quantum Circuits as Machine Learning Models, Quantum Science and Technology, 2019, vol. 4, 043001, https://doi.org/10.1088/2058-9565/ab4eb5; M. Cerezo i in., Variational Quantum Algorithms, Nature Reviews Physics, 2021, vol. 3, s. 625-644, https://doi.org/10.1038/s42254-021-00348-9.</w:t>
      </w:r>
    </w:p>
  </w:footnote>
  <w:footnote w:id="32">
    <w:p w14:paraId="1EA4CED3"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Repozytorium badania: docs/08_1_model_stage_v1_frozen_specification.md, configs/model_stage_v1.yaml oraz configs/model_stage_candidates_v1_scientific_patch.json. Etap Q1 wybiera kompletny pakiet architektury, a Q2 nie może zmienić wybranego ansatzu.</w:t>
      </w:r>
    </w:p>
  </w:footnote>
  <w:footnote w:id="33">
    <w:p w14:paraId="339F3A90"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Repozytorium badania: configs/model_stage_v1.yaml, sekcje qnn.matched_controls i qnn.resource_policy; configs/model_execution_contract_v1_2_0_scientific_patch.yaml, qnn_global_resource_ledger; data/reports/qnn_resource_smoke_v1_0_0.json.</w:t>
      </w:r>
    </w:p>
  </w:footnote>
  <w:footnote w:id="34">
    <w:p w14:paraId="7E966BD8" w14:textId="77777777" w:rsidR="003F0521" w:rsidRPr="00284ADC" w:rsidRDefault="00000000">
      <w:pPr>
        <w:spacing w:after="0" w:line="240" w:lineRule="auto"/>
        <w:ind w:left="567" w:hanging="567"/>
        <w:rPr>
          <w:lang w:val="en-US"/>
        </w:rPr>
      </w:pPr>
      <w:r>
        <w:rPr>
          <w:sz w:val="20"/>
          <w:szCs w:val="20"/>
          <w:vertAlign w:val="superscript"/>
        </w:rPr>
        <w:footnoteRef/>
      </w:r>
      <w:r w:rsidRPr="00284ADC">
        <w:rPr>
          <w:sz w:val="20"/>
          <w:szCs w:val="20"/>
          <w:lang w:val="en-US"/>
        </w:rPr>
        <w:t xml:space="preserve">       Repozytorium badania: docs/08_4_production_runner_and_environments_v1_0_0.md, configs/production_experiment_runner_v1_0_0.yaml, environments/README.md oraz src/modeling/production_runner.py. Dokumentacja potwierdza dry run, pełny test syntetyczny i implementację ograniczonego trybu dla danych rzeczywistych, lecz nie potwierdza jego uruchomienia na danych projektowych.</w:t>
      </w:r>
    </w:p>
  </w:footnote>
  <w:footnote w:id="35">
    <w:p w14:paraId="6BB42CE3" w14:textId="77777777" w:rsidR="003F0521" w:rsidRDefault="00000000">
      <w:pPr>
        <w:spacing w:after="0" w:line="240" w:lineRule="auto"/>
        <w:ind w:left="567" w:hanging="567"/>
      </w:pPr>
      <w:r>
        <w:rPr>
          <w:sz w:val="20"/>
          <w:szCs w:val="20"/>
          <w:vertAlign w:val="superscript"/>
        </w:rPr>
        <w:footnoteRef/>
      </w:r>
      <w:r>
        <w:rPr>
          <w:sz w:val="20"/>
          <w:szCs w:val="20"/>
        </w:rPr>
        <w:t>       Repozytorium badania: docs/09_1_data_access_policy_v1_1_0.md oraz docs/08_2_model_stage_v1_1_0_access_amendment.md. Dokumenty te supersedują wyłącznie wcześniejsze deklaracje statusu dostępu do lat 2021-2024; zamrożony roster i pozostałe decyzje modelowe pozostają niezmienione.</w:t>
      </w:r>
    </w:p>
  </w:footnote>
  <w:footnote w:id="36">
    <w:p w14:paraId="7A2ADE32" w14:textId="77777777" w:rsidR="003F0521" w:rsidRDefault="00000000">
      <w:pPr>
        <w:tabs>
          <w:tab w:val="left" w:pos="360"/>
        </w:tabs>
        <w:spacing w:after="0" w:line="200" w:lineRule="auto"/>
        <w:ind w:left="360" w:hanging="360"/>
      </w:pPr>
      <w:r>
        <w:rPr>
          <w:sz w:val="16"/>
          <w:szCs w:val="16"/>
          <w:vertAlign w:val="superscript"/>
        </w:rPr>
        <w:footnoteRef/>
      </w:r>
      <w:r>
        <w:rPr>
          <w:sz w:val="18"/>
          <w:szCs w:val="18"/>
        </w:rPr>
        <w:tab/>
        <w:t xml:space="preserve"> Repozytorium badania: O. Stachowski, qnn-financial-statement-analysis, commit 39a0a841e51ddfeb5402aeadf9e6a2864b637ac9, w szczególności docs/07_1_supervised_ml_pipeline_v1_frozen_specification.md, docs/08_1_model_stage_v1_frozen_specification.md, docs/08_3_model_execution_contract_v1_2_0.md oraz configs/supervised_ml_pipeline_v1_3_0_timezone_fix.yaml (dostęp: 20.08.2026).</w:t>
      </w:r>
    </w:p>
  </w:footnote>
  <w:footnote w:id="37">
    <w:p w14:paraId="599B2D5B"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L.J. Tashman, Out-of-sample tests of forecasting accuracy: an analysis and review, International Journal of Forecasting, 2000, vol. 16, nr 4, s. 437-450; C. Bergmeir, R.J. Hyndman, B. Koo, A note on the validity of cross-validation for evaluating autoregressive time series prediction, Computational Statistics &amp; Data Analysis, 2018, vol. 120, s. 70-83; repozytorium badania: src/modeling/temporal_cv.py i docs/07_4_timezone_pit_fix_v1_0_0.md.</w:t>
      </w:r>
    </w:p>
  </w:footnote>
  <w:footnote w:id="38">
    <w:p w14:paraId="3127EC61"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T. Saito, M. Rehmsmeier, The Precision-Recall Plot Is More Informative than the ROC Plot When Evaluating Binary Classifiers on Imbalanced Datasets, PLoS ONE, 2015, vol. 10, nr 3, e0118432; repozytorium badania: configs/supervised_ml_pipeline_v1.yaml, sekcja metric_aggregation, oraz configs/model_execution_contract_v1_2_0.yaml, sekcja metric_contract.</w:t>
      </w:r>
    </w:p>
  </w:footnote>
  <w:footnote w:id="39">
    <w:p w14:paraId="63A4036D"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Repozytorium badania: configs/model_execution_contract_v1_2_0.yaml, src/modeling/model_execution_contract.py oraz configs/model_execution_contract_v1_2_0_scientific_patch.yaml. Patch wymusza wspólną pulę coarse i aktywowanego refinementu, jawne epochs w tożsamości MLP oraz globalny ledger zasobów QNN.</w:t>
      </w:r>
    </w:p>
  </w:footnote>
  <w:footnote w:id="40">
    <w:p w14:paraId="262463A9"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B. Efron, R.J. Tibshirani, An Introduction to the Bootstrap, Chapman &amp; Hall, New York 1993; repozytorium badania: configs/supervised_ml_pipeline_v1.yaml, sekcja inference. Klaster economic_group_id nie jest cechą modelową.</w:t>
      </w:r>
    </w:p>
  </w:footnote>
  <w:footnote w:id="41">
    <w:p w14:paraId="5D1015EC"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J.C. Platt, Probabilistic Outputs for Support Vector Machines and Comparisons to Regularized Likelihood Methods, w: A.J. Smola i in. (red.), Advances in Large Margin Classifiers, MIT Press, 1999, s. 61-74; A. Niculescu-Mizil, R. Caruana, Predicting Good Probabilities with Supervised Learning, Proceedings of ICML 2005, s. 625-632; repozytorium badania: configs/model_execution_contract_v1_2_0.yaml, sekcja calibration.</w:t>
      </w:r>
    </w:p>
  </w:footnote>
  <w:footnote w:id="42">
    <w:p w14:paraId="4D25DC2B"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Z.C. Lipton, C. Elkan, B. Naryanaswamy, Thresholding Classifiers to Maximize F1 Score, Machine Learning and Knowledge Discovery in Databases, ECML PKDD 2014, s. 225-239; repozytorium badania: configs/model_execution_contract_v1_2_0.yaml, sekcja threshold, oraz src/modeling/model_execution_contract.py.</w:t>
      </w:r>
    </w:p>
  </w:footnote>
  <w:footnote w:id="43">
    <w:p w14:paraId="407C4ADE"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18"/>
          <w:szCs w:val="18"/>
          <w:lang w:val="en-US"/>
        </w:rPr>
        <w:tab/>
        <w:t xml:space="preserve"> Repozytorium badania: docs/09_1_data_access_policy_v1_1_0.md, docs/07_2_supervised_ml_pipeline_v1_1_0_access_amendment.md, docs/08_2_model_stage_v1_1_0_access_amendment.md i configs/model_stage_v1.yaml. Historyczne deklaracje one-shot validation zostały superseded wyłącznie w zakresie statusu dostępu.</w:t>
      </w:r>
    </w:p>
  </w:footnote>
  <w:footnote w:id="44">
    <w:p w14:paraId="7B50FA0A"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20"/>
          <w:szCs w:val="20"/>
          <w:lang w:val="en-US"/>
        </w:rPr>
        <w:t xml:space="preserve"> Repozytorium badania: configs/model_execution_contract_v1_2_0.yaml, sekcje robustness_execution_scope i interpretability_execution_scope, oraz docs/08_3_model_execution_contract_v1_2_0.md; analizy wtórne nie mogą zmieniać rankingu, składu reprezentantów, kalibracji ani progu.</w:t>
      </w:r>
    </w:p>
  </w:footnote>
  <w:footnote w:id="45">
    <w:p w14:paraId="6C955834" w14:textId="77777777" w:rsidR="003F0521" w:rsidRPr="00284ADC" w:rsidRDefault="00000000">
      <w:pPr>
        <w:tabs>
          <w:tab w:val="left" w:pos="360"/>
        </w:tabs>
        <w:spacing w:after="0" w:line="200" w:lineRule="auto"/>
        <w:ind w:left="360" w:hanging="360"/>
        <w:rPr>
          <w:lang w:val="en-US"/>
        </w:rPr>
      </w:pPr>
      <w:r>
        <w:rPr>
          <w:sz w:val="16"/>
          <w:szCs w:val="16"/>
          <w:vertAlign w:val="superscript"/>
        </w:rPr>
        <w:footnoteRef/>
      </w:r>
      <w:r w:rsidRPr="00284ADC">
        <w:rPr>
          <w:sz w:val="20"/>
          <w:szCs w:val="20"/>
          <w:lang w:val="en-US"/>
        </w:rPr>
        <w:t xml:space="preserve"> Repozytorium badania: docs/08_4_production_runner_and_environments_v1_0_0.md, docs/09_2_data_access_incident_v1_0_0.md i configs/data_access_incident_v1_0_0.yaml. Dokument 08_4 potwierdza dry run bez dopasowania modeli, pełny test syntetyczny i brak wykonania trybu execute na danych projektowych; dokumenty incydentu potwierdzają utrzymanie blokady lat 2021–2024.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582464">
    <w:abstractNumId w:val="8"/>
  </w:num>
  <w:num w:numId="2" w16cid:durableId="1805583850">
    <w:abstractNumId w:val="6"/>
  </w:num>
  <w:num w:numId="3" w16cid:durableId="818377147">
    <w:abstractNumId w:val="5"/>
  </w:num>
  <w:num w:numId="4" w16cid:durableId="343047367">
    <w:abstractNumId w:val="4"/>
  </w:num>
  <w:num w:numId="5" w16cid:durableId="1002245275">
    <w:abstractNumId w:val="7"/>
  </w:num>
  <w:num w:numId="6" w16cid:durableId="46613212">
    <w:abstractNumId w:val="3"/>
  </w:num>
  <w:num w:numId="7" w16cid:durableId="1062631642">
    <w:abstractNumId w:val="2"/>
  </w:num>
  <w:num w:numId="8" w16cid:durableId="1735658793">
    <w:abstractNumId w:val="1"/>
  </w:num>
  <w:num w:numId="9" w16cid:durableId="6581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BB"/>
    <w:rsid w:val="00284ADC"/>
    <w:rsid w:val="0029639D"/>
    <w:rsid w:val="00326F90"/>
    <w:rsid w:val="003F0521"/>
    <w:rsid w:val="009039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285E3"/>
  <w14:defaultImageDpi w14:val="300"/>
  <w15:docId w15:val="{1D705B4C-45D9-6E41-B28B-BB2A06B0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after="240"/>
      <w:outlineLvl w:val="0"/>
    </w:pPr>
    <w:rPr>
      <w:b/>
      <w:sz w:val="32"/>
      <w:szCs w:val="32"/>
    </w:rPr>
  </w:style>
  <w:style w:type="paragraph" w:styleId="Heading2">
    <w:name w:val="heading 2"/>
    <w:basedOn w:val="Normal"/>
    <w:next w:val="Normal"/>
    <w:link w:val="Heading2Char"/>
    <w:uiPriority w:val="9"/>
    <w:unhideWhenUsed/>
    <w:qFormat/>
    <w:rsid w:val="00FC693F"/>
    <w:pPr>
      <w:keepNext/>
      <w:keepLines/>
      <w:spacing w:before="240" w:after="160"/>
      <w:outlineLvl w:val="1"/>
    </w:pPr>
    <w:rPr>
      <w:b/>
      <w:sz w:val="28"/>
      <w:szCs w:val="28"/>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dpistabeli">
    <w:name w:val="Podpis tabeli"/>
    <w:pPr>
      <w:keepNext/>
      <w:spacing w:before="120" w:after="60" w:line="240" w:lineRule="auto"/>
    </w:pPr>
    <w:rPr>
      <w:rFonts w:ascii="Times New Roman" w:eastAsia="Times New Roman" w:hAnsi="Times New Roman" w:cs="Times New Roman"/>
      <w:b/>
      <w:sz w:val="20"/>
    </w:rPr>
  </w:style>
  <w:style w:type="paragraph" w:customStyle="1" w:styleId="rdotabeli">
    <w:name w:val="Źródło tabeli"/>
    <w:pPr>
      <w:spacing w:before="40" w:after="120" w:line="240" w:lineRule="auto"/>
    </w:pPr>
    <w:rPr>
      <w:rFonts w:ascii="Times New Roman" w:eastAsia="Times New Roman" w:hAnsi="Times New Roman" w:cs="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15451</Words>
  <Characters>88077</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Metodyka badania empirycznego</dc:title>
  <dc:subject>Rozdział 4 pracy magisterskiej – metodyka badania empirycznego</dc:subject>
  <dc:creator>Oskar Stachowski</dc:creator>
  <cp:keywords>SEC EDGAR, point-in-time, target PIT-B, cechy finansowe, modele klasyczne, MLP, QNN, walidacja czasowa</cp:keywords>
  <dc:description>Scalony i ujednolicony rozdział 4 pracy magisterskiej, obejmujący podrozdziały 4.1–4.5.</dc:description>
  <cp:lastModifiedBy>Oskar Stachowski</cp:lastModifiedBy>
  <cp:revision>2</cp:revision>
  <dcterms:created xsi:type="dcterms:W3CDTF">2013-12-23T23:15:00Z</dcterms:created>
  <dcterms:modified xsi:type="dcterms:W3CDTF">2026-08-20T16:48:00Z</dcterms:modified>
  <cp:category/>
</cp:coreProperties>
</file>