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18D6A0" w14:textId="77777777" w:rsidR="00B414AE" w:rsidRPr="009F09EC" w:rsidRDefault="00000000">
      <w:pPr>
        <w:spacing w:after="240"/>
        <w:jc w:val="center"/>
        <w:rPr>
          <w:lang w:val="pl-PL"/>
        </w:rPr>
      </w:pPr>
      <w:r w:rsidRPr="009F09EC">
        <w:rPr>
          <w:b/>
          <w:lang w:val="pl-PL"/>
        </w:rPr>
        <w:t>Spis treści</w:t>
      </w:r>
    </w:p>
    <w:p w14:paraId="57EE8932" w14:textId="77777777" w:rsidR="00B414AE" w:rsidRPr="009F09EC" w:rsidRDefault="00000000">
      <w:pPr>
        <w:tabs>
          <w:tab w:val="right" w:leader="dot" w:pos="8957"/>
        </w:tabs>
        <w:rPr>
          <w:lang w:val="pl-PL"/>
        </w:rPr>
      </w:pPr>
      <w:r w:rsidRPr="009F09EC">
        <w:rPr>
          <w:lang w:val="pl-PL"/>
        </w:rPr>
        <w:t>Wstęp</w:t>
      </w:r>
      <w:r w:rsidRPr="009F09EC">
        <w:rPr>
          <w:lang w:val="pl-PL"/>
        </w:rPr>
        <w:tab/>
        <w:t>5</w:t>
      </w:r>
    </w:p>
    <w:p w14:paraId="75123188" w14:textId="77777777" w:rsidR="00B414AE" w:rsidRPr="009F09EC" w:rsidRDefault="00000000">
      <w:pPr>
        <w:tabs>
          <w:tab w:val="right" w:leader="dot" w:pos="8957"/>
        </w:tabs>
        <w:rPr>
          <w:lang w:val="pl-PL"/>
        </w:rPr>
      </w:pPr>
      <w:r w:rsidRPr="009F09EC">
        <w:rPr>
          <w:b/>
          <w:lang w:val="pl-PL"/>
        </w:rPr>
        <w:t>Rozdział 1. Ryzyko finansowo-sprawozdawcze przedsiębiorstw</w:t>
      </w:r>
      <w:r w:rsidRPr="009F09EC">
        <w:rPr>
          <w:b/>
          <w:lang w:val="pl-PL"/>
        </w:rPr>
        <w:tab/>
        <w:t>8</w:t>
      </w:r>
    </w:p>
    <w:p w14:paraId="56031D99" w14:textId="7F9EA521" w:rsidR="00B414AE" w:rsidRPr="009F09EC" w:rsidRDefault="00000000">
      <w:pPr>
        <w:tabs>
          <w:tab w:val="right" w:leader="dot" w:pos="8957"/>
        </w:tabs>
        <w:ind w:left="397"/>
        <w:rPr>
          <w:lang w:val="pl-PL"/>
        </w:rPr>
      </w:pPr>
      <w:r w:rsidRPr="009F09EC">
        <w:rPr>
          <w:lang w:val="pl-PL"/>
        </w:rPr>
        <w:t xml:space="preserve">1.1. Kondycja finansowa przedsiębiorstwa i ryzyko </w:t>
      </w:r>
      <w:r w:rsidR="00A16978" w:rsidRPr="009F09EC">
        <w:rPr>
          <w:lang w:val="pl-PL"/>
        </w:rPr>
        <w:t xml:space="preserve">jej </w:t>
      </w:r>
      <w:r w:rsidRPr="009F09EC">
        <w:rPr>
          <w:lang w:val="pl-PL"/>
        </w:rPr>
        <w:t>pogorszenia</w:t>
      </w:r>
      <w:r w:rsidRPr="009F09EC">
        <w:rPr>
          <w:lang w:val="pl-PL"/>
        </w:rPr>
        <w:tab/>
        <w:t>9</w:t>
      </w:r>
    </w:p>
    <w:p w14:paraId="509365B3" w14:textId="385FCDE3" w:rsidR="00B414AE" w:rsidRPr="009F09EC" w:rsidRDefault="00000000">
      <w:pPr>
        <w:tabs>
          <w:tab w:val="right" w:leader="dot" w:pos="8957"/>
        </w:tabs>
        <w:ind w:left="397"/>
        <w:rPr>
          <w:lang w:val="pl-PL"/>
        </w:rPr>
      </w:pPr>
      <w:r w:rsidRPr="009F09EC">
        <w:rPr>
          <w:lang w:val="pl-PL"/>
        </w:rPr>
        <w:t>1.2. Jakość sprawozdawczości finansowej i manipulacj</w:t>
      </w:r>
      <w:r w:rsidR="00A16978" w:rsidRPr="009F09EC">
        <w:rPr>
          <w:lang w:val="pl-PL"/>
        </w:rPr>
        <w:t>a</w:t>
      </w:r>
      <w:r w:rsidRPr="009F09EC">
        <w:rPr>
          <w:lang w:val="pl-PL"/>
        </w:rPr>
        <w:t xml:space="preserve"> wynikiem finansowym</w:t>
      </w:r>
      <w:r w:rsidRPr="009F09EC">
        <w:rPr>
          <w:lang w:val="pl-PL"/>
        </w:rPr>
        <w:tab/>
        <w:t>13</w:t>
      </w:r>
    </w:p>
    <w:p w14:paraId="41B16C2E" w14:textId="77777777" w:rsidR="00B414AE" w:rsidRPr="009F09EC" w:rsidRDefault="00000000">
      <w:pPr>
        <w:tabs>
          <w:tab w:val="right" w:leader="dot" w:pos="8957"/>
        </w:tabs>
        <w:ind w:left="397"/>
        <w:rPr>
          <w:lang w:val="pl-PL"/>
        </w:rPr>
      </w:pPr>
      <w:r w:rsidRPr="009F09EC">
        <w:rPr>
          <w:lang w:val="pl-PL"/>
        </w:rPr>
        <w:t>1.3. Wskaźniki finansowe jako podstawa konstrukcji problemu predykcyjnego</w:t>
      </w:r>
      <w:r w:rsidRPr="009F09EC">
        <w:rPr>
          <w:lang w:val="pl-PL"/>
        </w:rPr>
        <w:tab/>
        <w:t>17</w:t>
      </w:r>
    </w:p>
    <w:p w14:paraId="4E8FE69E" w14:textId="77777777" w:rsidR="00B414AE" w:rsidRPr="009F09EC" w:rsidRDefault="00000000">
      <w:pPr>
        <w:tabs>
          <w:tab w:val="right" w:leader="dot" w:pos="8957"/>
        </w:tabs>
        <w:rPr>
          <w:lang w:val="pl-PL"/>
        </w:rPr>
      </w:pPr>
      <w:r w:rsidRPr="009F09EC">
        <w:rPr>
          <w:b/>
          <w:lang w:val="pl-PL"/>
        </w:rPr>
        <w:t>Rozdział 2. Klasyczne metody uczenia maszynowego w analizie danych finansowych</w:t>
      </w:r>
      <w:r w:rsidRPr="009F09EC">
        <w:rPr>
          <w:b/>
          <w:lang w:val="pl-PL"/>
        </w:rPr>
        <w:tab/>
        <w:t>21</w:t>
      </w:r>
    </w:p>
    <w:p w14:paraId="018F274D" w14:textId="77777777" w:rsidR="00B414AE" w:rsidRPr="009F09EC" w:rsidRDefault="00000000">
      <w:pPr>
        <w:tabs>
          <w:tab w:val="right" w:leader="dot" w:pos="8957"/>
        </w:tabs>
        <w:ind w:left="397"/>
        <w:rPr>
          <w:lang w:val="pl-PL"/>
        </w:rPr>
      </w:pPr>
      <w:r w:rsidRPr="009F09EC">
        <w:rPr>
          <w:lang w:val="pl-PL"/>
        </w:rPr>
        <w:t>2.1. Specyfika tabelarycznych danych finansowych</w:t>
      </w:r>
      <w:r w:rsidRPr="009F09EC">
        <w:rPr>
          <w:lang w:val="pl-PL"/>
        </w:rPr>
        <w:tab/>
        <w:t>22</w:t>
      </w:r>
    </w:p>
    <w:p w14:paraId="6BE357A9" w14:textId="77777777" w:rsidR="00B414AE" w:rsidRPr="009F09EC" w:rsidRDefault="00000000">
      <w:pPr>
        <w:tabs>
          <w:tab w:val="right" w:leader="dot" w:pos="8957"/>
        </w:tabs>
        <w:ind w:left="397"/>
        <w:rPr>
          <w:lang w:val="pl-PL"/>
        </w:rPr>
      </w:pPr>
      <w:r w:rsidRPr="009F09EC">
        <w:rPr>
          <w:lang w:val="pl-PL"/>
        </w:rPr>
        <w:t>2.2. Klasyczne modele uczenia maszynowego jako modele referencyjne</w:t>
      </w:r>
      <w:r w:rsidRPr="009F09EC">
        <w:rPr>
          <w:lang w:val="pl-PL"/>
        </w:rPr>
        <w:tab/>
        <w:t>26</w:t>
      </w:r>
    </w:p>
    <w:p w14:paraId="0BA6F26C" w14:textId="5BC914A8" w:rsidR="00B414AE" w:rsidRPr="009F09EC" w:rsidRDefault="00000000">
      <w:pPr>
        <w:tabs>
          <w:tab w:val="right" w:leader="dot" w:pos="8957"/>
        </w:tabs>
        <w:ind w:left="397"/>
        <w:rPr>
          <w:lang w:val="pl-PL"/>
        </w:rPr>
      </w:pPr>
      <w:r w:rsidRPr="009F09EC">
        <w:rPr>
          <w:lang w:val="pl-PL"/>
        </w:rPr>
        <w:t xml:space="preserve">2.3. </w:t>
      </w:r>
      <w:r w:rsidR="00A16978" w:rsidRPr="009F09EC">
        <w:rPr>
          <w:lang w:val="pl-PL"/>
        </w:rPr>
        <w:t>Selekcja</w:t>
      </w:r>
      <w:r w:rsidRPr="009F09EC">
        <w:rPr>
          <w:lang w:val="pl-PL"/>
        </w:rPr>
        <w:t xml:space="preserve"> cech, redukcja wymiaru i interpretowalność modeli</w:t>
      </w:r>
      <w:r w:rsidRPr="009F09EC">
        <w:rPr>
          <w:lang w:val="pl-PL"/>
        </w:rPr>
        <w:tab/>
        <w:t>31</w:t>
      </w:r>
    </w:p>
    <w:p w14:paraId="1EAEDA33" w14:textId="77777777" w:rsidR="00B414AE" w:rsidRPr="009F09EC" w:rsidRDefault="00000000">
      <w:pPr>
        <w:tabs>
          <w:tab w:val="right" w:leader="dot" w:pos="8957"/>
        </w:tabs>
        <w:rPr>
          <w:lang w:val="pl-PL"/>
        </w:rPr>
      </w:pPr>
      <w:r w:rsidRPr="009F09EC">
        <w:rPr>
          <w:b/>
          <w:lang w:val="pl-PL"/>
        </w:rPr>
        <w:t>Rozdział 3. Kwantowe uczenie maszynowe i hybrydowe kwantowe sieci neuronowe</w:t>
      </w:r>
      <w:r w:rsidRPr="009F09EC">
        <w:rPr>
          <w:b/>
          <w:lang w:val="pl-PL"/>
        </w:rPr>
        <w:tab/>
        <w:t>36</w:t>
      </w:r>
    </w:p>
    <w:p w14:paraId="34F59C83" w14:textId="77777777" w:rsidR="00B414AE" w:rsidRPr="009F09EC" w:rsidRDefault="00000000">
      <w:pPr>
        <w:tabs>
          <w:tab w:val="right" w:leader="dot" w:pos="8957"/>
        </w:tabs>
        <w:ind w:left="397"/>
        <w:rPr>
          <w:lang w:val="pl-PL"/>
        </w:rPr>
      </w:pPr>
      <w:r w:rsidRPr="009F09EC">
        <w:rPr>
          <w:lang w:val="pl-PL"/>
        </w:rPr>
        <w:t>3.1. Podstawy kwantowego uczenia maszynowego</w:t>
      </w:r>
      <w:r w:rsidRPr="009F09EC">
        <w:rPr>
          <w:lang w:val="pl-PL"/>
        </w:rPr>
        <w:tab/>
        <w:t>37</w:t>
      </w:r>
    </w:p>
    <w:p w14:paraId="4D821A17" w14:textId="1E680716" w:rsidR="00B414AE" w:rsidRPr="009F09EC" w:rsidRDefault="00000000">
      <w:pPr>
        <w:tabs>
          <w:tab w:val="right" w:leader="dot" w:pos="8957"/>
        </w:tabs>
        <w:ind w:left="397"/>
        <w:rPr>
          <w:lang w:val="pl-PL"/>
        </w:rPr>
      </w:pPr>
      <w:r w:rsidRPr="009F09EC">
        <w:rPr>
          <w:lang w:val="pl-PL"/>
        </w:rPr>
        <w:t xml:space="preserve">3.2. Kodowanie danych </w:t>
      </w:r>
      <w:r w:rsidR="00A16978" w:rsidRPr="009F09EC">
        <w:rPr>
          <w:lang w:val="pl-PL"/>
        </w:rPr>
        <w:t>w</w:t>
      </w:r>
      <w:r w:rsidRPr="009F09EC">
        <w:rPr>
          <w:lang w:val="pl-PL"/>
        </w:rPr>
        <w:t xml:space="preserve"> hybrydow</w:t>
      </w:r>
      <w:r w:rsidR="00A16978" w:rsidRPr="009F09EC">
        <w:rPr>
          <w:lang w:val="pl-PL"/>
        </w:rPr>
        <w:t>ych</w:t>
      </w:r>
      <w:r w:rsidR="00D8099B" w:rsidRPr="009F09EC">
        <w:rPr>
          <w:lang w:val="pl-PL"/>
        </w:rPr>
        <w:t xml:space="preserve"> kwantowych</w:t>
      </w:r>
      <w:r w:rsidRPr="009F09EC">
        <w:rPr>
          <w:lang w:val="pl-PL"/>
        </w:rPr>
        <w:t xml:space="preserve"> sieci</w:t>
      </w:r>
      <w:r w:rsidR="00A16978" w:rsidRPr="009F09EC">
        <w:rPr>
          <w:lang w:val="pl-PL"/>
        </w:rPr>
        <w:t>ach</w:t>
      </w:r>
      <w:r w:rsidRPr="009F09EC">
        <w:rPr>
          <w:lang w:val="pl-PL"/>
        </w:rPr>
        <w:t xml:space="preserve"> neuronow</w:t>
      </w:r>
      <w:r w:rsidR="00A16978" w:rsidRPr="009F09EC">
        <w:rPr>
          <w:lang w:val="pl-PL"/>
        </w:rPr>
        <w:t>ych</w:t>
      </w:r>
      <w:r w:rsidRPr="009F09EC">
        <w:rPr>
          <w:lang w:val="pl-PL"/>
        </w:rPr>
        <w:tab/>
        <w:t>42</w:t>
      </w:r>
    </w:p>
    <w:p w14:paraId="132FCFA8" w14:textId="3FE4D14C" w:rsidR="00B414AE" w:rsidRPr="009F09EC" w:rsidRDefault="00000000">
      <w:pPr>
        <w:tabs>
          <w:tab w:val="right" w:leader="dot" w:pos="8957"/>
        </w:tabs>
        <w:ind w:left="397"/>
        <w:rPr>
          <w:lang w:val="pl-PL"/>
        </w:rPr>
      </w:pPr>
      <w:r w:rsidRPr="009F09EC">
        <w:rPr>
          <w:lang w:val="pl-PL"/>
        </w:rPr>
        <w:t xml:space="preserve">3.3. Ograniczenia </w:t>
      </w:r>
      <w:r w:rsidR="002426BC" w:rsidRPr="009F09EC">
        <w:rPr>
          <w:lang w:val="pl-PL"/>
        </w:rPr>
        <w:t xml:space="preserve">praktyczne </w:t>
      </w:r>
      <w:r w:rsidRPr="009F09EC">
        <w:rPr>
          <w:lang w:val="pl-PL"/>
        </w:rPr>
        <w:t>kwantowych sieci neuronowych</w:t>
      </w:r>
      <w:r w:rsidRPr="009F09EC">
        <w:rPr>
          <w:lang w:val="pl-PL"/>
        </w:rPr>
        <w:tab/>
        <w:t>47</w:t>
      </w:r>
    </w:p>
    <w:p w14:paraId="2C3E17B4" w14:textId="77777777" w:rsidR="00B414AE" w:rsidRPr="009F09EC" w:rsidRDefault="00000000">
      <w:pPr>
        <w:tabs>
          <w:tab w:val="right" w:leader="dot" w:pos="8957"/>
        </w:tabs>
        <w:rPr>
          <w:lang w:val="pl-PL"/>
        </w:rPr>
      </w:pPr>
      <w:r w:rsidRPr="009F09EC">
        <w:rPr>
          <w:b/>
          <w:lang w:val="pl-PL"/>
        </w:rPr>
        <w:t>Rozdział 4. Projekt badania empirycznego i metodologia eksperymentu</w:t>
      </w:r>
      <w:r w:rsidRPr="009F09EC">
        <w:rPr>
          <w:b/>
          <w:lang w:val="pl-PL"/>
        </w:rPr>
        <w:tab/>
        <w:t>52</w:t>
      </w:r>
    </w:p>
    <w:p w14:paraId="65202CA7" w14:textId="77777777" w:rsidR="00B414AE" w:rsidRPr="009F09EC" w:rsidRDefault="00000000">
      <w:pPr>
        <w:tabs>
          <w:tab w:val="right" w:leader="dot" w:pos="8957"/>
        </w:tabs>
        <w:ind w:left="397"/>
        <w:rPr>
          <w:lang w:val="pl-PL"/>
        </w:rPr>
      </w:pPr>
      <w:r w:rsidRPr="009F09EC">
        <w:rPr>
          <w:lang w:val="pl-PL"/>
        </w:rPr>
        <w:t>4.1. Źródła danych i zakres badania</w:t>
      </w:r>
      <w:r w:rsidRPr="009F09EC">
        <w:rPr>
          <w:lang w:val="pl-PL"/>
        </w:rPr>
        <w:tab/>
        <w:t>53</w:t>
      </w:r>
    </w:p>
    <w:p w14:paraId="1E5E01D3" w14:textId="10D55707" w:rsidR="00B414AE" w:rsidRPr="009F09EC" w:rsidRDefault="00000000">
      <w:pPr>
        <w:tabs>
          <w:tab w:val="right" w:leader="dot" w:pos="8957"/>
        </w:tabs>
        <w:ind w:left="397"/>
        <w:rPr>
          <w:lang w:val="pl-PL"/>
        </w:rPr>
      </w:pPr>
      <w:r w:rsidRPr="009F09EC">
        <w:rPr>
          <w:lang w:val="pl-PL"/>
        </w:rPr>
        <w:t>4.2. Przygotowanie danych</w:t>
      </w:r>
      <w:r w:rsidR="00A16978" w:rsidRPr="009F09EC">
        <w:rPr>
          <w:lang w:val="pl-PL"/>
        </w:rPr>
        <w:t xml:space="preserve"> </w:t>
      </w:r>
      <w:r w:rsidRPr="009F09EC">
        <w:rPr>
          <w:lang w:val="pl-PL"/>
        </w:rPr>
        <w:t xml:space="preserve">i </w:t>
      </w:r>
      <w:r w:rsidR="002426BC" w:rsidRPr="009F09EC">
        <w:rPr>
          <w:lang w:val="pl-PL"/>
        </w:rPr>
        <w:t>konstrukcja zmiennej celu</w:t>
      </w:r>
      <w:r w:rsidRPr="009F09EC">
        <w:rPr>
          <w:lang w:val="pl-PL"/>
        </w:rPr>
        <w:tab/>
        <w:t>58</w:t>
      </w:r>
    </w:p>
    <w:p w14:paraId="1778B87F" w14:textId="48FBB4D8" w:rsidR="00B414AE" w:rsidRPr="009F09EC" w:rsidRDefault="00000000">
      <w:pPr>
        <w:tabs>
          <w:tab w:val="right" w:leader="dot" w:pos="8957"/>
        </w:tabs>
        <w:ind w:left="397"/>
        <w:rPr>
          <w:lang w:val="pl-PL"/>
        </w:rPr>
      </w:pPr>
      <w:r w:rsidRPr="009F09EC">
        <w:rPr>
          <w:lang w:val="pl-PL"/>
        </w:rPr>
        <w:t xml:space="preserve">4.3. </w:t>
      </w:r>
      <w:r w:rsidR="00A16978" w:rsidRPr="009F09EC">
        <w:rPr>
          <w:lang w:val="pl-PL"/>
        </w:rPr>
        <w:t>Procedura selekcji</w:t>
      </w:r>
      <w:r w:rsidRPr="009F09EC">
        <w:rPr>
          <w:lang w:val="pl-PL"/>
        </w:rPr>
        <w:t xml:space="preserve"> cech i redukcj</w:t>
      </w:r>
      <w:r w:rsidR="004036D9" w:rsidRPr="009F09EC">
        <w:rPr>
          <w:lang w:val="pl-PL"/>
        </w:rPr>
        <w:t>i</w:t>
      </w:r>
      <w:r w:rsidRPr="009F09EC">
        <w:rPr>
          <w:lang w:val="pl-PL"/>
        </w:rPr>
        <w:t xml:space="preserve"> wymiaru danych</w:t>
      </w:r>
      <w:r w:rsidRPr="009F09EC">
        <w:rPr>
          <w:lang w:val="pl-PL"/>
        </w:rPr>
        <w:tab/>
        <w:t>64</w:t>
      </w:r>
    </w:p>
    <w:p w14:paraId="0D4AA67F" w14:textId="77777777" w:rsidR="00B414AE" w:rsidRPr="009F09EC" w:rsidRDefault="00000000">
      <w:pPr>
        <w:tabs>
          <w:tab w:val="right" w:leader="dot" w:pos="8957"/>
        </w:tabs>
        <w:ind w:left="397"/>
        <w:rPr>
          <w:lang w:val="pl-PL"/>
        </w:rPr>
      </w:pPr>
      <w:r w:rsidRPr="009F09EC">
        <w:rPr>
          <w:lang w:val="pl-PL"/>
        </w:rPr>
        <w:t>4.4. Konfiguracja modeli klasycznych i kwantowych</w:t>
      </w:r>
      <w:r w:rsidRPr="009F09EC">
        <w:rPr>
          <w:lang w:val="pl-PL"/>
        </w:rPr>
        <w:tab/>
        <w:t>68</w:t>
      </w:r>
    </w:p>
    <w:p w14:paraId="03E21F1F" w14:textId="46C7E199" w:rsidR="00B414AE" w:rsidRPr="009F09EC" w:rsidRDefault="00000000">
      <w:pPr>
        <w:tabs>
          <w:tab w:val="right" w:leader="dot" w:pos="8957"/>
        </w:tabs>
        <w:ind w:left="397"/>
        <w:rPr>
          <w:lang w:val="pl-PL"/>
        </w:rPr>
      </w:pPr>
      <w:r w:rsidRPr="009F09EC">
        <w:rPr>
          <w:lang w:val="pl-PL"/>
        </w:rPr>
        <w:t>4.5. Procedura ewaluacji</w:t>
      </w:r>
      <w:r w:rsidR="002426BC" w:rsidRPr="009F09EC">
        <w:rPr>
          <w:lang w:val="pl-PL"/>
        </w:rPr>
        <w:t>, analiza stabilności</w:t>
      </w:r>
      <w:r w:rsidRPr="009F09EC">
        <w:rPr>
          <w:lang w:val="pl-PL"/>
        </w:rPr>
        <w:t xml:space="preserve"> i porównani</w:t>
      </w:r>
      <w:r w:rsidR="002426BC" w:rsidRPr="009F09EC">
        <w:rPr>
          <w:lang w:val="pl-PL"/>
        </w:rPr>
        <w:t>e</w:t>
      </w:r>
      <w:r w:rsidRPr="009F09EC">
        <w:rPr>
          <w:lang w:val="pl-PL"/>
        </w:rPr>
        <w:t xml:space="preserve"> modeli</w:t>
      </w:r>
      <w:r w:rsidRPr="009F09EC">
        <w:rPr>
          <w:lang w:val="pl-PL"/>
        </w:rPr>
        <w:tab/>
        <w:t>73</w:t>
      </w:r>
    </w:p>
    <w:p w14:paraId="14D09898" w14:textId="06271612" w:rsidR="00B414AE" w:rsidRPr="009F09EC" w:rsidRDefault="00000000">
      <w:pPr>
        <w:tabs>
          <w:tab w:val="right" w:leader="dot" w:pos="8957"/>
        </w:tabs>
        <w:rPr>
          <w:lang w:val="pl-PL"/>
        </w:rPr>
      </w:pPr>
      <w:r w:rsidRPr="009F09EC">
        <w:rPr>
          <w:b/>
          <w:lang w:val="pl-PL"/>
        </w:rPr>
        <w:t xml:space="preserve">Rozdział 5. </w:t>
      </w:r>
      <w:r w:rsidR="009F59B0" w:rsidRPr="009F09EC">
        <w:rPr>
          <w:b/>
          <w:lang w:val="pl-PL"/>
        </w:rPr>
        <w:t>Ewaluacja modeli i interpretacja wyników badania</w:t>
      </w:r>
      <w:r w:rsidRPr="009F09EC">
        <w:rPr>
          <w:b/>
          <w:lang w:val="pl-PL"/>
        </w:rPr>
        <w:tab/>
        <w:t>78</w:t>
      </w:r>
    </w:p>
    <w:p w14:paraId="217AB8C4" w14:textId="77777777" w:rsidR="00B414AE" w:rsidRPr="009F09EC" w:rsidRDefault="00000000">
      <w:pPr>
        <w:tabs>
          <w:tab w:val="right" w:leader="dot" w:pos="8957"/>
        </w:tabs>
        <w:ind w:left="397"/>
        <w:rPr>
          <w:lang w:val="pl-PL"/>
        </w:rPr>
      </w:pPr>
      <w:r w:rsidRPr="009F09EC">
        <w:rPr>
          <w:lang w:val="pl-PL"/>
        </w:rPr>
        <w:t>5.1. Charakterystyka próby i rozkład klas</w:t>
      </w:r>
      <w:r w:rsidRPr="009F09EC">
        <w:rPr>
          <w:lang w:val="pl-PL"/>
        </w:rPr>
        <w:tab/>
        <w:t>79</w:t>
      </w:r>
    </w:p>
    <w:p w14:paraId="7C0EFDDB" w14:textId="77777777" w:rsidR="00B414AE" w:rsidRPr="009F09EC" w:rsidRDefault="00000000">
      <w:pPr>
        <w:tabs>
          <w:tab w:val="right" w:leader="dot" w:pos="8957"/>
        </w:tabs>
        <w:ind w:left="397"/>
        <w:rPr>
          <w:lang w:val="pl-PL"/>
        </w:rPr>
      </w:pPr>
      <w:r w:rsidRPr="009F09EC">
        <w:rPr>
          <w:lang w:val="pl-PL"/>
        </w:rPr>
        <w:t>5.2. Wyniki modeli klasycznych i kwantowych</w:t>
      </w:r>
      <w:r w:rsidRPr="009F09EC">
        <w:rPr>
          <w:lang w:val="pl-PL"/>
        </w:rPr>
        <w:tab/>
        <w:t>82</w:t>
      </w:r>
    </w:p>
    <w:p w14:paraId="662DC5C6" w14:textId="359E9B8C" w:rsidR="00B414AE" w:rsidRPr="009F09EC" w:rsidRDefault="00000000">
      <w:pPr>
        <w:tabs>
          <w:tab w:val="right" w:leader="dot" w:pos="8957"/>
        </w:tabs>
        <w:ind w:left="397"/>
        <w:rPr>
          <w:lang w:val="pl-PL"/>
        </w:rPr>
      </w:pPr>
      <w:r w:rsidRPr="009F09EC">
        <w:rPr>
          <w:lang w:val="pl-PL"/>
        </w:rPr>
        <w:t xml:space="preserve">5.3. </w:t>
      </w:r>
      <w:r w:rsidR="004036D9" w:rsidRPr="009F09EC">
        <w:rPr>
          <w:lang w:val="pl-PL"/>
        </w:rPr>
        <w:t>Analiza wrażliwości wyników na dobór cech i definicję etykiety</w:t>
      </w:r>
      <w:r w:rsidRPr="009F09EC">
        <w:rPr>
          <w:lang w:val="pl-PL"/>
        </w:rPr>
        <w:tab/>
        <w:t>87</w:t>
      </w:r>
    </w:p>
    <w:p w14:paraId="4B89F4E8" w14:textId="1155EDB3" w:rsidR="00B414AE" w:rsidRPr="009F09EC" w:rsidRDefault="00000000" w:rsidP="00A16978">
      <w:pPr>
        <w:tabs>
          <w:tab w:val="right" w:leader="dot" w:pos="8957"/>
        </w:tabs>
        <w:ind w:left="397"/>
        <w:rPr>
          <w:lang w:val="pl-PL"/>
        </w:rPr>
      </w:pPr>
      <w:r w:rsidRPr="009F09EC">
        <w:rPr>
          <w:lang w:val="pl-PL"/>
        </w:rPr>
        <w:t>5.4. Analiza błędów, ograniczenia badania i interpretacja wyników</w:t>
      </w:r>
      <w:r w:rsidRPr="009F09EC">
        <w:rPr>
          <w:lang w:val="pl-PL"/>
        </w:rPr>
        <w:tab/>
        <w:t>91</w:t>
      </w:r>
    </w:p>
    <w:p w14:paraId="06854738" w14:textId="77777777" w:rsidR="00B414AE" w:rsidRPr="009F09EC" w:rsidRDefault="00000000">
      <w:pPr>
        <w:tabs>
          <w:tab w:val="right" w:leader="dot" w:pos="8957"/>
        </w:tabs>
        <w:rPr>
          <w:lang w:val="pl-PL"/>
        </w:rPr>
      </w:pPr>
      <w:r w:rsidRPr="009F09EC">
        <w:rPr>
          <w:lang w:val="pl-PL"/>
        </w:rPr>
        <w:t>Zakończenie</w:t>
      </w:r>
      <w:r w:rsidRPr="009F09EC">
        <w:rPr>
          <w:lang w:val="pl-PL"/>
        </w:rPr>
        <w:tab/>
        <w:t>96</w:t>
      </w:r>
    </w:p>
    <w:p w14:paraId="4209E824" w14:textId="77777777" w:rsidR="00B414AE" w:rsidRPr="009F09EC" w:rsidRDefault="00000000">
      <w:pPr>
        <w:tabs>
          <w:tab w:val="right" w:leader="dot" w:pos="8957"/>
        </w:tabs>
        <w:rPr>
          <w:lang w:val="pl-PL"/>
        </w:rPr>
      </w:pPr>
      <w:r w:rsidRPr="009F09EC">
        <w:rPr>
          <w:lang w:val="pl-PL"/>
        </w:rPr>
        <w:t>Bibliografia</w:t>
      </w:r>
      <w:r w:rsidRPr="009F09EC">
        <w:rPr>
          <w:lang w:val="pl-PL"/>
        </w:rPr>
        <w:tab/>
        <w:t>99</w:t>
      </w:r>
    </w:p>
    <w:p w14:paraId="111B7AC8" w14:textId="77777777" w:rsidR="00B414AE" w:rsidRPr="009F09EC" w:rsidRDefault="00000000">
      <w:pPr>
        <w:tabs>
          <w:tab w:val="right" w:leader="dot" w:pos="8957"/>
        </w:tabs>
        <w:rPr>
          <w:lang w:val="pl-PL"/>
        </w:rPr>
      </w:pPr>
      <w:r w:rsidRPr="009F09EC">
        <w:rPr>
          <w:lang w:val="pl-PL"/>
        </w:rPr>
        <w:t>Spis tabel</w:t>
      </w:r>
      <w:r w:rsidRPr="009F09EC">
        <w:rPr>
          <w:lang w:val="pl-PL"/>
        </w:rPr>
        <w:tab/>
        <w:t>103</w:t>
      </w:r>
    </w:p>
    <w:p w14:paraId="66420BFE" w14:textId="77777777" w:rsidR="00B414AE" w:rsidRPr="009F09EC" w:rsidRDefault="00000000">
      <w:pPr>
        <w:tabs>
          <w:tab w:val="right" w:leader="dot" w:pos="8957"/>
        </w:tabs>
        <w:rPr>
          <w:lang w:val="pl-PL"/>
        </w:rPr>
      </w:pPr>
      <w:r w:rsidRPr="009F09EC">
        <w:rPr>
          <w:lang w:val="pl-PL"/>
        </w:rPr>
        <w:t>Spis wykresów</w:t>
      </w:r>
      <w:r w:rsidRPr="009F09EC">
        <w:rPr>
          <w:lang w:val="pl-PL"/>
        </w:rPr>
        <w:tab/>
        <w:t>104</w:t>
      </w:r>
    </w:p>
    <w:p w14:paraId="0ED2F81A" w14:textId="77777777" w:rsidR="00B414AE" w:rsidRPr="009F09EC" w:rsidRDefault="00000000">
      <w:pPr>
        <w:tabs>
          <w:tab w:val="right" w:leader="dot" w:pos="8957"/>
        </w:tabs>
        <w:rPr>
          <w:lang w:val="pl-PL"/>
        </w:rPr>
      </w:pPr>
      <w:r w:rsidRPr="009F09EC">
        <w:rPr>
          <w:lang w:val="pl-PL"/>
        </w:rPr>
        <w:t>Spis rysunków</w:t>
      </w:r>
      <w:r w:rsidRPr="009F09EC">
        <w:rPr>
          <w:lang w:val="pl-PL"/>
        </w:rPr>
        <w:tab/>
        <w:t>105</w:t>
      </w:r>
    </w:p>
    <w:p w14:paraId="4E84B557" w14:textId="77777777" w:rsidR="00B414AE" w:rsidRPr="009F09EC" w:rsidRDefault="00000000">
      <w:pPr>
        <w:tabs>
          <w:tab w:val="right" w:leader="dot" w:pos="8957"/>
        </w:tabs>
        <w:rPr>
          <w:lang w:val="pl-PL"/>
        </w:rPr>
      </w:pPr>
      <w:r w:rsidRPr="009F09EC">
        <w:rPr>
          <w:lang w:val="pl-PL"/>
        </w:rPr>
        <w:t>Załączniki</w:t>
      </w:r>
      <w:r w:rsidRPr="009F09EC">
        <w:rPr>
          <w:lang w:val="pl-PL"/>
        </w:rPr>
        <w:tab/>
        <w:t>106</w:t>
      </w:r>
    </w:p>
    <w:p w14:paraId="542DB7C6" w14:textId="77777777" w:rsidR="00B414AE" w:rsidRPr="009F09EC" w:rsidRDefault="00000000">
      <w:pPr>
        <w:tabs>
          <w:tab w:val="right" w:leader="dot" w:pos="8957"/>
        </w:tabs>
        <w:rPr>
          <w:lang w:val="pl-PL"/>
        </w:rPr>
      </w:pPr>
      <w:r w:rsidRPr="009F09EC">
        <w:rPr>
          <w:lang w:val="pl-PL"/>
        </w:rPr>
        <w:t>Streszczenie</w:t>
      </w:r>
      <w:r w:rsidRPr="009F09EC">
        <w:rPr>
          <w:lang w:val="pl-PL"/>
        </w:rPr>
        <w:tab/>
        <w:t>107</w:t>
      </w:r>
    </w:p>
    <w:sectPr w:rsidR="00B414AE" w:rsidRPr="009F09EC" w:rsidSect="00034616">
      <w:footerReference w:type="default" r:id="rId8"/>
      <w:pgSz w:w="11906" w:h="16838"/>
      <w:pgMar w:top="1417" w:right="1417" w:bottom="1417" w:left="1417" w:header="709" w:footer="709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FCF7EE" w14:textId="77777777" w:rsidR="00B13EB6" w:rsidRDefault="00B13EB6">
      <w:pPr>
        <w:spacing w:line="240" w:lineRule="auto"/>
      </w:pPr>
      <w:r>
        <w:separator/>
      </w:r>
    </w:p>
  </w:endnote>
  <w:endnote w:type="continuationSeparator" w:id="0">
    <w:p w14:paraId="66831313" w14:textId="77777777" w:rsidR="00B13EB6" w:rsidRDefault="00B13E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F3541B" w14:textId="77777777" w:rsidR="00B414AE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A16978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12BC14" w14:textId="77777777" w:rsidR="00B13EB6" w:rsidRDefault="00B13EB6">
      <w:pPr>
        <w:spacing w:line="240" w:lineRule="auto"/>
      </w:pPr>
      <w:r>
        <w:separator/>
      </w:r>
    </w:p>
  </w:footnote>
  <w:footnote w:type="continuationSeparator" w:id="0">
    <w:p w14:paraId="580CD93B" w14:textId="77777777" w:rsidR="00B13EB6" w:rsidRDefault="00B13EB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3924157">
    <w:abstractNumId w:val="8"/>
  </w:num>
  <w:num w:numId="2" w16cid:durableId="1076123234">
    <w:abstractNumId w:val="6"/>
  </w:num>
  <w:num w:numId="3" w16cid:durableId="1363285943">
    <w:abstractNumId w:val="5"/>
  </w:num>
  <w:num w:numId="4" w16cid:durableId="547378633">
    <w:abstractNumId w:val="4"/>
  </w:num>
  <w:num w:numId="5" w16cid:durableId="1017849895">
    <w:abstractNumId w:val="7"/>
  </w:num>
  <w:num w:numId="6" w16cid:durableId="1382703321">
    <w:abstractNumId w:val="3"/>
  </w:num>
  <w:num w:numId="7" w16cid:durableId="107702809">
    <w:abstractNumId w:val="2"/>
  </w:num>
  <w:num w:numId="8" w16cid:durableId="1172329962">
    <w:abstractNumId w:val="1"/>
  </w:num>
  <w:num w:numId="9" w16cid:durableId="1509522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381"/>
    <w:rsid w:val="0015074B"/>
    <w:rsid w:val="002426BC"/>
    <w:rsid w:val="0029639D"/>
    <w:rsid w:val="00326F90"/>
    <w:rsid w:val="004036D9"/>
    <w:rsid w:val="00624797"/>
    <w:rsid w:val="00727D74"/>
    <w:rsid w:val="0080574E"/>
    <w:rsid w:val="009F09EC"/>
    <w:rsid w:val="009F59B0"/>
    <w:rsid w:val="00A16978"/>
    <w:rsid w:val="00AA1D8D"/>
    <w:rsid w:val="00B13EB6"/>
    <w:rsid w:val="00B414AE"/>
    <w:rsid w:val="00B47730"/>
    <w:rsid w:val="00CB0664"/>
    <w:rsid w:val="00D12C56"/>
    <w:rsid w:val="00D8099B"/>
    <w:rsid w:val="00E245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421F61"/>
  <w14:defaultImageDpi w14:val="300"/>
  <w15:docId w15:val="{14D809EF-6414-F642-B684-E2AE33558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Spis treści pracy magisterskiej</vt:lpstr>
    </vt:vector>
  </TitlesOfParts>
  <Manager/>
  <Company/>
  <LinksUpToDate>false</LinksUpToDate>
  <CharactersWithSpaces>1587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Spis treści pracy magisterskiej</dc:title>
  <dc:subject>Praca magisterska SGH - spis treści</dc:subject>
  <dc:creator/>
  <cp:keywords/>
  <dc:description>generated by python-docx</dc:description>
  <cp:lastModifiedBy>Oskar Stachowski</cp:lastModifiedBy>
  <cp:revision>7</cp:revision>
  <dcterms:created xsi:type="dcterms:W3CDTF">2013-12-23T23:15:00Z</dcterms:created>
  <dcterms:modified xsi:type="dcterms:W3CDTF">2026-05-20T07:33:00Z</dcterms:modified>
  <cp:category/>
</cp:coreProperties>
</file>