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E17115" w14:textId="77777777" w:rsidR="00F64CB7" w:rsidRDefault="00000000">
      <w:pPr>
        <w:keepNext/>
        <w:spacing w:after="240"/>
        <w:ind w:firstLine="0"/>
        <w:jc w:val="center"/>
      </w:pPr>
      <w:r>
        <w:rPr>
          <w:b/>
          <w:sz w:val="28"/>
        </w:rPr>
        <w:t>Rozdział 4. Projekt badania empirycznego i metodologia eksperymentu</w:t>
      </w:r>
    </w:p>
    <w:p w14:paraId="75BC0246" w14:textId="77777777" w:rsidR="00F64CB7" w:rsidRDefault="00000000">
      <w:r>
        <w:t>Celem rozdziału jest przedstawienie rzeczywiście zastosowanej procedury badawczej, która łączy aparat pojęciowy z rozdziałów 1–3 z ewaluacją wyników w rozdziale 5. Opis obejmuje konstrukcję historycznego uniwersum emitentów, pozyskanie informacji dostępnych w określonym czasie, definicję przyszłego pogorszenia kondycji finansowej, przygotowanie reprezentacji cech, konfigurację modeli klasycznych i kwantowych oraz reguły oceny. Rozdział nie powtarza teorii modeli ani nie interpretuje ich jakości. Zakres i kolejność etapów odpowiadają zamrożonym konfiguracjom, manifestom integralności oraz raportom wykonania</w:t>
      </w:r>
      <w:r>
        <w:rPr>
          <w:rStyle w:val="FootnoteReference"/>
          <w:sz w:val="24"/>
        </w:rPr>
        <w:footnoteReference w:id="1"/>
      </w:r>
      <w:r>
        <w:t>.</w:t>
      </w:r>
    </w:p>
    <w:p w14:paraId="48B03ADB" w14:textId="77777777" w:rsidR="00F64CB7" w:rsidRDefault="00000000">
      <w:r>
        <w:t xml:space="preserve">Badanie ma charakter predykcyjny. Każdy model otrzymuje dane finansowe dostępne po złożeniu raportu rocznego za rok t i zwraca wynik odnoszący się do wielowymiarowego pogorszenia kondycji pomiędzy latami t i t+1. Formalną jednostką obserwacji jest reprezentatywny ekonomiczny zakres sprawozdania za rok cech; w standardowym pojedynczym zgłoszeniu odpowiada on parze spółka–rok. Wszystkie zależności prezentowane w dalszej części pracy należy interpretować jako związki predykcyjne w próbie spełniającej kryteria selekcji, a nie jako efekty przyczynowe. Główną procedurę oraz zabezpieczenia przed wyciekiem informacji przedstawiono na rysunku </w:t>
      </w:r>
      <w:r>
        <w:fldChar w:fldCharType="begin"/>
      </w:r>
      <w:r>
        <w:instrText xml:space="preserve"> REF R4_Rysunek_4_1 \h </w:instrText>
      </w:r>
      <w:r>
        <w:fldChar w:fldCharType="separate"/>
      </w:r>
      <w:r>
        <w:t>4.1</w:t>
      </w:r>
      <w:r>
        <w:fldChar w:fldCharType="end"/>
      </w:r>
      <w:r>
        <w:t>.</w:t>
      </w:r>
    </w:p>
    <w:p w14:paraId="2BCEADF7" w14:textId="77777777" w:rsidR="00F64CB7" w:rsidRDefault="00000000">
      <w:pPr>
        <w:pStyle w:val="Caption"/>
        <w:ind w:firstLine="0"/>
      </w:pPr>
      <w:r>
        <w:lastRenderedPageBreak/>
        <w:t xml:space="preserve">Rysunek </w:t>
      </w:r>
      <w:bookmarkStart w:id="0" w:name="R4_Rysunek_4_1"/>
      <w:r>
        <w:t>4.</w:t>
      </w:r>
      <w:fldSimple w:instr=" SEQ Rysunek \* ARABIC \r 1 ">
        <w:r>
          <w:t>1</w:t>
        </w:r>
      </w:fldSimple>
      <w:bookmarkEnd w:id="0"/>
      <w:r>
        <w:t>. Schemat procedury badawczej i zabezpieczeń przed wyciekiem informacji</w:t>
      </w:r>
    </w:p>
    <w:p w14:paraId="32F49E5E" w14:textId="77777777" w:rsidR="00F64CB7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1228CFC" wp14:editId="45875D23">
            <wp:extent cx="5760000" cy="2951405"/>
            <wp:effectExtent l="0" t="0" r="0" b="0"/>
            <wp:docPr id="1" name="Picture 1" descr="Schemat procedury badawczej: historyczne uniwersum według zgłoszeń, cechy X_t, zmienna celu PIT-B, selekcja próby, walidacja czasowa, przetwarzanie w obrębie foldów, predykcje OOF i okresy chronione wraz z zabezpieczeniami przed wyciekiem informacji." title="Rysunek 4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pipeline_and_leakage_safeguard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5A7B" w14:textId="77777777" w:rsidR="00F64CB7" w:rsidRDefault="00000000">
      <w:pPr>
        <w:spacing w:before="40" w:after="120" w:line="240" w:lineRule="auto"/>
        <w:ind w:firstLine="0"/>
        <w:jc w:val="left"/>
      </w:pPr>
      <w:r>
        <w:rPr>
          <w:sz w:val="18"/>
        </w:rPr>
        <w:t>Źródło: opracowanie własne na podstawie zamrożonych specyfikacji i artefaktów wykonania projektu, wersja thesis_methodology_figures_v1_0_0.</w:t>
      </w:r>
    </w:p>
    <w:p w14:paraId="70D814D2" w14:textId="77777777" w:rsidR="00F64CB7" w:rsidRDefault="00000000">
      <w:pPr>
        <w:pStyle w:val="Heading1"/>
        <w:jc w:val="left"/>
      </w:pPr>
      <w:r>
        <w:rPr>
          <w:rFonts w:ascii="Times New Roman" w:hAnsi="Times New Roman" w:cs="Times New Roman"/>
        </w:rPr>
        <w:t>4.1. Źródła danych i zakres badania</w:t>
      </w:r>
    </w:p>
    <w:p w14:paraId="2CA3AAF6" w14:textId="77777777" w:rsidR="00F64CB7" w:rsidRDefault="00000000">
      <w:r>
        <w:t xml:space="preserve">Materiał empiryczny pochodzi z publicznego systemu EDGAR prowadzonego przez U.S. Securities and Exchange </w:t>
      </w:r>
      <w:proofErr w:type="spellStart"/>
      <w:r>
        <w:t>Commission</w:t>
      </w:r>
      <w:proofErr w:type="spellEnd"/>
      <w:r>
        <w:t xml:space="preserve"> (SEC). Z systemu pobierano indeksy zgłoszeń, metadane rejestracyjne oraz raporty i ustrukturyzowane fakty XBRL. Interfejsy i archiwa SEC udostępniają historię zgłoszeń oraz dane ze sprawozdań finansowych. Dokumentem kotwiczącym był oryginalny raport roczny Form 10-K, zawierający audytowane sprawozdania finansowe i opis działalności emitenta. Nie używano formularzy 10-K/A ani przejściowych 10-KT i 10-KT/A jako kotwic obserwacji. Funkcje poszczególnych źródeł zestawiono w tabeli </w:t>
      </w:r>
      <w:r>
        <w:fldChar w:fldCharType="begin"/>
      </w:r>
      <w:r>
        <w:instrText xml:space="preserve"> REF R4_Tabela_4_1 \h </w:instrText>
      </w:r>
      <w:r>
        <w:fldChar w:fldCharType="separate"/>
      </w:r>
      <w:r>
        <w:t>4.1</w:t>
      </w:r>
      <w:r>
        <w:fldChar w:fldCharType="end"/>
      </w:r>
      <w:r>
        <w:t>.</w:t>
      </w:r>
      <w:r>
        <w:rPr>
          <w:rStyle w:val="FootnoteReference"/>
          <w:sz w:val="24"/>
        </w:rPr>
        <w:footnoteReference w:id="2"/>
      </w:r>
      <w:r>
        <w:rPr>
          <w:rStyle w:val="FootnoteReference"/>
          <w:sz w:val="24"/>
        </w:rPr>
        <w:footnoteReference w:id="3"/>
      </w:r>
    </w:p>
    <w:p w14:paraId="1DE25DC9" w14:textId="77777777" w:rsidR="00F64CB7" w:rsidRDefault="00000000">
      <w:r>
        <w:t xml:space="preserve">Populację zbudowano w ujęciu </w:t>
      </w:r>
      <w:proofErr w:type="spellStart"/>
      <w:r>
        <w:t>filing-first</w:t>
      </w:r>
      <w:proofErr w:type="spellEnd"/>
      <w:r>
        <w:t xml:space="preserve">, rozpoczynając od historycznego spisu oryginalnych raportów 10-K, a nie od współczesnej listy </w:t>
      </w:r>
      <w:proofErr w:type="spellStart"/>
      <w:r>
        <w:t>tickerów</w:t>
      </w:r>
      <w:proofErr w:type="spellEnd"/>
      <w:r>
        <w:t>. Takie podejście ogranicza błąd przeżywalności i zapobiega przenoszeniu późniejszych informacji do wcześniejszych lat. Dla każdego identyfikatora CIK i roku obrotowego wybierano najwcześniejszy oryginalny 10-K według czasu przyjęcia przez SEC, następnie daty złożenia i numeru zgłoszenia (</w:t>
      </w:r>
      <w:proofErr w:type="spellStart"/>
      <w:r>
        <w:t>accession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). Lata cech obejmują 2011–2024; zakres pobierania zgłoszeń sięgał 2025 </w:t>
      </w:r>
      <w:r>
        <w:lastRenderedPageBreak/>
        <w:t>r., ponieważ raport za rok t może zostać złożony w następnym roku kalendarzowym. Specyfikację populacji zamrożono przed właściwym modelowaniem.</w:t>
      </w:r>
      <w:r>
        <w:rPr>
          <w:rStyle w:val="FootnoteReference"/>
          <w:sz w:val="24"/>
        </w:rPr>
        <w:footnoteReference w:id="4"/>
      </w:r>
      <w:r>
        <w:rPr>
          <w:rStyle w:val="FootnoteReference"/>
          <w:sz w:val="24"/>
        </w:rPr>
        <w:footnoteReference w:id="5"/>
      </w:r>
    </w:p>
    <w:p w14:paraId="1034A743" w14:textId="77777777" w:rsidR="00F64CB7" w:rsidRDefault="00000000">
      <w:pPr>
        <w:pStyle w:val="Caption"/>
        <w:ind w:firstLine="0"/>
      </w:pPr>
      <w:r>
        <w:t xml:space="preserve">Tabela </w:t>
      </w:r>
      <w:bookmarkStart w:id="1" w:name="R4_Tabela_4_1"/>
      <w:r>
        <w:t>4.</w:t>
      </w:r>
      <w:fldSimple w:instr=" SEQ Tabela \* ARABIC \r 1 ">
        <w:r>
          <w:t>1</w:t>
        </w:r>
      </w:fldSimple>
      <w:bookmarkEnd w:id="1"/>
      <w:r>
        <w:t>. Źródła danych i ich funkcja w konstrukcji zbioru</w:t>
      </w:r>
    </w:p>
    <w:tbl>
      <w:tblPr>
        <w:tblStyle w:val="TableGrid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F64CB7" w14:paraId="2DDB6F51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017481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17"/>
              </w:rPr>
              <w:t>Źródło</w:t>
            </w:r>
          </w:p>
        </w:tc>
        <w:tc>
          <w:tcPr>
            <w:tcW w:w="3402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DF576D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17"/>
              </w:rPr>
              <w:t>Zakres wykorzystania</w:t>
            </w:r>
          </w:p>
        </w:tc>
        <w:tc>
          <w:tcPr>
            <w:tcW w:w="3402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29ACEA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17"/>
              </w:rPr>
              <w:t>Zasada ograniczająca wyciek informacji</w:t>
            </w:r>
          </w:p>
        </w:tc>
      </w:tr>
      <w:tr w:rsidR="00F64CB7" w14:paraId="6373A5A1" w14:textId="77777777">
        <w:trPr>
          <w:cantSplit/>
          <w:jc w:val="center"/>
        </w:trPr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4A35E4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 xml:space="preserve">Kwartalne indeksy EDGAR </w:t>
            </w:r>
            <w:proofErr w:type="spellStart"/>
            <w:r>
              <w:rPr>
                <w:sz w:val="17"/>
              </w:rPr>
              <w:t>master.idx</w:t>
            </w:r>
            <w:proofErr w:type="spellEnd"/>
          </w:p>
        </w:tc>
        <w:tc>
          <w:tcPr>
            <w:tcW w:w="340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023FE5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Spis historycznych zgłoszeń i wybór kandydatów na kotwicę 10-K</w:t>
            </w:r>
          </w:p>
        </w:tc>
        <w:tc>
          <w:tcPr>
            <w:tcW w:w="340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5A2CC1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Wyszukiwanie w pełnej historii, bez odwołania do bieżącej listy spółek</w:t>
            </w:r>
          </w:p>
        </w:tc>
      </w:tr>
      <w:tr w:rsidR="00F64CB7" w14:paraId="33E0D16C" w14:textId="77777777">
        <w:trPr>
          <w:cantSplit/>
          <w:jc w:val="center"/>
        </w:trPr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A5F032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 xml:space="preserve">Financial Statement Data </w:t>
            </w:r>
            <w:proofErr w:type="spellStart"/>
            <w:r>
              <w:rPr>
                <w:sz w:val="17"/>
              </w:rPr>
              <w:t>Sets</w:t>
            </w:r>
            <w:proofErr w:type="spellEnd"/>
            <w:r>
              <w:rPr>
                <w:sz w:val="17"/>
              </w:rPr>
              <w:t xml:space="preserve"> — tabela SUB</w:t>
            </w:r>
          </w:p>
        </w:tc>
        <w:tc>
          <w:tcPr>
            <w:tcW w:w="340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FC9EC9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 xml:space="preserve">Numer </w:t>
            </w:r>
            <w:proofErr w:type="spellStart"/>
            <w:r>
              <w:rPr>
                <w:sz w:val="17"/>
              </w:rPr>
              <w:t>accession</w:t>
            </w:r>
            <w:proofErr w:type="spellEnd"/>
            <w:r>
              <w:rPr>
                <w:sz w:val="17"/>
              </w:rPr>
              <w:t xml:space="preserve">, formularz, CIK, rok obrotowy, czas przyjęcia i historyczny SIC głównego </w:t>
            </w:r>
            <w:proofErr w:type="spellStart"/>
            <w:r>
              <w:rPr>
                <w:sz w:val="17"/>
              </w:rPr>
              <w:t>rejestranta</w:t>
            </w:r>
            <w:proofErr w:type="spellEnd"/>
          </w:p>
        </w:tc>
        <w:tc>
          <w:tcPr>
            <w:tcW w:w="340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6438B9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 xml:space="preserve">Metadane z tego samego </w:t>
            </w:r>
            <w:proofErr w:type="spellStart"/>
            <w:r>
              <w:rPr>
                <w:sz w:val="17"/>
              </w:rPr>
              <w:t>accession</w:t>
            </w:r>
            <w:proofErr w:type="spellEnd"/>
            <w:r>
              <w:rPr>
                <w:sz w:val="17"/>
              </w:rPr>
              <w:t>; SIC z SUB tylko przy zgodności CIK</w:t>
            </w:r>
          </w:p>
        </w:tc>
      </w:tr>
      <w:tr w:rsidR="00F64CB7" w14:paraId="26264F4D" w14:textId="77777777">
        <w:trPr>
          <w:cantSplit/>
          <w:jc w:val="center"/>
        </w:trPr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CEE943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 xml:space="preserve">Nagłówek zgłoszenia tego samego </w:t>
            </w:r>
            <w:proofErr w:type="spellStart"/>
            <w:r>
              <w:rPr>
                <w:sz w:val="17"/>
              </w:rPr>
              <w:t>accession</w:t>
            </w:r>
            <w:proofErr w:type="spellEnd"/>
          </w:p>
        </w:tc>
        <w:tc>
          <w:tcPr>
            <w:tcW w:w="340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D77EB0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 xml:space="preserve">Bloki FILER, </w:t>
            </w:r>
            <w:proofErr w:type="spellStart"/>
            <w:r>
              <w:rPr>
                <w:sz w:val="17"/>
              </w:rPr>
              <w:t>współrejestranci</w:t>
            </w:r>
            <w:proofErr w:type="spellEnd"/>
            <w:r>
              <w:rPr>
                <w:sz w:val="17"/>
              </w:rPr>
              <w:t xml:space="preserve"> i rezerwowe metadane SIC</w:t>
            </w:r>
          </w:p>
        </w:tc>
        <w:tc>
          <w:tcPr>
            <w:tcW w:w="340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240D7C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 xml:space="preserve">SIC z właściwego bloku FILER dla </w:t>
            </w:r>
            <w:proofErr w:type="spellStart"/>
            <w:r>
              <w:rPr>
                <w:sz w:val="17"/>
              </w:rPr>
              <w:t>współrejestranta</w:t>
            </w:r>
            <w:proofErr w:type="spellEnd"/>
            <w:r>
              <w:rPr>
                <w:sz w:val="17"/>
              </w:rPr>
              <w:t xml:space="preserve"> lub gdy SUB nie dostarcza poprawnego SIC</w:t>
            </w:r>
          </w:p>
        </w:tc>
      </w:tr>
      <w:tr w:rsidR="00F64CB7" w14:paraId="772E0850" w14:textId="77777777">
        <w:trPr>
          <w:cantSplit/>
          <w:jc w:val="center"/>
        </w:trPr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BCFD30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Oryginalny 10-K i XBRL</w:t>
            </w:r>
          </w:p>
        </w:tc>
        <w:tc>
          <w:tcPr>
            <w:tcW w:w="340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49E777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Fakty z podstawowych sprawozdań finansowych oraz ich pochodzenie</w:t>
            </w:r>
          </w:p>
        </w:tc>
        <w:tc>
          <w:tcPr>
            <w:tcW w:w="340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418F95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 xml:space="preserve">Cechy </w:t>
            </w:r>
            <w:proofErr w:type="spellStart"/>
            <w:r>
              <w:rPr>
                <w:sz w:val="17"/>
              </w:rPr>
              <w:t>X_t</w:t>
            </w:r>
            <w:proofErr w:type="spellEnd"/>
            <w:r>
              <w:rPr>
                <w:sz w:val="17"/>
              </w:rPr>
              <w:t xml:space="preserve"> wyłącznie z kotwicy t; zmienna celu wyłącznie z kotwicy t+1</w:t>
            </w:r>
          </w:p>
        </w:tc>
      </w:tr>
      <w:tr w:rsidR="00F64CB7" w14:paraId="40D2A2A8" w14:textId="77777777">
        <w:trPr>
          <w:cantSplit/>
          <w:jc w:val="center"/>
        </w:trPr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01E650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SEC Company Facts API</w:t>
            </w:r>
          </w:p>
        </w:tc>
        <w:tc>
          <w:tcPr>
            <w:tcW w:w="340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ED71A4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 xml:space="preserve">Fakty </w:t>
            </w:r>
            <w:proofErr w:type="spellStart"/>
            <w:r>
              <w:rPr>
                <w:sz w:val="17"/>
              </w:rPr>
              <w:t>us-gaap</w:t>
            </w:r>
            <w:proofErr w:type="spellEnd"/>
            <w:r>
              <w:rPr>
                <w:sz w:val="17"/>
              </w:rPr>
              <w:t xml:space="preserve"> w USD używane do rozstrzygania siedmiu wielkości bazowych</w:t>
            </w:r>
          </w:p>
        </w:tc>
        <w:tc>
          <w:tcPr>
            <w:tcW w:w="340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2D6D9B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 xml:space="preserve">Akceptacja wyłącznie faktów przypisanych do dokładnego </w:t>
            </w:r>
            <w:proofErr w:type="spellStart"/>
            <w:r>
              <w:rPr>
                <w:sz w:val="17"/>
              </w:rPr>
              <w:t>accession</w:t>
            </w:r>
            <w:proofErr w:type="spellEnd"/>
            <w:r>
              <w:rPr>
                <w:sz w:val="17"/>
              </w:rPr>
              <w:t xml:space="preserve"> kotwicy; brak uzupełniania faktami z innych lub późniejszych zgłoszeń</w:t>
            </w:r>
          </w:p>
        </w:tc>
      </w:tr>
      <w:tr w:rsidR="00F64CB7" w14:paraId="77CB0CEE" w14:textId="77777777">
        <w:trPr>
          <w:cantSplit/>
          <w:jc w:val="center"/>
        </w:trPr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B6EE94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Oficjalna lista SIC SEC</w:t>
            </w:r>
          </w:p>
        </w:tc>
        <w:tc>
          <w:tcPr>
            <w:tcW w:w="340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EBA504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Opis kodów i zamrożona klasyfikacja sektorowa</w:t>
            </w:r>
          </w:p>
        </w:tc>
        <w:tc>
          <w:tcPr>
            <w:tcW w:w="340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267107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 xml:space="preserve">Źródło opisu kodu, </w:t>
            </w:r>
            <w:proofErr w:type="gramStart"/>
            <w:r>
              <w:rPr>
                <w:sz w:val="17"/>
              </w:rPr>
              <w:t>nie bieżącego</w:t>
            </w:r>
            <w:proofErr w:type="gramEnd"/>
            <w:r>
              <w:rPr>
                <w:sz w:val="17"/>
              </w:rPr>
              <w:t xml:space="preserve"> członkostwa spółki w sektorze</w:t>
            </w:r>
          </w:p>
        </w:tc>
      </w:tr>
    </w:tbl>
    <w:p w14:paraId="43BBFC2C" w14:textId="77777777" w:rsidR="00F64CB7" w:rsidRDefault="00000000">
      <w:pPr>
        <w:spacing w:before="40" w:after="120" w:line="240" w:lineRule="auto"/>
        <w:ind w:firstLine="0"/>
        <w:jc w:val="left"/>
      </w:pPr>
      <w:r>
        <w:rPr>
          <w:sz w:val="18"/>
        </w:rPr>
        <w:t xml:space="preserve">Źródło: opracowanie własne na podstawie dokumentacji SEC i zamrożonej specyfikacji </w:t>
      </w:r>
      <w:proofErr w:type="spellStart"/>
      <w:r>
        <w:rPr>
          <w:sz w:val="18"/>
        </w:rPr>
        <w:t>research_universe_pit</w:t>
      </w:r>
      <w:proofErr w:type="spellEnd"/>
      <w:r>
        <w:rPr>
          <w:sz w:val="18"/>
        </w:rPr>
        <w:t>.</w:t>
      </w:r>
    </w:p>
    <w:p w14:paraId="1DC60B9D" w14:textId="77777777" w:rsidR="00F64CB7" w:rsidRDefault="00000000">
      <w:r>
        <w:t xml:space="preserve">Historyczny kod SIC przypisywano na poziomie </w:t>
      </w:r>
      <w:proofErr w:type="spellStart"/>
      <w:r>
        <w:t>accession</w:t>
      </w:r>
      <w:proofErr w:type="spellEnd"/>
      <w:r>
        <w:t xml:space="preserve">. Dla zgodnego głównego CIK pierwszeństwo miał zapis w tabeli FSDS SUB tego samego </w:t>
      </w:r>
      <w:proofErr w:type="spellStart"/>
      <w:r>
        <w:t>accession</w:t>
      </w:r>
      <w:proofErr w:type="spellEnd"/>
      <w:r>
        <w:t xml:space="preserve">; właściwy blok FILER nagłówka zgłoszenia był źródłem dla </w:t>
      </w:r>
      <w:proofErr w:type="spellStart"/>
      <w:r>
        <w:t>współrejestrantów</w:t>
      </w:r>
      <w:proofErr w:type="spellEnd"/>
      <w:r>
        <w:t xml:space="preserve"> oraz źródłem rezerwowym, gdy SUB nie dostarczał poprawnego SIC. Brak kodu, konflikt źródeł albo niemożność przypisania go do właściwego </w:t>
      </w:r>
      <w:proofErr w:type="spellStart"/>
      <w:r>
        <w:t>współemitenta</w:t>
      </w:r>
      <w:proofErr w:type="spellEnd"/>
      <w:r>
        <w:t xml:space="preserve"> prowadziły do statusu </w:t>
      </w:r>
      <w:proofErr w:type="spellStart"/>
      <w:r>
        <w:t>ambiguous</w:t>
      </w:r>
      <w:proofErr w:type="spellEnd"/>
      <w:r>
        <w:t xml:space="preserve">; nie stosowano bieżącego kodu SIC jako uzupełnienia. Najpierw wyłączano finanse, ubezpieczenia i nieruchomości (SIC 6000–6799) oraz przedsiębiorstwa użyteczności publicznej (4900–4999). Następnie, zgodnie z kolejnością reguł, do zakresu włączano: technologię (3570–3579, 3660–3669, 3670–3679, 3810–3819, 3820–3829 i 7370–7379), handel detaliczny (5200–5999), przemysł i produkcję (2000–3999) oraz grupę rozszerzoną obejmującą usługi zdrowotne (8000–8099), pozostałe usługi (7000–8999), handel hurtowy (5000–5199), budownictwo (1500–1799), transport i komunikację (4000–4899), a także energetykę i górnictwo (1000–1499). Regułę technologiczną spełniał również historyczny opis SIC zawierający co najmniej jedno z wyrażeń: </w:t>
      </w:r>
      <w:proofErr w:type="spellStart"/>
      <w:r>
        <w:t>computer</w:t>
      </w:r>
      <w:proofErr w:type="spellEnd"/>
      <w:r>
        <w:t xml:space="preserve">, software, semiconductor, data processing, electronic lub </w:t>
      </w:r>
      <w:proofErr w:type="spellStart"/>
      <w:r>
        <w:t>communications</w:t>
      </w:r>
      <w:proofErr w:type="spellEnd"/>
      <w:r>
        <w:t xml:space="preserve"> </w:t>
      </w:r>
      <w:proofErr w:type="spellStart"/>
      <w:r>
        <w:t>equipment</w:t>
      </w:r>
      <w:proofErr w:type="spellEnd"/>
      <w:r>
        <w:t xml:space="preserve">. Pierwsza pasująca reguła wyznaczała </w:t>
      </w:r>
      <w:r>
        <w:lastRenderedPageBreak/>
        <w:t xml:space="preserve">kategorię, a obserwacje niepasujące do żadnego zakresu włączenia otrzymywały status </w:t>
      </w:r>
      <w:proofErr w:type="spellStart"/>
      <w:r>
        <w:t>excluded</w:t>
      </w:r>
      <w:proofErr w:type="spellEnd"/>
      <w:r>
        <w:t xml:space="preserve"> jako pozostające poza zakresem badania.</w:t>
      </w:r>
    </w:p>
    <w:p w14:paraId="51B84187" w14:textId="77777777" w:rsidR="00F64CB7" w:rsidRDefault="00000000">
      <w:r>
        <w:t xml:space="preserve">W przypadku wspólnych zgłoszeń jednostkę analizy wyznaczał ekonomiczny zakres sprawozdań. Jeżeli kilku </w:t>
      </w:r>
      <w:proofErr w:type="spellStart"/>
      <w:r>
        <w:t>rejestrantów</w:t>
      </w:r>
      <w:proofErr w:type="spellEnd"/>
      <w:r>
        <w:t xml:space="preserve"> korzystało z tych samych skonsolidowanych sprawozdań, zachowywano najwyżej jednego reprezentanta; odrębne sprawozdania pozwalały na utworzenie odrębnych obserwacji. Identyfikator </w:t>
      </w:r>
      <w:proofErr w:type="spellStart"/>
      <w:r>
        <w:t>economic_statement_scope_id</w:t>
      </w:r>
      <w:proofErr w:type="spellEnd"/>
      <w:r>
        <w:t xml:space="preserve"> służył do kontroli duplikatów sprawozdań, natomiast </w:t>
      </w:r>
      <w:proofErr w:type="spellStart"/>
      <w:r>
        <w:t>economic_group_id</w:t>
      </w:r>
      <w:proofErr w:type="spellEnd"/>
      <w:r>
        <w:t xml:space="preserve"> pozostawał </w:t>
      </w:r>
      <w:proofErr w:type="spellStart"/>
      <w:r>
        <w:t>metadaną</w:t>
      </w:r>
      <w:proofErr w:type="spellEnd"/>
      <w:r>
        <w:t xml:space="preserve"> grupującą. Wykorzystywano go w </w:t>
      </w:r>
      <w:proofErr w:type="spellStart"/>
      <w:r>
        <w:t>bootstrapie</w:t>
      </w:r>
      <w:proofErr w:type="spellEnd"/>
      <w:r>
        <w:t xml:space="preserve"> klastrowym, diagnostyce zależności i przecieku oraz w wariancie odporności usuwającym grupy przecinające trening i walidację. Nie wymuszał on rozłączności grup w głównej walidacji czasowej. Żaden z tych identyfikatorów, podobnie jak sektor i SIC, nie był cechą predykcyjną.</w:t>
      </w:r>
      <w:r>
        <w:rPr>
          <w:rStyle w:val="FootnoteReference"/>
          <w:sz w:val="24"/>
        </w:rPr>
        <w:footnoteReference w:id="6"/>
      </w:r>
    </w:p>
    <w:p w14:paraId="24B6BA6D" w14:textId="77777777" w:rsidR="00F64CB7" w:rsidRDefault="00000000">
      <w:r>
        <w:t xml:space="preserve">Ostateczny spis zawierał 103 099 kotwic raportowanych skrótowo jako spółka–rok: 64 901 ze statusem </w:t>
      </w:r>
      <w:proofErr w:type="spellStart"/>
      <w:r>
        <w:t>eligible</w:t>
      </w:r>
      <w:proofErr w:type="spellEnd"/>
      <w:r>
        <w:t xml:space="preserve"> (kwalifikujące), 36 659 ze statusem </w:t>
      </w:r>
      <w:proofErr w:type="spellStart"/>
      <w:r>
        <w:t>excluded</w:t>
      </w:r>
      <w:proofErr w:type="spellEnd"/>
      <w:r>
        <w:t xml:space="preserve"> (wykluczone), a 1 539 ze statusem </w:t>
      </w:r>
      <w:proofErr w:type="spellStart"/>
      <w:r>
        <w:t>ambiguous</w:t>
      </w:r>
      <w:proofErr w:type="spellEnd"/>
      <w:r>
        <w:t xml:space="preserve"> (niejednoznaczne). Zbiór </w:t>
      </w:r>
      <w:proofErr w:type="spellStart"/>
      <w:r>
        <w:t>eligible</w:t>
      </w:r>
      <w:proofErr w:type="spellEnd"/>
      <w:r>
        <w:t xml:space="preserve"> obejmował 9 798 unikatowych CIK, 9 739 grup ekonomicznych oraz 610 obserwacji pochodzących ze wspólnych zgłoszeń. Liczby te opisują bazowe uniwersum; do uczenia nadzorowanego wchodziły dopiero obserwacje z dostępną etykietą i akceptowanym statusem cech.</w:t>
      </w:r>
    </w:p>
    <w:p w14:paraId="111AAE09" w14:textId="77777777" w:rsidR="00F64CB7" w:rsidRDefault="00000000">
      <w:r>
        <w:t>Role okresów ustalono przed otwarciem ich pełnych wyników. Lata 2011–2020 tworzyły główną próbę treningowo-walidacyjną, lata 2021–2022 — okres rozwojowy z wcześniejszą ekspozycją projektową, traktowany następnie jako zużyty materiał rozwojowy (</w:t>
      </w:r>
      <w:proofErr w:type="spellStart"/>
      <w:r>
        <w:t>spent</w:t>
      </w:r>
      <w:proofErr w:type="spellEnd"/>
      <w:r>
        <w:t xml:space="preserve"> development), a lata 2023–2024 — czasowy zbiór odłożony (</w:t>
      </w:r>
      <w:proofErr w:type="spellStart"/>
      <w:r>
        <w:t>temporal</w:t>
      </w:r>
      <w:proofErr w:type="spellEnd"/>
      <w:r>
        <w:t xml:space="preserve"> </w:t>
      </w:r>
      <w:proofErr w:type="spellStart"/>
      <w:r>
        <w:t>holdout</w:t>
      </w:r>
      <w:proofErr w:type="spellEnd"/>
      <w:r>
        <w:t>) z obowiązkowym ujawnieniem wcześniejszej ekspozycji. Dostęp do danych, etykiet i wyników okresów chronionych podlegał wersjonowanym bramkom oraz zakazowi zmiany zamrożonej metody na podstawie ich rezultatów.</w:t>
      </w:r>
      <w:r>
        <w:rPr>
          <w:rStyle w:val="FootnoteReference"/>
          <w:sz w:val="24"/>
        </w:rPr>
        <w:footnoteReference w:id="7"/>
      </w:r>
    </w:p>
    <w:p w14:paraId="479338DB" w14:textId="77777777" w:rsidR="00F64CB7" w:rsidRDefault="00000000">
      <w:pPr>
        <w:pStyle w:val="Heading1"/>
        <w:jc w:val="left"/>
      </w:pPr>
      <w:r>
        <w:rPr>
          <w:rFonts w:ascii="Times New Roman" w:hAnsi="Times New Roman" w:cs="Times New Roman"/>
        </w:rPr>
        <w:t>4.2. Przygotowanie danych i konstrukcja zmiennej celu</w:t>
      </w:r>
    </w:p>
    <w:p w14:paraId="75F8FC20" w14:textId="77777777" w:rsidR="00F64CB7" w:rsidRDefault="00000000">
      <w:r>
        <w:t xml:space="preserve">Zmienna celu mierzy istotne, jednoroczne i wielowymiarowe pogorszenie kondycji finansowej spółki pomiędzy latami t i t+1. Nie jest etykietą bankructwa, niewypłacalności, oszustwa ani manipulacji sprawozdawczej. Konstrukcja opiera się na pięciu binarnych sygnałach odnoszących się do rentowności, przepływów operacyjnych, płynności, zadłużenia </w:t>
      </w:r>
      <w:r>
        <w:lastRenderedPageBreak/>
        <w:t xml:space="preserve">i przychodów. Warunki sygnałów zestawiono w tabeli </w:t>
      </w:r>
      <w:r>
        <w:fldChar w:fldCharType="begin"/>
      </w:r>
      <w:r>
        <w:instrText xml:space="preserve"> REF R4_Tabela_4_2 \h </w:instrText>
      </w:r>
      <w:r>
        <w:fldChar w:fldCharType="separate"/>
      </w:r>
      <w:r>
        <w:t>4.2</w:t>
      </w:r>
      <w:r>
        <w:fldChar w:fldCharType="end"/>
      </w:r>
      <w:r>
        <w:t>; progi oraz regułę agregacji zamrożono przed dopasowaniem modeli.</w:t>
      </w:r>
      <w:r>
        <w:rPr>
          <w:rStyle w:val="FootnoteReference"/>
          <w:sz w:val="24"/>
        </w:rPr>
        <w:footnoteReference w:id="8"/>
      </w:r>
    </w:p>
    <w:p w14:paraId="6BED5E45" w14:textId="77777777" w:rsidR="00F64CB7" w:rsidRDefault="00000000">
      <w:pPr>
        <w:pStyle w:val="Caption"/>
        <w:ind w:firstLine="0"/>
      </w:pPr>
      <w:r>
        <w:t xml:space="preserve">Tabela </w:t>
      </w:r>
      <w:bookmarkStart w:id="2" w:name="R4_Tabela_4_2"/>
      <w:r>
        <w:t>4.</w:t>
      </w:r>
      <w:fldSimple w:instr=" SEQ Tabela \* ARABIC ">
        <w:r>
          <w:t>2</w:t>
        </w:r>
      </w:fldSimple>
      <w:bookmarkEnd w:id="2"/>
      <w:r>
        <w:t>. Sygnały składające się na zmienną celu</w:t>
      </w:r>
    </w:p>
    <w:tbl>
      <w:tblPr>
        <w:tblStyle w:val="TableGrid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061"/>
        <w:gridCol w:w="4309"/>
      </w:tblGrid>
      <w:tr w:rsidR="00F64CB7" w14:paraId="2B8A629B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4666A5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17"/>
              </w:rPr>
              <w:t>Sygnał</w:t>
            </w:r>
          </w:p>
        </w:tc>
        <w:tc>
          <w:tcPr>
            <w:tcW w:w="3061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DC78E0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17"/>
              </w:rPr>
              <w:t>Warunek przyjęcia wartości 1</w:t>
            </w:r>
          </w:p>
        </w:tc>
        <w:tc>
          <w:tcPr>
            <w:tcW w:w="4309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15CDF1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17"/>
              </w:rPr>
              <w:t>Interpretowany wymiar pogorszenia</w:t>
            </w:r>
          </w:p>
        </w:tc>
      </w:tr>
      <w:tr w:rsidR="00F64CB7" w14:paraId="3A7A6051" w14:textId="77777777">
        <w:trPr>
          <w:cantSplit/>
          <w:jc w:val="center"/>
        </w:trPr>
        <w:tc>
          <w:tcPr>
            <w:tcW w:w="170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F595CB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D1_ROA</w:t>
            </w:r>
          </w:p>
        </w:tc>
        <w:tc>
          <w:tcPr>
            <w:tcW w:w="306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808382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ROAₜ₊₁ − ROAₜ ≤ −0,03</w:t>
            </w:r>
          </w:p>
        </w:tc>
        <w:tc>
          <w:tcPr>
            <w:tcW w:w="4309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41E852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 xml:space="preserve">Spadek rentowności aktywów o co najmniej 3 </w:t>
            </w:r>
            <w:proofErr w:type="spellStart"/>
            <w:r>
              <w:rPr>
                <w:sz w:val="17"/>
              </w:rPr>
              <w:t>p.p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64CB7" w14:paraId="1354EB6D" w14:textId="77777777">
        <w:trPr>
          <w:cantSplit/>
          <w:jc w:val="center"/>
        </w:trPr>
        <w:tc>
          <w:tcPr>
            <w:tcW w:w="170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CDC4B1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D2_OCF/assets</w:t>
            </w:r>
          </w:p>
        </w:tc>
        <w:tc>
          <w:tcPr>
            <w:tcW w:w="306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FF75CC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OCF/assetsₜ₊₁ − OCF/assetsₜ ≤ −0,03</w:t>
            </w:r>
          </w:p>
        </w:tc>
        <w:tc>
          <w:tcPr>
            <w:tcW w:w="4309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56CF20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 xml:space="preserve">Spadek operacyjnej zdolności generowania gotówki o co najmniej 3 </w:t>
            </w:r>
            <w:proofErr w:type="spellStart"/>
            <w:r>
              <w:rPr>
                <w:sz w:val="17"/>
              </w:rPr>
              <w:t>p.p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64CB7" w14:paraId="0B05C149" w14:textId="77777777">
        <w:trPr>
          <w:cantSplit/>
          <w:jc w:val="center"/>
        </w:trPr>
        <w:tc>
          <w:tcPr>
            <w:tcW w:w="170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D85E2F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D3_current_ratio</w:t>
            </w:r>
          </w:p>
        </w:tc>
        <w:tc>
          <w:tcPr>
            <w:tcW w:w="306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A203A4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current ratioₜ₊₁ / current ratioₜ ≤ 0,80</w:t>
            </w:r>
          </w:p>
        </w:tc>
        <w:tc>
          <w:tcPr>
            <w:tcW w:w="4309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72B139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Spadek wskaźnika płynności bieżącej o co najmniej 20%</w:t>
            </w:r>
          </w:p>
        </w:tc>
      </w:tr>
      <w:tr w:rsidR="00F64CB7" w14:paraId="71DD215A" w14:textId="77777777">
        <w:trPr>
          <w:cantSplit/>
          <w:jc w:val="center"/>
        </w:trPr>
        <w:tc>
          <w:tcPr>
            <w:tcW w:w="170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D4BE5F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D4_liabilities/assets</w:t>
            </w:r>
          </w:p>
        </w:tc>
        <w:tc>
          <w:tcPr>
            <w:tcW w:w="306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982CD5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liabilities/assetsₜ₊₁ − liabilities/assetsₜ ≥ 0,10</w:t>
            </w:r>
          </w:p>
        </w:tc>
        <w:tc>
          <w:tcPr>
            <w:tcW w:w="4309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FCDDFE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 xml:space="preserve">Wzrost udziału zobowiązań w aktywach o co najmniej 10 </w:t>
            </w:r>
            <w:proofErr w:type="spellStart"/>
            <w:r>
              <w:rPr>
                <w:sz w:val="17"/>
              </w:rPr>
              <w:t>p.p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64CB7" w14:paraId="0AFABBD1" w14:textId="77777777">
        <w:trPr>
          <w:cantSplit/>
          <w:jc w:val="center"/>
        </w:trPr>
        <w:tc>
          <w:tcPr>
            <w:tcW w:w="170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556FDB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D5_revenues</w:t>
            </w:r>
          </w:p>
        </w:tc>
        <w:tc>
          <w:tcPr>
            <w:tcW w:w="306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B10FA2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revenuesₜ₊₁ / revenuesₜ − 1 ≤ −0,10</w:t>
            </w:r>
          </w:p>
        </w:tc>
        <w:tc>
          <w:tcPr>
            <w:tcW w:w="4309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B182FB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Spadek przychodów o co najmniej 10%</w:t>
            </w:r>
          </w:p>
        </w:tc>
      </w:tr>
    </w:tbl>
    <w:p w14:paraId="5003F23A" w14:textId="77777777" w:rsidR="00F64CB7" w:rsidRDefault="00000000">
      <w:pPr>
        <w:spacing w:before="40" w:after="120" w:line="240" w:lineRule="auto"/>
        <w:ind w:firstLine="0"/>
        <w:jc w:val="left"/>
      </w:pPr>
      <w:r>
        <w:rPr>
          <w:sz w:val="18"/>
        </w:rPr>
        <w:t>Źródło: opracowanie własne na podstawie zamrożonej specyfikacji target_candidate_v2_pit_b.</w:t>
      </w:r>
    </w:p>
    <w:p w14:paraId="427088D7" w14:textId="77777777" w:rsidR="00F64CB7" w:rsidRDefault="00000000">
      <w:r>
        <w:t xml:space="preserve">Dla obserwacji z kompletem poprawnie </w:t>
      </w:r>
      <w:proofErr w:type="spellStart"/>
      <w:r>
        <w:t>zwalidowanych</w:t>
      </w:r>
      <w:proofErr w:type="spellEnd"/>
      <w:r>
        <w:t xml:space="preserve"> sygnałów obliczano wynik pogorszenia jako ich sumę. Etykieta pozytywna wymagała wystąpienia co najmniej trzech z pięciu niekorzystnych zmian:</w:t>
      </w:r>
    </w:p>
    <w:p w14:paraId="723E7DEA" w14:textId="77777777" w:rsidR="00F64CB7" w:rsidRPr="00431573" w:rsidRDefault="00000000">
      <w:pPr>
        <w:tabs>
          <w:tab w:val="center" w:pos="4535"/>
          <w:tab w:val="right" w:pos="9071"/>
        </w:tabs>
        <w:spacing w:before="80" w:after="80" w:line="240" w:lineRule="auto"/>
        <w:ind w:firstLine="0"/>
        <w:jc w:val="left"/>
        <w:rPr>
          <w:lang w:val="en-US"/>
        </w:rPr>
      </w:pPr>
      <w:r>
        <w:tab/>
      </w:r>
      <w:r w:rsidRPr="00431573">
        <w:rPr>
          <w:lang w:val="en-US"/>
        </w:rPr>
        <w:t>deterioration_score</w:t>
      </w:r>
      <w:r>
        <w:t>ᵢ</w:t>
      </w:r>
      <w:r w:rsidRPr="00431573">
        <w:rPr>
          <w:lang w:val="en-US"/>
        </w:rPr>
        <w:t>,ₜ = D1</w:t>
      </w:r>
      <w:r>
        <w:t>ᵢ</w:t>
      </w:r>
      <w:r w:rsidRPr="00431573">
        <w:rPr>
          <w:lang w:val="en-US"/>
        </w:rPr>
        <w:t>,ₜ + D2</w:t>
      </w:r>
      <w:r>
        <w:t>ᵢ</w:t>
      </w:r>
      <w:r w:rsidRPr="00431573">
        <w:rPr>
          <w:lang w:val="en-US"/>
        </w:rPr>
        <w:t>,ₜ + D3</w:t>
      </w:r>
      <w:r>
        <w:t>ᵢ</w:t>
      </w:r>
      <w:r w:rsidRPr="00431573">
        <w:rPr>
          <w:lang w:val="en-US"/>
        </w:rPr>
        <w:t>,ₜ + D4</w:t>
      </w:r>
      <w:r>
        <w:t>ᵢ</w:t>
      </w:r>
      <w:r w:rsidRPr="00431573">
        <w:rPr>
          <w:lang w:val="en-US"/>
        </w:rPr>
        <w:t>,ₜ + D5</w:t>
      </w:r>
      <w:proofErr w:type="gramStart"/>
      <w:r>
        <w:t>ᵢ</w:t>
      </w:r>
      <w:r w:rsidRPr="00431573">
        <w:rPr>
          <w:lang w:val="en-US"/>
        </w:rPr>
        <w:t>,ₜ,</w:t>
      </w:r>
      <w:proofErr w:type="gramEnd"/>
      <w:r w:rsidRPr="00431573">
        <w:rPr>
          <w:lang w:val="en-US"/>
        </w:rPr>
        <w:tab/>
        <w:t>(4.1)</w:t>
      </w:r>
    </w:p>
    <w:p w14:paraId="627163BB" w14:textId="77777777" w:rsidR="00F64CB7" w:rsidRDefault="00000000">
      <w:pPr>
        <w:tabs>
          <w:tab w:val="center" w:pos="4535"/>
          <w:tab w:val="right" w:pos="9071"/>
        </w:tabs>
        <w:spacing w:before="80" w:after="80" w:line="240" w:lineRule="auto"/>
        <w:ind w:firstLine="0"/>
        <w:jc w:val="left"/>
      </w:pPr>
      <w:r w:rsidRPr="00431573">
        <w:rPr>
          <w:lang w:val="en-US"/>
        </w:rPr>
        <w:tab/>
      </w:r>
      <w:r>
        <w:t>Yᵢ,ₜ = 1[</w:t>
      </w:r>
      <w:proofErr w:type="spellStart"/>
      <w:r>
        <w:t>deterioration_score</w:t>
      </w:r>
      <w:proofErr w:type="spellEnd"/>
      <w:r>
        <w:t>ᵢ,ₜ ≥ 3].</w:t>
      </w:r>
      <w:r>
        <w:tab/>
        <w:t>(4.2)</w:t>
      </w:r>
    </w:p>
    <w:p w14:paraId="330BE22A" w14:textId="77777777" w:rsidR="00F64CB7" w:rsidRDefault="00000000">
      <w:r>
        <w:t>Sygnał niespełniający progu otrzymywał wartość 0 wyłącznie wtedy, gdy obie wartości potrzebne do porównania były dostępne i poprawne ekonomicznie. Braku, niejednoznaczności albo niepoprawnego mianownika nie utożsamiano z brakiem pogorszenia. Do obliczenia głównej etykiety wymagano wszystkich pięciu sygnałów; w przeciwnym razie zmienna celu pozostawała niedostępna.</w:t>
      </w:r>
    </w:p>
    <w:p w14:paraId="69F027F1" w14:textId="77777777" w:rsidR="00F64CB7" w:rsidRDefault="00000000">
      <w:r>
        <w:t>Dla wartości skalujących i baz porównań używanych przy konstrukcji etykiety wymagano wartości ściśle dodatnich i przekraczających 1 000 USD w obu porównywanych okresach. Dotyczyło to aktywów, zobowiązań krótkoterminowych i przychodów, a więc również przychodów t+1, które w relacji dynamiki są licznikiem. W sygnale płynności dodatkowo wymagano current ratioₜ &gt; 0 oraz current ratioₜ₊₁ ≥ 0. Konteksty przepływowe musiały obejmować od 300 do 400 dni, a początki porównywanych okresów mogły różnić się najwyżej o 14 dni.</w:t>
      </w:r>
    </w:p>
    <w:p w14:paraId="3D393BB7" w14:textId="77777777" w:rsidR="00F64CB7" w:rsidRDefault="00000000">
      <w:r>
        <w:t xml:space="preserve">Zmienną celu zbudowano według polityki point-in-time B (PIT-B). Kotwicą był najwcześniejszy oryginalny 10-K za rok t+1. Wartości bieżące t+1 oraz porównawcze t pochodziły z tego samego </w:t>
      </w:r>
      <w:proofErr w:type="spellStart"/>
      <w:r>
        <w:t>accession</w:t>
      </w:r>
      <w:proofErr w:type="spellEnd"/>
      <w:r>
        <w:t xml:space="preserve"> i zgodnych rocznych kontekstów XBRL. Wyłączono późniejsze korekty, raporty 10-K/A i fakty z innych zgłoszeń. Standardowe lata 52- i 53-tygodniowe były dopuszczalne, natomiast nierozstrzygnięty okres przejściowy powodował </w:t>
      </w:r>
      <w:r>
        <w:lastRenderedPageBreak/>
        <w:t>brak etykiety, a potwierdzona zmiana poprzednika księgowego lub jednostki sprawozdawczej — twarde wykluczenie.</w:t>
      </w:r>
    </w:p>
    <w:p w14:paraId="57B4BC49" w14:textId="77777777" w:rsidR="00F64CB7" w:rsidRDefault="00000000">
      <w:r>
        <w:t xml:space="preserve">Szczególnie restrykcyjnie rozstrzygano przychody. Procedura rozstrzygająca przychody (resolver) akceptowała wyłącznie tę samą standardową koncepcję XBRL dla wartości bieżącej i porównawczej, jednoznacznie potwierdzoną jako skonsolidowana pozycja roczna w podstawowym rachunku wyników danego </w:t>
      </w:r>
      <w:proofErr w:type="spellStart"/>
      <w:r>
        <w:t>accession</w:t>
      </w:r>
      <w:proofErr w:type="spellEnd"/>
      <w:r>
        <w:t>. Pozycje segmentowe, projektowe, dotyczące współpracy, niezafakturowanych przychodów lub wyłącznie not objaśniających nie mogły zastąpić przychodów emitenta; brak jednoznaczności prowadził do braku wartości (NA).</w:t>
      </w:r>
      <w:r>
        <w:rPr>
          <w:rStyle w:val="FootnoteReference"/>
          <w:sz w:val="24"/>
        </w:rPr>
        <w:footnoteReference w:id="9"/>
      </w:r>
    </w:p>
    <w:p w14:paraId="4BA8306F" w14:textId="77777777" w:rsidR="00F64CB7" w:rsidRDefault="00000000">
      <w:r>
        <w:t xml:space="preserve">Po zbudowaniu zmiennej celu kryteria próby nadzorowanej wymagały jednocześnie statusu </w:t>
      </w:r>
      <w:proofErr w:type="spellStart"/>
      <w:r>
        <w:t>eligible</w:t>
      </w:r>
      <w:proofErr w:type="spellEnd"/>
      <w:r>
        <w:t xml:space="preserve">, dostępnej etykiety oraz akceptowanego statusu </w:t>
      </w:r>
      <w:proofErr w:type="spellStart"/>
      <w:r>
        <w:t>X_t</w:t>
      </w:r>
      <w:proofErr w:type="spellEnd"/>
      <w:r>
        <w:t xml:space="preserve">. Status </w:t>
      </w:r>
      <w:proofErr w:type="spellStart"/>
      <w:r>
        <w:t>available_core</w:t>
      </w:r>
      <w:proofErr w:type="spellEnd"/>
      <w:r>
        <w:t xml:space="preserve"> oznaczał dostępność wszystkich siedmiu cech bloku L, a </w:t>
      </w:r>
      <w:proofErr w:type="spellStart"/>
      <w:r>
        <w:t>partially_available</w:t>
      </w:r>
      <w:proofErr w:type="spellEnd"/>
      <w:r>
        <w:t xml:space="preserve"> — dostępność co najmniej jednej z 17 cech. W latach 2011–2020 bazowe uniwersum obejmowało 47 938 obserwacji. Warunek dostępności porównywalnej etykiety wyeliminował 28 154 obserwacje, a filtr akceptowanego statusu </w:t>
      </w:r>
      <w:proofErr w:type="spellStart"/>
      <w:r>
        <w:t>X_t</w:t>
      </w:r>
      <w:proofErr w:type="spellEnd"/>
      <w:r>
        <w:t xml:space="preserve"> kolejne 113, pozostawiając 19 671 obserwacji w głównej próbie. Przepływ selekcji przedstawiono na wykresie </w:t>
      </w:r>
      <w:r>
        <w:fldChar w:fldCharType="begin"/>
      </w:r>
      <w:r>
        <w:instrText xml:space="preserve"> REF R4_Wykres_4_1 \h </w:instrText>
      </w:r>
      <w:r>
        <w:fldChar w:fldCharType="separate"/>
      </w:r>
      <w:r>
        <w:t>4.1</w:t>
      </w:r>
      <w:r>
        <w:fldChar w:fldCharType="end"/>
      </w:r>
      <w:r>
        <w:t>.</w:t>
      </w:r>
    </w:p>
    <w:p w14:paraId="0E56EC17" w14:textId="77777777" w:rsidR="00F64CB7" w:rsidRDefault="00000000">
      <w:r>
        <w:t xml:space="preserve">W całym uniwersum </w:t>
      </w:r>
      <w:proofErr w:type="spellStart"/>
      <w:r>
        <w:t>eligible</w:t>
      </w:r>
      <w:proofErr w:type="spellEnd"/>
      <w:r>
        <w:t xml:space="preserve"> z lat 2011–2024 etykieta była dostępna dla 26 602 z 64 901 obserwacji (40,99%). Dla lat 2011–2020 dostępność po samym warunku etykiety wynosiła 19 784 z 47 938 obserwacji (41,27%), natomiast po dodatkowym warunku </w:t>
      </w:r>
      <w:proofErr w:type="spellStart"/>
      <w:r>
        <w:t>X_t</w:t>
      </w:r>
      <w:proofErr w:type="spellEnd"/>
      <w:r>
        <w:t xml:space="preserve"> — 19 671 z 47 938 (41,03%). Ostateczny </w:t>
      </w:r>
      <w:proofErr w:type="spellStart"/>
      <w:r>
        <w:t>estymand</w:t>
      </w:r>
      <w:proofErr w:type="spellEnd"/>
      <w:r>
        <w:t xml:space="preserve"> dotyczy warunkowej populacji obserwacji należących do historycznego uniwersum </w:t>
      </w:r>
      <w:proofErr w:type="spellStart"/>
      <w:r>
        <w:t>filing-first</w:t>
      </w:r>
      <w:proofErr w:type="spellEnd"/>
      <w:r>
        <w:t xml:space="preserve">, mających porównywalną etykietę PIT-B, akceptowany status </w:t>
      </w:r>
      <w:proofErr w:type="spellStart"/>
      <w:r>
        <w:t>X_t</w:t>
      </w:r>
      <w:proofErr w:type="spellEnd"/>
      <w:r>
        <w:t xml:space="preserve"> i właściwą rolę okresu. Miary nie były korygowane o mechanizm selekcji, co stanowi jawne ograniczenie badania.</w:t>
      </w:r>
      <w:r>
        <w:rPr>
          <w:rStyle w:val="FootnoteReference"/>
          <w:sz w:val="24"/>
        </w:rPr>
        <w:footnoteReference w:id="10"/>
      </w:r>
    </w:p>
    <w:p w14:paraId="37ABF90F" w14:textId="77777777" w:rsidR="00F64CB7" w:rsidRDefault="00000000">
      <w:pPr>
        <w:pStyle w:val="Caption"/>
        <w:ind w:firstLine="0"/>
      </w:pPr>
      <w:r>
        <w:lastRenderedPageBreak/>
        <w:t xml:space="preserve">Wykres </w:t>
      </w:r>
      <w:bookmarkStart w:id="3" w:name="R4_Wykres_4_1"/>
      <w:r>
        <w:t>4.</w:t>
      </w:r>
      <w:fldSimple w:instr=" SEQ Wykres \* ARABIC \r 1 ">
        <w:r>
          <w:t>1</w:t>
        </w:r>
      </w:fldSimple>
      <w:bookmarkEnd w:id="3"/>
      <w:r>
        <w:t>. Kaskadowy przebieg selekcji głównej próby modelowej w latach 2011–2020</w:t>
      </w:r>
    </w:p>
    <w:p w14:paraId="5B7E91F5" w14:textId="77777777" w:rsidR="00F64CB7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50CED64" wp14:editId="0BFC01D4">
            <wp:extent cx="5688000" cy="3836035"/>
            <wp:effectExtent l="0" t="0" r="0" b="0"/>
            <wp:docPr id="2" name="Picture 2" descr="Wykres kaskadowy selekcji próby: 47 938 obserwacji bazowych, odjęcie 28 154 obserwacji bez zmiennej celu i 113 bez akceptowanego statusu X_t, a następnie 19 671 obserwacji w finalnej próbie, czyli 41,03 procent puli z lat 2011–2020." title="Wykres 4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sample_selection_waterf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5838" w14:textId="77777777" w:rsidR="00F64CB7" w:rsidRPr="00431573" w:rsidRDefault="00000000">
      <w:pPr>
        <w:spacing w:before="40" w:after="120" w:line="240" w:lineRule="auto"/>
        <w:ind w:firstLine="0"/>
        <w:jc w:val="left"/>
        <w:rPr>
          <w:lang w:val="en-US"/>
        </w:rPr>
      </w:pPr>
      <w:r w:rsidRPr="00431573">
        <w:rPr>
          <w:sz w:val="18"/>
          <w:lang w:val="en-US"/>
        </w:rPr>
        <w:t>Źródło: opracowanie własne na podstawie docs/14_1_coverage_estimand_correction_v1_0_0.md oraz reports/classical_eda_for_thesis/tables/01_selection_flow.csv.</w:t>
      </w:r>
    </w:p>
    <w:p w14:paraId="51EF2B9E" w14:textId="77777777" w:rsidR="00F64CB7" w:rsidRDefault="00000000">
      <w:pPr>
        <w:pStyle w:val="Heading1"/>
        <w:jc w:val="left"/>
      </w:pPr>
      <w:r>
        <w:rPr>
          <w:rFonts w:ascii="Times New Roman" w:hAnsi="Times New Roman" w:cs="Times New Roman"/>
        </w:rPr>
        <w:t>4.3. Procedura selekcji cech i redukcji wymiaru danych</w:t>
      </w:r>
    </w:p>
    <w:p w14:paraId="5F692CFB" w14:textId="77777777" w:rsidR="00F64CB7" w:rsidRDefault="00000000">
      <w:r>
        <w:t xml:space="preserve">Zbiór cech nie powstał przez automatyczne przeszukiwanie setek </w:t>
      </w:r>
      <w:proofErr w:type="spellStart"/>
      <w:r>
        <w:t>tagów</w:t>
      </w:r>
      <w:proofErr w:type="spellEnd"/>
      <w:r>
        <w:t xml:space="preserve"> XBRL ani przez selekcję na podstawie wyniku czasowego zbioru odłożonego. Przed modelowaniem zamrożono siedem surowych wielkości: aktywa, zobowiązania, aktywa obrotowe, zobowiązania krótkoterminowe, przychody, wynik netto i przepływy pieniężne z działalności operacyjnej. Na ich podstawie skonstruowano 17 ekonomicznie interpretowalnych cech i trzy zagnieżdżone bloki: L — poziomy, D — roczne zmiany oraz R — moduł przychodowy. Ich skład przedstawiono w tabeli </w:t>
      </w:r>
      <w:r>
        <w:fldChar w:fldCharType="begin"/>
      </w:r>
      <w:r>
        <w:instrText xml:space="preserve"> REF R4_Tabela_4_3 \h </w:instrText>
      </w:r>
      <w:r>
        <w:fldChar w:fldCharType="separate"/>
      </w:r>
      <w:r>
        <w:t>4.3</w:t>
      </w:r>
      <w:r>
        <w:fldChar w:fldCharType="end"/>
      </w:r>
      <w:r>
        <w:t>. Porównanie bloków L, L+D i L+D+R było częścią projektu, a nie późniejszą eliminacją pojedynczych zmiennych.</w:t>
      </w:r>
    </w:p>
    <w:p w14:paraId="60EF7831" w14:textId="77777777" w:rsidR="00F64CB7" w:rsidRDefault="00000000">
      <w:r>
        <w:t xml:space="preserve">Dane </w:t>
      </w:r>
      <w:proofErr w:type="spellStart"/>
      <w:r>
        <w:t>X_t</w:t>
      </w:r>
      <w:proofErr w:type="spellEnd"/>
      <w:r>
        <w:t xml:space="preserve"> pochodziły wyłącznie z oryginalnego 10-K za rok t. Wartość t była wartością bieżącą, a wartość t−1 — porównawczą prezentowaną w tym samym zgłoszeniu. Company Facts wykorzystywano wyłącznie jako źródło faktów </w:t>
      </w:r>
      <w:proofErr w:type="spellStart"/>
      <w:r>
        <w:t>us-gaap</w:t>
      </w:r>
      <w:proofErr w:type="spellEnd"/>
      <w:r>
        <w:t xml:space="preserve"> w USD przypisanych do dokładnego </w:t>
      </w:r>
      <w:proofErr w:type="spellStart"/>
      <w:r>
        <w:t>accession</w:t>
      </w:r>
      <w:proofErr w:type="spellEnd"/>
      <w:r>
        <w:t xml:space="preserve"> kotwicy; procedura rozstrzygająca mogła w razie potrzeby korzystać z pakietu XBRL tego samego zgłoszenia. Fakty z innych lub późniejszych zgłoszeń, późniejsze raporty i korekty nie mogły uzupełniać braków. Każdy fakt zachowywał </w:t>
      </w:r>
      <w:proofErr w:type="spellStart"/>
      <w:r>
        <w:t>accession</w:t>
      </w:r>
      <w:proofErr w:type="spellEnd"/>
      <w:r>
        <w:t xml:space="preserve">, kontekst, </w:t>
      </w:r>
      <w:proofErr w:type="spellStart"/>
      <w:r>
        <w:t>tag</w:t>
      </w:r>
      <w:proofErr w:type="spellEnd"/>
      <w:r>
        <w:t xml:space="preserve">, okres, czas dostępności i status rozstrzygnięcia. Roczne konteksty przepływowe </w:t>
      </w:r>
      <w:r>
        <w:lastRenderedPageBreak/>
        <w:t xml:space="preserve">musiały obejmować od 300 do 400 dni, a początki porównywanych okresów mogły różnić się najwyżej o 14 dni. Dopuszczano standardowe lata 52- i 53-tygodniowe, natomiast nierozstrzygnięty okres przejściowy powodował brak cechy. Znaczniki czasu SEC pozbawione informacji o strefie interpretowano w strefie </w:t>
      </w:r>
      <w:proofErr w:type="spellStart"/>
      <w:r>
        <w:t>America</w:t>
      </w:r>
      <w:proofErr w:type="spellEnd"/>
      <w:r>
        <w:t>/</w:t>
      </w:r>
      <w:proofErr w:type="spellStart"/>
      <w:r>
        <w:t>New_York</w:t>
      </w:r>
      <w:proofErr w:type="spellEnd"/>
      <w:r>
        <w:t xml:space="preserve"> z uwzględnieniem czasu letniego, a następnie przeliczano na UTC. Czas predykcji wyznaczał znacznik </w:t>
      </w:r>
      <w:proofErr w:type="spellStart"/>
      <w:r>
        <w:t>accepted_at</w:t>
      </w:r>
      <w:proofErr w:type="spellEnd"/>
      <w:r>
        <w:t>.</w:t>
      </w:r>
      <w:r>
        <w:rPr>
          <w:rStyle w:val="FootnoteReference"/>
          <w:sz w:val="24"/>
        </w:rPr>
        <w:footnoteReference w:id="11"/>
      </w:r>
    </w:p>
    <w:p w14:paraId="5DE2D5ED" w14:textId="77777777" w:rsidR="00F64CB7" w:rsidRDefault="00000000">
      <w:r>
        <w:t xml:space="preserve">Do obliczenia cechy wymagającej mianownika dopuszczano wyłącznie mianownik ściśle dodatni. W odróżnieniu od konstrukcji zmiennej celu, dla cech </w:t>
      </w:r>
      <w:proofErr w:type="spellStart"/>
      <w:r>
        <w:t>X_t</w:t>
      </w:r>
      <w:proofErr w:type="spellEnd"/>
      <w:r>
        <w:t xml:space="preserve"> nie stosowano globalnego progu 1 000 USD; wartości bliskie zeru były jedynie oznaczane diagnostycznie. Wyjątek stanowił log1p przychodów, dla którego dopuszczano przychody nieujemne. Prawidłowo raportowane wartości ujemne pozostawały w warstwie surowej, lecz cecha o naruszonej dziedzinie otrzymywała status </w:t>
      </w:r>
      <w:proofErr w:type="spellStart"/>
      <w:r>
        <w:t>not_computable</w:t>
      </w:r>
      <w:proofErr w:type="spellEnd"/>
      <w:r>
        <w:t xml:space="preserve">. </w:t>
      </w:r>
      <w:r w:rsidRPr="00431573">
        <w:rPr>
          <w:lang w:val="en-US"/>
        </w:rPr>
        <w:t xml:space="preserve">Pozostałe statusy cechy to available, missing, ambiguous i not_available_non_xbrl. </w:t>
      </w:r>
      <w:r>
        <w:t>Konserwatywna polityka rozstrzygania (</w:t>
      </w:r>
      <w:proofErr w:type="spellStart"/>
      <w:r>
        <w:t>fail-closed</w:t>
      </w:r>
      <w:proofErr w:type="spellEnd"/>
      <w:r>
        <w:t>) zabraniała zamiany braku na zero, odwracania znaku heurystyką albo wyboru alternatywnego faktu wyłącznie w celu zwiększenia pokrycia.</w:t>
      </w:r>
    </w:p>
    <w:p w14:paraId="6235D50A" w14:textId="77777777" w:rsidR="00F64CB7" w:rsidRDefault="00000000">
      <w:r>
        <w:t xml:space="preserve">Dla każdego </w:t>
      </w:r>
      <w:proofErr w:type="spellStart"/>
      <w:r>
        <w:t>foldu</w:t>
      </w:r>
      <w:proofErr w:type="spellEnd"/>
      <w:r>
        <w:t xml:space="preserve"> i bloku cech całe przetwarzanie wstępne dopasowywano od początku wyłącznie na części treningowej. Kolejność była stała: </w:t>
      </w:r>
      <w:proofErr w:type="spellStart"/>
      <w:r>
        <w:t>winsoryzacja</w:t>
      </w:r>
      <w:proofErr w:type="spellEnd"/>
      <w:r>
        <w:t xml:space="preserve"> obserwowanych wartości finansowych do percentyli p1 i p99 z treningu, imputacja medianą treningową oraz standaryzacja z odchyleniem populacyjnym (</w:t>
      </w:r>
      <w:proofErr w:type="spellStart"/>
      <w:r>
        <w:t>ddof</w:t>
      </w:r>
      <w:proofErr w:type="spellEnd"/>
      <w:r>
        <w:t xml:space="preserve"> = 0). Dla każdej cechy tworzono równoległy wskaźnik jej pierwotnego braku; wskaźników nie </w:t>
      </w:r>
      <w:proofErr w:type="spellStart"/>
      <w:r>
        <w:t>winsoryzowano</w:t>
      </w:r>
      <w:proofErr w:type="spellEnd"/>
      <w:r>
        <w:t>, nie imputowano i nie skalowano, lecz dołączano po przeskalowanych cechach finansowych</w:t>
      </w:r>
      <w:r>
        <w:rPr>
          <w:rStyle w:val="FootnoteReference"/>
          <w:sz w:val="24"/>
        </w:rPr>
        <w:footnoteReference w:id="12"/>
      </w:r>
      <w:r>
        <w:t>. Po dołączeniu wskaźników wymiar wejścia wynosił odpowiednio 14 dla L, 24 dla L+D i 34 dla L+D+R. Bloki porównywano na tej samej próbie, dlatego brak zmiennej z modułu R nie usuwał obserwacji.</w:t>
      </w:r>
    </w:p>
    <w:p w14:paraId="463AC8B5" w14:textId="77777777" w:rsidR="00F64CB7" w:rsidRDefault="00000000">
      <w:pPr>
        <w:pStyle w:val="Caption"/>
        <w:ind w:firstLine="0"/>
      </w:pPr>
      <w:r>
        <w:t xml:space="preserve">Tabela </w:t>
      </w:r>
      <w:bookmarkStart w:id="4" w:name="R4_Tabela_4_3"/>
      <w:r>
        <w:t>4.</w:t>
      </w:r>
      <w:fldSimple w:instr=" SEQ Tabela \* ARABIC ">
        <w:r>
          <w:t>3</w:t>
        </w:r>
      </w:fldSimple>
      <w:bookmarkEnd w:id="4"/>
      <w:r>
        <w:t>. Zamrożone bloki cech finansowych</w:t>
      </w:r>
    </w:p>
    <w:tbl>
      <w:tblPr>
        <w:tblStyle w:val="TableGrid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948"/>
        <w:gridCol w:w="5443"/>
      </w:tblGrid>
      <w:tr w:rsidR="00F64CB7" w14:paraId="664D1297" w14:textId="77777777">
        <w:trPr>
          <w:cantSplit/>
          <w:tblHeader/>
          <w:jc w:val="center"/>
        </w:trPr>
        <w:tc>
          <w:tcPr>
            <w:tcW w:w="680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32AD0E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16"/>
              </w:rPr>
              <w:t>Blok</w:t>
            </w:r>
          </w:p>
        </w:tc>
        <w:tc>
          <w:tcPr>
            <w:tcW w:w="2948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25E21B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16"/>
              </w:rPr>
              <w:t>Cecha</w:t>
            </w:r>
          </w:p>
        </w:tc>
        <w:tc>
          <w:tcPr>
            <w:tcW w:w="5443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5FEE7D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16"/>
              </w:rPr>
              <w:t>Definicja</w:t>
            </w:r>
          </w:p>
        </w:tc>
      </w:tr>
      <w:tr w:rsidR="00F64CB7" w14:paraId="3653B01C" w14:textId="77777777">
        <w:trPr>
          <w:cantSplit/>
          <w:jc w:val="center"/>
        </w:trPr>
        <w:tc>
          <w:tcPr>
            <w:tcW w:w="6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CF1B40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L</w:t>
            </w:r>
          </w:p>
        </w:tc>
        <w:tc>
          <w:tcPr>
            <w:tcW w:w="294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552B68" w14:textId="77777777" w:rsidR="00F64CB7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6"/>
              </w:rPr>
              <w:t>log_assets_t</w:t>
            </w:r>
            <w:proofErr w:type="spellEnd"/>
          </w:p>
        </w:tc>
        <w:tc>
          <w:tcPr>
            <w:tcW w:w="544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6F27B9" w14:textId="77777777" w:rsidR="00F64CB7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6"/>
              </w:rPr>
              <w:t>ln</w:t>
            </w:r>
            <w:proofErr w:type="spellEnd"/>
            <w:r>
              <w:rPr>
                <w:sz w:val="16"/>
              </w:rPr>
              <w:t>(assetsₜ), dla assetsₜ &gt; 0</w:t>
            </w:r>
          </w:p>
        </w:tc>
      </w:tr>
      <w:tr w:rsidR="00F64CB7" w14:paraId="42CCCFDD" w14:textId="77777777">
        <w:trPr>
          <w:cantSplit/>
          <w:jc w:val="center"/>
        </w:trPr>
        <w:tc>
          <w:tcPr>
            <w:tcW w:w="6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97FC16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L</w:t>
            </w:r>
          </w:p>
        </w:tc>
        <w:tc>
          <w:tcPr>
            <w:tcW w:w="294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AEB0A2" w14:textId="77777777" w:rsidR="00F64CB7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6"/>
              </w:rPr>
              <w:t>roa_t</w:t>
            </w:r>
            <w:proofErr w:type="spellEnd"/>
          </w:p>
        </w:tc>
        <w:tc>
          <w:tcPr>
            <w:tcW w:w="544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BB0C1F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 xml:space="preserve">net </w:t>
            </w:r>
            <w:proofErr w:type="spellStart"/>
            <w:r>
              <w:rPr>
                <w:sz w:val="16"/>
              </w:rPr>
              <w:t>income</w:t>
            </w:r>
            <w:proofErr w:type="spellEnd"/>
            <w:r>
              <w:rPr>
                <w:sz w:val="16"/>
              </w:rPr>
              <w:t>ₜ / assetsₜ</w:t>
            </w:r>
          </w:p>
        </w:tc>
      </w:tr>
      <w:tr w:rsidR="00F64CB7" w14:paraId="13BC7394" w14:textId="77777777">
        <w:trPr>
          <w:cantSplit/>
          <w:jc w:val="center"/>
        </w:trPr>
        <w:tc>
          <w:tcPr>
            <w:tcW w:w="6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4F1984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L</w:t>
            </w:r>
          </w:p>
        </w:tc>
        <w:tc>
          <w:tcPr>
            <w:tcW w:w="294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92BAB0" w14:textId="77777777" w:rsidR="00F64CB7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6"/>
              </w:rPr>
              <w:t>ocf_to_assets_t</w:t>
            </w:r>
            <w:proofErr w:type="spellEnd"/>
          </w:p>
        </w:tc>
        <w:tc>
          <w:tcPr>
            <w:tcW w:w="544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10D4B2" w14:textId="77777777" w:rsidR="00F64CB7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6"/>
              </w:rPr>
              <w:t>operating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cash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flow</w:t>
            </w:r>
            <w:proofErr w:type="spellEnd"/>
            <w:r>
              <w:rPr>
                <w:sz w:val="16"/>
              </w:rPr>
              <w:t>ₜ / assetsₜ</w:t>
            </w:r>
          </w:p>
        </w:tc>
      </w:tr>
      <w:tr w:rsidR="00F64CB7" w14:paraId="5559DA1A" w14:textId="77777777">
        <w:trPr>
          <w:cantSplit/>
          <w:jc w:val="center"/>
        </w:trPr>
        <w:tc>
          <w:tcPr>
            <w:tcW w:w="6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AAB01C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L</w:t>
            </w:r>
          </w:p>
        </w:tc>
        <w:tc>
          <w:tcPr>
            <w:tcW w:w="294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32F69F" w14:textId="77777777" w:rsidR="00F64CB7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6"/>
              </w:rPr>
              <w:t>current_ratio_t</w:t>
            </w:r>
            <w:proofErr w:type="spellEnd"/>
          </w:p>
        </w:tc>
        <w:tc>
          <w:tcPr>
            <w:tcW w:w="544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2BDA13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current assetsₜ / current liabilitiesₜ</w:t>
            </w:r>
          </w:p>
        </w:tc>
      </w:tr>
      <w:tr w:rsidR="00F64CB7" w14:paraId="134BE95E" w14:textId="77777777">
        <w:trPr>
          <w:cantSplit/>
          <w:jc w:val="center"/>
        </w:trPr>
        <w:tc>
          <w:tcPr>
            <w:tcW w:w="6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10F10F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lastRenderedPageBreak/>
              <w:t>L</w:t>
            </w:r>
          </w:p>
        </w:tc>
        <w:tc>
          <w:tcPr>
            <w:tcW w:w="294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FCAF94" w14:textId="77777777" w:rsidR="00F64CB7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6"/>
              </w:rPr>
              <w:t>liabilities_to_assets_t</w:t>
            </w:r>
            <w:proofErr w:type="spellEnd"/>
          </w:p>
        </w:tc>
        <w:tc>
          <w:tcPr>
            <w:tcW w:w="544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E8A698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liabilitiesₜ / assetsₜ</w:t>
            </w:r>
          </w:p>
        </w:tc>
      </w:tr>
      <w:tr w:rsidR="00F64CB7" w:rsidRPr="00431573" w14:paraId="482192E6" w14:textId="77777777">
        <w:trPr>
          <w:cantSplit/>
          <w:jc w:val="center"/>
        </w:trPr>
        <w:tc>
          <w:tcPr>
            <w:tcW w:w="6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446DF3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L</w:t>
            </w:r>
          </w:p>
        </w:tc>
        <w:tc>
          <w:tcPr>
            <w:tcW w:w="294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3AE2F5" w14:textId="77777777" w:rsidR="00F64CB7" w:rsidRPr="00431573" w:rsidRDefault="00000000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431573">
              <w:rPr>
                <w:sz w:val="16"/>
                <w:lang w:val="en-US"/>
              </w:rPr>
              <w:t>working_capital_to_assets_t</w:t>
            </w:r>
          </w:p>
        </w:tc>
        <w:tc>
          <w:tcPr>
            <w:tcW w:w="544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21CF7C" w14:textId="77777777" w:rsidR="00F64CB7" w:rsidRPr="00431573" w:rsidRDefault="00000000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431573">
              <w:rPr>
                <w:sz w:val="16"/>
                <w:lang w:val="en-US"/>
              </w:rPr>
              <w:t>(current assetsₜ − current liabilitiesₜ) / assetsₜ</w:t>
            </w:r>
          </w:p>
        </w:tc>
      </w:tr>
      <w:tr w:rsidR="00F64CB7" w:rsidRPr="00431573" w14:paraId="54238C39" w14:textId="77777777">
        <w:trPr>
          <w:cantSplit/>
          <w:jc w:val="center"/>
        </w:trPr>
        <w:tc>
          <w:tcPr>
            <w:tcW w:w="6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0D6D00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L</w:t>
            </w:r>
          </w:p>
        </w:tc>
        <w:tc>
          <w:tcPr>
            <w:tcW w:w="294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1B84F8" w14:textId="77777777" w:rsidR="00F64CB7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6"/>
              </w:rPr>
              <w:t>accruals_to_assets_t</w:t>
            </w:r>
            <w:proofErr w:type="spellEnd"/>
          </w:p>
        </w:tc>
        <w:tc>
          <w:tcPr>
            <w:tcW w:w="544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C9147C" w14:textId="77777777" w:rsidR="00F64CB7" w:rsidRPr="00431573" w:rsidRDefault="00000000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431573">
              <w:rPr>
                <w:sz w:val="16"/>
                <w:lang w:val="en-US"/>
              </w:rPr>
              <w:t>(net incomeₜ − operating cash flowₜ) / assetsₜ</w:t>
            </w:r>
          </w:p>
        </w:tc>
      </w:tr>
      <w:tr w:rsidR="00F64CB7" w14:paraId="6823747D" w14:textId="77777777">
        <w:trPr>
          <w:cantSplit/>
          <w:jc w:val="center"/>
        </w:trPr>
        <w:tc>
          <w:tcPr>
            <w:tcW w:w="6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C742DE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D</w:t>
            </w:r>
          </w:p>
        </w:tc>
        <w:tc>
          <w:tcPr>
            <w:tcW w:w="294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5D2885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asset_growth_1y</w:t>
            </w:r>
          </w:p>
        </w:tc>
        <w:tc>
          <w:tcPr>
            <w:tcW w:w="544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E8697B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assetsₜ / assetsₜ₋₁ − 1</w:t>
            </w:r>
          </w:p>
        </w:tc>
      </w:tr>
      <w:tr w:rsidR="00F64CB7" w14:paraId="527FE069" w14:textId="77777777">
        <w:trPr>
          <w:cantSplit/>
          <w:jc w:val="center"/>
        </w:trPr>
        <w:tc>
          <w:tcPr>
            <w:tcW w:w="6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38D353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D</w:t>
            </w:r>
          </w:p>
        </w:tc>
        <w:tc>
          <w:tcPr>
            <w:tcW w:w="294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0FF0EB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delta_roa_1y</w:t>
            </w:r>
          </w:p>
        </w:tc>
        <w:tc>
          <w:tcPr>
            <w:tcW w:w="544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9A3213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ROAₜ − ROAₜ₋₁</w:t>
            </w:r>
          </w:p>
        </w:tc>
      </w:tr>
      <w:tr w:rsidR="00F64CB7" w14:paraId="781130E5" w14:textId="77777777">
        <w:trPr>
          <w:cantSplit/>
          <w:jc w:val="center"/>
        </w:trPr>
        <w:tc>
          <w:tcPr>
            <w:tcW w:w="6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D1105D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D</w:t>
            </w:r>
          </w:p>
        </w:tc>
        <w:tc>
          <w:tcPr>
            <w:tcW w:w="294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6D68B3" w14:textId="77777777" w:rsidR="00F64CB7" w:rsidRPr="00431573" w:rsidRDefault="00000000">
            <w:pPr>
              <w:spacing w:line="240" w:lineRule="auto"/>
              <w:ind w:firstLine="0"/>
              <w:jc w:val="left"/>
              <w:rPr>
                <w:lang w:val="nb-NO"/>
              </w:rPr>
            </w:pPr>
            <w:r w:rsidRPr="00431573">
              <w:rPr>
                <w:sz w:val="16"/>
                <w:lang w:val="nb-NO"/>
              </w:rPr>
              <w:t>delta_ocf_to_assets_1y</w:t>
            </w:r>
          </w:p>
        </w:tc>
        <w:tc>
          <w:tcPr>
            <w:tcW w:w="544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56553F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OCF/assetsₜ − OCF/assetsₜ₋₁</w:t>
            </w:r>
          </w:p>
        </w:tc>
      </w:tr>
      <w:tr w:rsidR="00F64CB7" w14:paraId="0AD14DE8" w14:textId="77777777">
        <w:trPr>
          <w:cantSplit/>
          <w:jc w:val="center"/>
        </w:trPr>
        <w:tc>
          <w:tcPr>
            <w:tcW w:w="6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8DA752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D</w:t>
            </w:r>
          </w:p>
        </w:tc>
        <w:tc>
          <w:tcPr>
            <w:tcW w:w="294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58BE72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current_ratio_change_1y</w:t>
            </w:r>
          </w:p>
        </w:tc>
        <w:tc>
          <w:tcPr>
            <w:tcW w:w="544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8EE418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current ratioₜ / current ratioₜ₋₁ − 1</w:t>
            </w:r>
          </w:p>
        </w:tc>
      </w:tr>
      <w:tr w:rsidR="00F64CB7" w14:paraId="3384E49B" w14:textId="77777777">
        <w:trPr>
          <w:cantSplit/>
          <w:jc w:val="center"/>
        </w:trPr>
        <w:tc>
          <w:tcPr>
            <w:tcW w:w="6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A660F3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D</w:t>
            </w:r>
          </w:p>
        </w:tc>
        <w:tc>
          <w:tcPr>
            <w:tcW w:w="294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E20F6F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delta_liabilities_to_assets_1y</w:t>
            </w:r>
          </w:p>
        </w:tc>
        <w:tc>
          <w:tcPr>
            <w:tcW w:w="544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770844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liabilities/assetsₜ − liabilities/assetsₜ₋₁</w:t>
            </w:r>
          </w:p>
        </w:tc>
      </w:tr>
      <w:tr w:rsidR="00F64CB7" w14:paraId="7B77C48B" w14:textId="77777777">
        <w:trPr>
          <w:cantSplit/>
          <w:jc w:val="center"/>
        </w:trPr>
        <w:tc>
          <w:tcPr>
            <w:tcW w:w="6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42E83A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R</w:t>
            </w:r>
          </w:p>
        </w:tc>
        <w:tc>
          <w:tcPr>
            <w:tcW w:w="294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D3AB58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log1p_revenues_t</w:t>
            </w:r>
          </w:p>
        </w:tc>
        <w:tc>
          <w:tcPr>
            <w:tcW w:w="544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614A9A" w14:textId="77777777" w:rsidR="00F64CB7" w:rsidRDefault="00000000">
            <w:pPr>
              <w:spacing w:line="240" w:lineRule="auto"/>
              <w:ind w:firstLine="0"/>
              <w:jc w:val="left"/>
            </w:pPr>
            <w:proofErr w:type="spellStart"/>
            <w:proofErr w:type="gramStart"/>
            <w:r>
              <w:rPr>
                <w:sz w:val="16"/>
              </w:rPr>
              <w:t>ln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1 + revenuesₜ), dla revenuesₜ ≥ 0</w:t>
            </w:r>
          </w:p>
        </w:tc>
      </w:tr>
      <w:tr w:rsidR="00F64CB7" w14:paraId="75209F71" w14:textId="77777777">
        <w:trPr>
          <w:cantSplit/>
          <w:jc w:val="center"/>
        </w:trPr>
        <w:tc>
          <w:tcPr>
            <w:tcW w:w="6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BBF717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R</w:t>
            </w:r>
          </w:p>
        </w:tc>
        <w:tc>
          <w:tcPr>
            <w:tcW w:w="294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030B18" w14:textId="77777777" w:rsidR="00F64CB7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6"/>
              </w:rPr>
              <w:t>profit_margin_t</w:t>
            </w:r>
            <w:proofErr w:type="spellEnd"/>
          </w:p>
        </w:tc>
        <w:tc>
          <w:tcPr>
            <w:tcW w:w="544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CD541D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 xml:space="preserve">net </w:t>
            </w:r>
            <w:proofErr w:type="spellStart"/>
            <w:r>
              <w:rPr>
                <w:sz w:val="16"/>
              </w:rPr>
              <w:t>income</w:t>
            </w:r>
            <w:proofErr w:type="spellEnd"/>
            <w:r>
              <w:rPr>
                <w:sz w:val="16"/>
              </w:rPr>
              <w:t>ₜ / revenuesₜ</w:t>
            </w:r>
          </w:p>
        </w:tc>
      </w:tr>
      <w:tr w:rsidR="00F64CB7" w14:paraId="792B4407" w14:textId="77777777">
        <w:trPr>
          <w:cantSplit/>
          <w:jc w:val="center"/>
        </w:trPr>
        <w:tc>
          <w:tcPr>
            <w:tcW w:w="6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91BA1E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R</w:t>
            </w:r>
          </w:p>
        </w:tc>
        <w:tc>
          <w:tcPr>
            <w:tcW w:w="294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9E0BB5" w14:textId="77777777" w:rsidR="00F64CB7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6"/>
              </w:rPr>
              <w:t>ocf_margin_t</w:t>
            </w:r>
            <w:proofErr w:type="spellEnd"/>
          </w:p>
        </w:tc>
        <w:tc>
          <w:tcPr>
            <w:tcW w:w="544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33ED82" w14:textId="77777777" w:rsidR="00F64CB7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6"/>
              </w:rPr>
              <w:t>operating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cash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flow</w:t>
            </w:r>
            <w:proofErr w:type="spellEnd"/>
            <w:r>
              <w:rPr>
                <w:sz w:val="16"/>
              </w:rPr>
              <w:t>ₜ / revenuesₜ</w:t>
            </w:r>
          </w:p>
        </w:tc>
      </w:tr>
      <w:tr w:rsidR="00F64CB7" w14:paraId="50807576" w14:textId="77777777">
        <w:trPr>
          <w:cantSplit/>
          <w:jc w:val="center"/>
        </w:trPr>
        <w:tc>
          <w:tcPr>
            <w:tcW w:w="6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DDBC67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R</w:t>
            </w:r>
          </w:p>
        </w:tc>
        <w:tc>
          <w:tcPr>
            <w:tcW w:w="294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9178A2" w14:textId="77777777" w:rsidR="00F64CB7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6"/>
              </w:rPr>
              <w:t>asset_turnover_t</w:t>
            </w:r>
            <w:proofErr w:type="spellEnd"/>
          </w:p>
        </w:tc>
        <w:tc>
          <w:tcPr>
            <w:tcW w:w="544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CDC80C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revenuesₜ / assetsₜ</w:t>
            </w:r>
          </w:p>
        </w:tc>
      </w:tr>
      <w:tr w:rsidR="00F64CB7" w14:paraId="34EFD0E4" w14:textId="77777777">
        <w:trPr>
          <w:cantSplit/>
          <w:jc w:val="center"/>
        </w:trPr>
        <w:tc>
          <w:tcPr>
            <w:tcW w:w="6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270881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R</w:t>
            </w:r>
          </w:p>
        </w:tc>
        <w:tc>
          <w:tcPr>
            <w:tcW w:w="294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7E387E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revenue_growth_1y</w:t>
            </w:r>
          </w:p>
        </w:tc>
        <w:tc>
          <w:tcPr>
            <w:tcW w:w="544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4A2EBD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revenuesₜ / revenuesₜ₋₁ − 1</w:t>
            </w:r>
          </w:p>
        </w:tc>
      </w:tr>
    </w:tbl>
    <w:p w14:paraId="6F2D9890" w14:textId="77777777" w:rsidR="00F64CB7" w:rsidRDefault="00000000">
      <w:pPr>
        <w:spacing w:before="40" w:after="120" w:line="240" w:lineRule="auto"/>
        <w:ind w:firstLine="0"/>
        <w:jc w:val="left"/>
      </w:pPr>
      <w:r>
        <w:rPr>
          <w:sz w:val="18"/>
        </w:rPr>
        <w:t xml:space="preserve">Źródło: opracowanie własne na podstawie </w:t>
      </w:r>
      <w:proofErr w:type="spellStart"/>
      <w:r>
        <w:rPr>
          <w:sz w:val="18"/>
        </w:rPr>
        <w:t>docs</w:t>
      </w:r>
      <w:proofErr w:type="spellEnd"/>
      <w:r>
        <w:rPr>
          <w:sz w:val="18"/>
        </w:rPr>
        <w:t>/06_2_raw_point_in_time_x_t_v1_frozen_specification.md.</w:t>
      </w:r>
    </w:p>
    <w:p w14:paraId="4342AF11" w14:textId="77777777" w:rsidR="00F64CB7" w:rsidRDefault="00000000">
      <w:r>
        <w:t>QNN wymagała małego wektora wejściowego, dlatego po opisanym przetwarzaniu wstępnym stosowano analizę głównych składowych (PCA) do 4 albo 6 wymiarów</w:t>
      </w:r>
      <w:r>
        <w:rPr>
          <w:rStyle w:val="FootnoteReference"/>
          <w:sz w:val="24"/>
        </w:rPr>
        <w:footnoteReference w:id="13"/>
      </w:r>
      <w:r>
        <w:t>. PCA obejmowała zarówno cechy finansowe, jak i odpowiadające im wskaźniki braków, wykorzystywała pełny algorytm SVD, bez wybielania (</w:t>
      </w:r>
      <w:proofErr w:type="spellStart"/>
      <w:r>
        <w:t>whitening</w:t>
      </w:r>
      <w:proofErr w:type="spellEnd"/>
      <w:r>
        <w:t xml:space="preserve">), i była dopasowywana wyłącznie na treningu danego </w:t>
      </w:r>
      <w:proofErr w:type="spellStart"/>
      <w:r>
        <w:t>foldu</w:t>
      </w:r>
      <w:proofErr w:type="spellEnd"/>
      <w:r>
        <w:t>. Składowe ponownie standaryzowano parametrami treningowymi, ograniczano do przedziału [−3, 3], a następnie mapowano na kąty według reguły kąt = (π/3) · ograniczona składowa. Ta sama reprezentacja, te same obserwacje i transformacje zasilały diagnostyczne kontrole dopasowane do PCA (PCA-</w:t>
      </w:r>
      <w:proofErr w:type="spellStart"/>
      <w:r>
        <w:t>matched</w:t>
      </w:r>
      <w:proofErr w:type="spellEnd"/>
      <w:r>
        <w:t>): regresję logistyczną L2 oraz MLP. Kontrole te nie uczestniczyły w głównym rankingu; służyły oddzieleniu wpływu redukcji wymiaru od wpływu obwodu kwantowego.</w:t>
      </w:r>
    </w:p>
    <w:p w14:paraId="70430873" w14:textId="77777777" w:rsidR="00F64CB7" w:rsidRDefault="00000000">
      <w:pPr>
        <w:pStyle w:val="Heading1"/>
        <w:jc w:val="left"/>
      </w:pPr>
      <w:r>
        <w:rPr>
          <w:rFonts w:ascii="Times New Roman" w:hAnsi="Times New Roman" w:cs="Times New Roman"/>
        </w:rPr>
        <w:t>4.4. Konfiguracja modeli klasycznych i kwantowych</w:t>
      </w:r>
    </w:p>
    <w:p w14:paraId="56A8057C" w14:textId="77777777" w:rsidR="00F64CB7" w:rsidRDefault="00000000">
      <w:r>
        <w:t xml:space="preserve">Główny zestaw obejmował dziewięć rodzin: naiwny klasyfikator oparty na częstości klasy, regresję logistyczną L2 o stałej konfiguracji, regresję logistyczną </w:t>
      </w:r>
      <w:proofErr w:type="spellStart"/>
      <w:r>
        <w:t>elastic</w:t>
      </w:r>
      <w:proofErr w:type="spellEnd"/>
      <w:r>
        <w:t xml:space="preserve"> net, SVM z jądrem RBF, las losowy, histogramowy gradient </w:t>
      </w:r>
      <w:proofErr w:type="spellStart"/>
      <w:r>
        <w:t>boosting</w:t>
      </w:r>
      <w:proofErr w:type="spellEnd"/>
      <w:r>
        <w:t xml:space="preserve">, XGBoost, klasyczny perceptron wielowarstwowy w </w:t>
      </w:r>
      <w:proofErr w:type="spellStart"/>
      <w:r>
        <w:t>PyTorch</w:t>
      </w:r>
      <w:proofErr w:type="spellEnd"/>
      <w:r>
        <w:t xml:space="preserve"> oraz hybrydową QNN. Zestaw zapewniał punkt odniesienia bez informacji, modele liniowe, metodę jądrową, trzy rodziny drzewiaste i dwa modele neuronowe. Rzeczywiście wykonane etapy dla poszczególnych rodzin zestawiono w tabeli </w:t>
      </w:r>
      <w:r>
        <w:fldChar w:fldCharType="begin"/>
      </w:r>
      <w:r>
        <w:instrText xml:space="preserve"> REF R4_Tabela_4_4 \h </w:instrText>
      </w:r>
      <w:r>
        <w:fldChar w:fldCharType="separate"/>
      </w:r>
      <w:r>
        <w:t>4.4</w:t>
      </w:r>
      <w:r>
        <w:fldChar w:fldCharType="end"/>
      </w:r>
      <w:r>
        <w:t>.</w:t>
      </w:r>
    </w:p>
    <w:p w14:paraId="06E73A7F" w14:textId="77777777" w:rsidR="00F64CB7" w:rsidRDefault="00000000">
      <w:pPr>
        <w:pStyle w:val="Caption"/>
        <w:ind w:firstLine="0"/>
      </w:pPr>
      <w:r>
        <w:t xml:space="preserve">Tabela </w:t>
      </w:r>
      <w:bookmarkStart w:id="5" w:name="R4_Tabela_4_4"/>
      <w:r>
        <w:t>4.</w:t>
      </w:r>
      <w:fldSimple w:instr=" SEQ Tabela \* ARABIC ">
        <w:r>
          <w:t>4</w:t>
        </w:r>
      </w:fldSimple>
      <w:bookmarkEnd w:id="5"/>
      <w:r>
        <w:t>. Rodziny modeli i zakres rzeczywiście wykonanych etapów selekcji</w:t>
      </w:r>
    </w:p>
    <w:tbl>
      <w:tblPr>
        <w:tblStyle w:val="TableGrid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969"/>
        <w:gridCol w:w="1134"/>
        <w:gridCol w:w="2154"/>
      </w:tblGrid>
      <w:tr w:rsidR="00F64CB7" w14:paraId="352A66C9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BBC272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17"/>
              </w:rPr>
              <w:t>Rodzina</w:t>
            </w:r>
          </w:p>
        </w:tc>
        <w:tc>
          <w:tcPr>
            <w:tcW w:w="3969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1F84FB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17"/>
              </w:rPr>
              <w:t>Rola lub implementacja</w:t>
            </w:r>
          </w:p>
        </w:tc>
        <w:tc>
          <w:tcPr>
            <w:tcW w:w="1134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3D4483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17"/>
              </w:rPr>
              <w:t>Liczba na blok</w:t>
            </w:r>
          </w:p>
        </w:tc>
        <w:tc>
          <w:tcPr>
            <w:tcW w:w="2154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7A1954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17"/>
              </w:rPr>
              <w:t>Dalszy etap rzeczywiście wykonany</w:t>
            </w:r>
          </w:p>
        </w:tc>
      </w:tr>
      <w:tr w:rsidR="00F64CB7" w14:paraId="5C1C0225" w14:textId="77777777">
        <w:trPr>
          <w:cantSplit/>
          <w:jc w:val="center"/>
        </w:trPr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B605FF" w14:textId="77777777" w:rsidR="00F64CB7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7"/>
              </w:rPr>
              <w:lastRenderedPageBreak/>
              <w:t>Dummy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prior</w:t>
            </w:r>
            <w:proofErr w:type="spellEnd"/>
          </w:p>
        </w:tc>
        <w:tc>
          <w:tcPr>
            <w:tcW w:w="3969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10E916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Stałe prawdopodobieństwo z częstości klasy w treningu</w:t>
            </w:r>
          </w:p>
        </w:tc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CA99E8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w="215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7F1381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—</w:t>
            </w:r>
          </w:p>
        </w:tc>
      </w:tr>
      <w:tr w:rsidR="00F64CB7" w14:paraId="67620610" w14:textId="77777777">
        <w:trPr>
          <w:cantSplit/>
          <w:jc w:val="center"/>
        </w:trPr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8B2DD1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Regresja logistyczna L2</w:t>
            </w:r>
          </w:p>
        </w:tc>
        <w:tc>
          <w:tcPr>
            <w:tcW w:w="3969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6985BE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Liniowy punkt odniesienia</w:t>
            </w:r>
          </w:p>
        </w:tc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3C8333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2</w:t>
            </w:r>
          </w:p>
        </w:tc>
        <w:tc>
          <w:tcPr>
            <w:tcW w:w="215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81DF58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—</w:t>
            </w:r>
          </w:p>
        </w:tc>
      </w:tr>
      <w:tr w:rsidR="00F64CB7" w14:paraId="64484F0F" w14:textId="77777777">
        <w:trPr>
          <w:cantSplit/>
          <w:jc w:val="center"/>
        </w:trPr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8F7E83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 xml:space="preserve">Regresja </w:t>
            </w:r>
            <w:proofErr w:type="spellStart"/>
            <w:r>
              <w:rPr>
                <w:sz w:val="17"/>
              </w:rPr>
              <w:t>elastic</w:t>
            </w:r>
            <w:proofErr w:type="spellEnd"/>
            <w:r>
              <w:rPr>
                <w:sz w:val="17"/>
              </w:rPr>
              <w:t xml:space="preserve"> net</w:t>
            </w:r>
          </w:p>
        </w:tc>
        <w:tc>
          <w:tcPr>
            <w:tcW w:w="3969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F5343E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 xml:space="preserve">SAGA; </w:t>
            </w:r>
            <w:proofErr w:type="spellStart"/>
            <w:r>
              <w:rPr>
                <w:sz w:val="17"/>
              </w:rPr>
              <w:t>regularyzacja</w:t>
            </w:r>
            <w:proofErr w:type="spellEnd"/>
            <w:r>
              <w:rPr>
                <w:sz w:val="17"/>
              </w:rPr>
              <w:t xml:space="preserve"> L1/L2</w:t>
            </w:r>
          </w:p>
        </w:tc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E20166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12</w:t>
            </w:r>
          </w:p>
        </w:tc>
        <w:tc>
          <w:tcPr>
            <w:tcW w:w="215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5C557D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Potwierdzenie wybranych konfiguracji</w:t>
            </w:r>
          </w:p>
        </w:tc>
      </w:tr>
      <w:tr w:rsidR="00F64CB7" w14:paraId="21DDBE30" w14:textId="77777777">
        <w:trPr>
          <w:cantSplit/>
          <w:jc w:val="center"/>
        </w:trPr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0DEA8F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SVM RBF</w:t>
            </w:r>
          </w:p>
        </w:tc>
        <w:tc>
          <w:tcPr>
            <w:tcW w:w="3969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EC504F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 xml:space="preserve">Nieliniowa metoda jądrowa; </w:t>
            </w:r>
            <w:proofErr w:type="spellStart"/>
            <w:r>
              <w:rPr>
                <w:sz w:val="17"/>
              </w:rPr>
              <w:t>probability</w:t>
            </w:r>
            <w:proofErr w:type="spellEnd"/>
            <w:r>
              <w:rPr>
                <w:sz w:val="17"/>
              </w:rPr>
              <w:t xml:space="preserve"> = </w:t>
            </w:r>
            <w:proofErr w:type="spellStart"/>
            <w:r>
              <w:rPr>
                <w:sz w:val="17"/>
              </w:rPr>
              <w:t>false</w:t>
            </w:r>
            <w:proofErr w:type="spellEnd"/>
          </w:p>
        </w:tc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D1B0CE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12</w:t>
            </w:r>
          </w:p>
        </w:tc>
        <w:tc>
          <w:tcPr>
            <w:tcW w:w="215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789AF8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Model deterministyczny</w:t>
            </w:r>
          </w:p>
        </w:tc>
      </w:tr>
      <w:tr w:rsidR="00F64CB7" w14:paraId="26B3B4E0" w14:textId="77777777">
        <w:trPr>
          <w:cantSplit/>
          <w:jc w:val="center"/>
        </w:trPr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D603B7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Random Forest</w:t>
            </w:r>
          </w:p>
        </w:tc>
        <w:tc>
          <w:tcPr>
            <w:tcW w:w="3969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5959DF" w14:textId="77777777" w:rsidR="00F64CB7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7"/>
              </w:rPr>
              <w:t>Bagging</w:t>
            </w:r>
            <w:proofErr w:type="spellEnd"/>
            <w:r>
              <w:rPr>
                <w:sz w:val="17"/>
              </w:rPr>
              <w:t xml:space="preserve"> drzew decyzyjnych</w:t>
            </w:r>
          </w:p>
        </w:tc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D9AA69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12</w:t>
            </w:r>
          </w:p>
        </w:tc>
        <w:tc>
          <w:tcPr>
            <w:tcW w:w="215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6B5549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Doprecyzowanie: 8 konfiguracji w L+D+R; potwierdzenie</w:t>
            </w:r>
          </w:p>
        </w:tc>
      </w:tr>
      <w:tr w:rsidR="00F64CB7" w14:paraId="62CC5A4B" w14:textId="77777777">
        <w:trPr>
          <w:cantSplit/>
          <w:jc w:val="center"/>
        </w:trPr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2EC9AB" w14:textId="77777777" w:rsidR="00F64CB7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7"/>
              </w:rPr>
              <w:t>HistGradientBoosting</w:t>
            </w:r>
            <w:proofErr w:type="spellEnd"/>
          </w:p>
        </w:tc>
        <w:tc>
          <w:tcPr>
            <w:tcW w:w="3969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FB8C39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 xml:space="preserve">Histogramowy </w:t>
            </w:r>
            <w:proofErr w:type="spellStart"/>
            <w:r>
              <w:rPr>
                <w:sz w:val="17"/>
              </w:rPr>
              <w:t>boosting</w:t>
            </w:r>
            <w:proofErr w:type="spellEnd"/>
            <w:r>
              <w:rPr>
                <w:sz w:val="17"/>
              </w:rPr>
              <w:t xml:space="preserve"> drzew</w:t>
            </w:r>
          </w:p>
        </w:tc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3F3E26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16</w:t>
            </w:r>
          </w:p>
        </w:tc>
        <w:tc>
          <w:tcPr>
            <w:tcW w:w="215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4010AC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Doprecyzowanie: 10 konfiguracji w L+D+R; potwierdzenie</w:t>
            </w:r>
          </w:p>
        </w:tc>
      </w:tr>
      <w:tr w:rsidR="00F64CB7" w14:paraId="3D160F5A" w14:textId="77777777">
        <w:trPr>
          <w:cantSplit/>
          <w:jc w:val="center"/>
        </w:trPr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B0D7D8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XGBoost</w:t>
            </w:r>
          </w:p>
        </w:tc>
        <w:tc>
          <w:tcPr>
            <w:tcW w:w="3969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556930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 xml:space="preserve">Gradient </w:t>
            </w:r>
            <w:proofErr w:type="spellStart"/>
            <w:r>
              <w:rPr>
                <w:sz w:val="17"/>
              </w:rPr>
              <w:t>boosting</w:t>
            </w:r>
            <w:proofErr w:type="spellEnd"/>
            <w:r>
              <w:rPr>
                <w:sz w:val="17"/>
              </w:rPr>
              <w:t xml:space="preserve"> drzew</w:t>
            </w:r>
          </w:p>
        </w:tc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B1299C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16</w:t>
            </w:r>
          </w:p>
        </w:tc>
        <w:tc>
          <w:tcPr>
            <w:tcW w:w="215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9610F9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Doprecyzowanie: 10 konfiguracji w L+D+R; potwierdzenie</w:t>
            </w:r>
          </w:p>
        </w:tc>
      </w:tr>
      <w:tr w:rsidR="00F64CB7" w14:paraId="726BEE12" w14:textId="77777777">
        <w:trPr>
          <w:cantSplit/>
          <w:jc w:val="center"/>
        </w:trPr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57C2F2" w14:textId="77777777" w:rsidR="00F64CB7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7"/>
              </w:rPr>
              <w:t>PyTorch</w:t>
            </w:r>
            <w:proofErr w:type="spellEnd"/>
            <w:r>
              <w:rPr>
                <w:sz w:val="17"/>
              </w:rPr>
              <w:t xml:space="preserve"> MLP</w:t>
            </w:r>
          </w:p>
        </w:tc>
        <w:tc>
          <w:tcPr>
            <w:tcW w:w="3969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DE69D2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 xml:space="preserve">Klasyczna sieć </w:t>
            </w:r>
            <w:proofErr w:type="spellStart"/>
            <w:r>
              <w:rPr>
                <w:sz w:val="17"/>
              </w:rPr>
              <w:t>feed-forward</w:t>
            </w:r>
            <w:proofErr w:type="spellEnd"/>
          </w:p>
        </w:tc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8E8810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12</w:t>
            </w:r>
          </w:p>
        </w:tc>
        <w:tc>
          <w:tcPr>
            <w:tcW w:w="215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06A16F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Wtórne doprecyzowanie: 8 konfiguracji w L+D; potwierdzenie</w:t>
            </w:r>
          </w:p>
        </w:tc>
      </w:tr>
      <w:tr w:rsidR="00F64CB7" w14:paraId="3FB9CABC" w14:textId="77777777">
        <w:trPr>
          <w:cantSplit/>
          <w:jc w:val="center"/>
        </w:trPr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992512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QNN</w:t>
            </w:r>
          </w:p>
        </w:tc>
        <w:tc>
          <w:tcPr>
            <w:tcW w:w="3969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2FF908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Hybrydowy obwód wariacyjny i liniowa głowica</w:t>
            </w:r>
          </w:p>
        </w:tc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718B69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—</w:t>
            </w:r>
          </w:p>
        </w:tc>
        <w:tc>
          <w:tcPr>
            <w:tcW w:w="215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FE1D60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 xml:space="preserve">Q1: 3 </w:t>
            </w:r>
            <w:proofErr w:type="spellStart"/>
            <w:r>
              <w:rPr>
                <w:sz w:val="17"/>
              </w:rPr>
              <w:t>ansatze</w:t>
            </w:r>
            <w:proofErr w:type="spellEnd"/>
            <w:r>
              <w:rPr>
                <w:sz w:val="17"/>
              </w:rPr>
              <w:t xml:space="preserve"> × 3 bloki; Q2: 4 konfiguracje × 3 bloki; potwierdzenie</w:t>
            </w:r>
          </w:p>
        </w:tc>
      </w:tr>
    </w:tbl>
    <w:p w14:paraId="55A3667D" w14:textId="77777777" w:rsidR="00F64CB7" w:rsidRDefault="00000000">
      <w:pPr>
        <w:spacing w:before="40" w:after="120" w:line="240" w:lineRule="auto"/>
        <w:ind w:firstLine="0"/>
        <w:jc w:val="left"/>
      </w:pPr>
      <w:r>
        <w:rPr>
          <w:sz w:val="18"/>
        </w:rPr>
        <w:t xml:space="preserve">Źródło: opracowanie własne na podstawie </w:t>
      </w:r>
      <w:proofErr w:type="spellStart"/>
      <w:r>
        <w:rPr>
          <w:sz w:val="18"/>
        </w:rPr>
        <w:t>configs</w:t>
      </w:r>
      <w:proofErr w:type="spellEnd"/>
      <w:r>
        <w:rPr>
          <w:sz w:val="18"/>
        </w:rPr>
        <w:t>/model_stage_v1.yaml, zamrożonego rejestru kandydatów i raportów wykonania post-</w:t>
      </w:r>
      <w:proofErr w:type="spellStart"/>
      <w:r>
        <w:rPr>
          <w:sz w:val="18"/>
        </w:rPr>
        <w:t>coarse</w:t>
      </w:r>
      <w:proofErr w:type="spellEnd"/>
      <w:r>
        <w:rPr>
          <w:sz w:val="18"/>
        </w:rPr>
        <w:t xml:space="preserve"> v1.3.0. Liczby z wyszukiwania wstępnego podano na blok cech.</w:t>
      </w:r>
    </w:p>
    <w:p w14:paraId="789F9B3B" w14:textId="77777777" w:rsidR="00F64CB7" w:rsidRDefault="00000000">
      <w:r>
        <w:t>Przestrzeń konfiguracji była jawnie materializowana w rejestrze o unikatowych identyfikatorach. Wyszukiwanie wstępne (</w:t>
      </w:r>
      <w:proofErr w:type="spellStart"/>
      <w:r>
        <w:t>coarse</w:t>
      </w:r>
      <w:proofErr w:type="spellEnd"/>
      <w:r>
        <w:t>) wykonywano dla wszystkich trzech bloków cech. Etap doprecyzowania (</w:t>
      </w:r>
      <w:proofErr w:type="spellStart"/>
      <w:r>
        <w:t>refinement</w:t>
      </w:r>
      <w:proofErr w:type="spellEnd"/>
      <w:r>
        <w:t xml:space="preserve">) mógł zostać uruchomiony wyłącznie na najlepszym bloku danej rodziny i tylko wtedy, gdy rodzina znajdowała się nie dalej niż 0,010 AP od globalnego lidera, a jej lider leżał na granicy siatki lub różnica do wicelidera nie przekraczała 0,003. Limit wynosił trzy rodziny. Zgodnie z tą regułą etap doprecyzowania wykonano dla </w:t>
      </w:r>
      <w:proofErr w:type="spellStart"/>
      <w:r>
        <w:t>HistGradientBoosting</w:t>
      </w:r>
      <w:proofErr w:type="spellEnd"/>
      <w:r>
        <w:t xml:space="preserve">, lasu losowego i XGBoost w bloku L+D+R. Po poznaniu wyników </w:t>
      </w:r>
      <w:proofErr w:type="spellStart"/>
      <w:r>
        <w:t>coarse</w:t>
      </w:r>
      <w:proofErr w:type="spellEnd"/>
      <w:r>
        <w:t xml:space="preserve"> OOF, lecz przed doprecyzowaniem i jakimkolwiek wynikiem QNN, odrębnym aneksem do specyfikacji zamrożono dodatkową ścieżkę MLP w bloku L+D. Miała ona status wtórnego, eksploracyjnego komparatora neuronowego: nie mogła wejść do głównej reguły aktywacji ani zmienić rankingu lub zwycięzcy ścieżki głównej. Reprezentanta tej ścieżki wybierano oddzielnie z połączonej puli </w:t>
      </w:r>
      <w:proofErr w:type="spellStart"/>
      <w:r>
        <w:t>coarse</w:t>
      </w:r>
      <w:proofErr w:type="spellEnd"/>
      <w:r>
        <w:t xml:space="preserve"> i uzupełniającego </w:t>
      </w:r>
      <w:proofErr w:type="spellStart"/>
      <w:r>
        <w:t>refinementu</w:t>
      </w:r>
      <w:proofErr w:type="spellEnd"/>
      <w:r>
        <w:t>. Wszystkie decyzje wykorzystywały wyłącznie predykcje OOF z lat 2015–2020.</w:t>
      </w:r>
      <w:r>
        <w:rPr>
          <w:rStyle w:val="FootnoteReference"/>
          <w:sz w:val="24"/>
        </w:rPr>
        <w:footnoteReference w:id="14"/>
      </w:r>
    </w:p>
    <w:p w14:paraId="1E130DC3" w14:textId="77777777" w:rsidR="00F64CB7" w:rsidRDefault="00000000">
      <w:r>
        <w:t xml:space="preserve">Wagi klasy dodatniej obliczano osobno w każdym zbiorze treningowym jako √(N₋/N₊), przy wadze klasy ujemnej równej 1; rejestr obejmował również warianty bez ważenia, a walidacja nie była ważona. Dla modeli </w:t>
      </w:r>
      <w:proofErr w:type="spellStart"/>
      <w:r>
        <w:t>scikit-learn</w:t>
      </w:r>
      <w:proofErr w:type="spellEnd"/>
      <w:r>
        <w:t xml:space="preserve"> i XGBoost przekazywano </w:t>
      </w:r>
      <w:proofErr w:type="spellStart"/>
      <w:r>
        <w:lastRenderedPageBreak/>
        <w:t>sample_weight</w:t>
      </w:r>
      <w:proofErr w:type="spellEnd"/>
      <w:r>
        <w:t xml:space="preserve">, przy czym w XGBoost utrzymywano </w:t>
      </w:r>
      <w:proofErr w:type="spellStart"/>
      <w:r>
        <w:t>scale_pos_weight</w:t>
      </w:r>
      <w:proofErr w:type="spellEnd"/>
      <w:r>
        <w:t xml:space="preserve"> = 1, aby nie dublować korekty. Dla MLP i QNN tę samą wartość stosowano jako </w:t>
      </w:r>
      <w:proofErr w:type="spellStart"/>
      <w:r>
        <w:t>pos_weight</w:t>
      </w:r>
      <w:proofErr w:type="spellEnd"/>
      <w:r>
        <w:t xml:space="preserve"> w </w:t>
      </w:r>
      <w:proofErr w:type="spellStart"/>
      <w:r>
        <w:t>BCEWithLogitsLoss</w:t>
      </w:r>
      <w:proofErr w:type="spellEnd"/>
      <w:r>
        <w:t xml:space="preserve">. Pierwszy przebieg wyszukiwania wstępnego i doprecyzowania korzystał z ziarna 20260818. Dla </w:t>
      </w:r>
      <w:proofErr w:type="spellStart"/>
      <w:r>
        <w:t>elastic</w:t>
      </w:r>
      <w:proofErr w:type="spellEnd"/>
      <w:r>
        <w:t xml:space="preserve"> net, lasu losowego, </w:t>
      </w:r>
      <w:proofErr w:type="spellStart"/>
      <w:r>
        <w:t>HistGradientBoosting</w:t>
      </w:r>
      <w:proofErr w:type="spellEnd"/>
      <w:r>
        <w:t xml:space="preserve">, XGBoost i MLP do potwierdzenia wybierano dokładnie po dwa najwyżej sklasyfikowane kompletne warianty na rodzinę i blok z połączonej puli </w:t>
      </w:r>
      <w:proofErr w:type="spellStart"/>
      <w:r>
        <w:t>coarse</w:t>
      </w:r>
      <w:proofErr w:type="spellEnd"/>
      <w:r>
        <w:t>/</w:t>
      </w:r>
      <w:proofErr w:type="spellStart"/>
      <w:r>
        <w:t>refinement</w:t>
      </w:r>
      <w:proofErr w:type="spellEnd"/>
      <w:r>
        <w:t xml:space="preserve">, co dawało 30 miejsc potwierdzenia; każdy wariant powtarzano z ziarnami 20260819 i 20260820. QNN potwierdzano po jednym najlepszym wariancie Q2 w każdym bloku, czyli w trzech miejscach potwierdzenia. </w:t>
      </w:r>
      <w:proofErr w:type="spellStart"/>
      <w:r>
        <w:t>Dummy</w:t>
      </w:r>
      <w:proofErr w:type="spellEnd"/>
      <w:r>
        <w:t>, logistyczny model L2 i SVM traktowano jako wyjątki deterministyczne. Surowe wyniki trzech uruchomień rodzin stochastycznych wyrównywano po obserwacjach i uśredniano przed jednokrotnym obliczeniem AP.</w:t>
      </w:r>
    </w:p>
    <w:p w14:paraId="5C03B7E5" w14:textId="77777777" w:rsidR="00F64CB7" w:rsidRDefault="00000000">
      <w:r>
        <w:t xml:space="preserve">Remis w rankingu definiowano po zaokrągleniu AP do sześciu miejsc metodą ROUND_HALF_EVEN. Następnie kolejno preferowano mniejszy blok cech, prostszą rodzinę według zamrożonej kolejności, brak ważenia, niższą statyczną złożoność, etap </w:t>
      </w:r>
      <w:proofErr w:type="spellStart"/>
      <w:r>
        <w:t>coarse</w:t>
      </w:r>
      <w:proofErr w:type="spellEnd"/>
      <w:r>
        <w:t xml:space="preserve"> przed </w:t>
      </w:r>
      <w:proofErr w:type="spellStart"/>
      <w:r>
        <w:t>refinement</w:t>
      </w:r>
      <w:proofErr w:type="spellEnd"/>
      <w:r>
        <w:t xml:space="preserve"> oraz identyfikator </w:t>
      </w:r>
      <w:proofErr w:type="spellStart"/>
      <w:r>
        <w:t>config_id</w:t>
      </w:r>
      <w:proofErr w:type="spellEnd"/>
      <w:r>
        <w:t xml:space="preserve"> w porządku leksykograficznym. Odległości decydujące o aktywacji </w:t>
      </w:r>
      <w:proofErr w:type="spellStart"/>
      <w:r>
        <w:t>refinementu</w:t>
      </w:r>
      <w:proofErr w:type="spellEnd"/>
      <w:r>
        <w:t xml:space="preserve"> obliczano z wartości niezaokrąglonych.</w:t>
      </w:r>
    </w:p>
    <w:p w14:paraId="15B2C607" w14:textId="77777777" w:rsidR="00F64CB7" w:rsidRDefault="00000000">
      <w:r>
        <w:t xml:space="preserve">MLP zaimplementowano jako sekwencyjną sieć </w:t>
      </w:r>
      <w:proofErr w:type="spellStart"/>
      <w:r>
        <w:t>PyTorch</w:t>
      </w:r>
      <w:proofErr w:type="spellEnd"/>
      <w:r>
        <w:t xml:space="preserve"> zwracającą jeden </w:t>
      </w:r>
      <w:proofErr w:type="spellStart"/>
      <w:r>
        <w:t>logit</w:t>
      </w:r>
      <w:proofErr w:type="spellEnd"/>
      <w:r>
        <w:t xml:space="preserve">. Kandydaci różnili się między innymi szerokością i liczbą warstw oraz aktywacją </w:t>
      </w:r>
      <w:proofErr w:type="spellStart"/>
      <w:r>
        <w:t>ReLU</w:t>
      </w:r>
      <w:proofErr w:type="spellEnd"/>
      <w:r>
        <w:t xml:space="preserve"> albo </w:t>
      </w:r>
      <w:proofErr w:type="spellStart"/>
      <w:r>
        <w:t>tanh</w:t>
      </w:r>
      <w:proofErr w:type="spellEnd"/>
      <w:r>
        <w:t xml:space="preserve">. Stosowano jednostajną inicjalizację Xaviera, zerowe wyrazy wolne, arytmetykę float64, funkcję </w:t>
      </w:r>
      <w:proofErr w:type="spellStart"/>
      <w:r>
        <w:t>BCEWithLogitsLoss</w:t>
      </w:r>
      <w:proofErr w:type="spellEnd"/>
      <w:r>
        <w:t xml:space="preserve"> i optymalizator Adam (β₁ = 0,9; β₂ = 0,999; ε = 10⁻⁸). Kolejność </w:t>
      </w:r>
      <w:proofErr w:type="spellStart"/>
      <w:r>
        <w:t>minipartii</w:t>
      </w:r>
      <w:proofErr w:type="spellEnd"/>
      <w:r>
        <w:t xml:space="preserve"> wynikała z ziarna i roku walidacji. Norma gradientu była ograniczana do 5, a punkt kontrolny zapisywano co pięć epok</w:t>
      </w:r>
      <w:r>
        <w:rPr>
          <w:rStyle w:val="FootnoteReference"/>
          <w:sz w:val="24"/>
        </w:rPr>
        <w:footnoteReference w:id="15"/>
      </w:r>
      <w:r>
        <w:t>.</w:t>
      </w:r>
    </w:p>
    <w:p w14:paraId="0663BB5C" w14:textId="77777777" w:rsidR="00F64CB7" w:rsidRDefault="00000000">
      <w:r>
        <w:t xml:space="preserve">Hybrydowa QNN otrzymywała 4- lub 6-wymiarową reprezentację PCA. Każdą składową kodowano jednokrotnie bramką RY na odpowiadającym kubicie przed częścią wariacyjną. Po kolejnych warstwach ansatzu mierzono analityczne wartości oczekiwane Pauli-Z dla wszystkich kubitów. </w:t>
      </w:r>
      <w:proofErr w:type="spellStart"/>
      <w:r>
        <w:t>Trenowalna</w:t>
      </w:r>
      <w:proofErr w:type="spellEnd"/>
      <w:r>
        <w:t xml:space="preserve"> klasyczna warstwa liniowa odwzorowywała ten wektor na pojedynczy </w:t>
      </w:r>
      <w:proofErr w:type="spellStart"/>
      <w:r>
        <w:t>logit</w:t>
      </w:r>
      <w:proofErr w:type="spellEnd"/>
      <w:r>
        <w:t xml:space="preserve">. Parametry obwodu i głowicy uczono wspólnie za pomocą Adam i </w:t>
      </w:r>
      <w:proofErr w:type="spellStart"/>
      <w:r>
        <w:t>BCEWithLogitsLoss</w:t>
      </w:r>
      <w:proofErr w:type="spellEnd"/>
      <w:r>
        <w:t>, z inicjalizacją parametrów obwodu z rozkładu jednostajnego [−0,1; 0,1], arytmetyką float64 oraz ograniczeniem normy gradientu do 5.</w:t>
      </w:r>
    </w:p>
    <w:p w14:paraId="3B177078" w14:textId="77777777" w:rsidR="00F64CB7" w:rsidRDefault="00000000">
      <w:r>
        <w:t xml:space="preserve">W etapie Q1 porównano trzy kompletne pakiety architektury: lokalne bramki Rot z pierścieniem CNOT, lokalne RY i RZ z naprzemiennym układem CZ oraz lokalne RY z parametryzowanym pierścieniem CRX. Wszystkie korzystały z 4 kubitów, 2 warstw, 45 epok, </w:t>
      </w:r>
      <w:r>
        <w:lastRenderedPageBreak/>
        <w:t xml:space="preserve">rozmiaru partii 128, współczynnika uczenia 0,01, kary wag 0,0001 i pierwiastkowej wagi klasy. Etap wykonano dla trzech bloków cech, czyli w 9 konfiguracjach. Wybrany pakiet ROT_CNOT_RING zamrożono przed Q2. W Q2 dla każdego bloku wykonano cztery konfiguracje: (1) 4 </w:t>
      </w:r>
      <w:proofErr w:type="spellStart"/>
      <w:r>
        <w:t>kubity</w:t>
      </w:r>
      <w:proofErr w:type="spellEnd"/>
      <w:r>
        <w:t xml:space="preserve">, 2 warstwy, 45 epok, partia 128, </w:t>
      </w:r>
      <w:proofErr w:type="spellStart"/>
      <w:r>
        <w:t>lr</w:t>
      </w:r>
      <w:proofErr w:type="spellEnd"/>
      <w:r>
        <w:t xml:space="preserve"> 0,01, </w:t>
      </w:r>
      <w:proofErr w:type="spellStart"/>
      <w:r>
        <w:t>wd</w:t>
      </w:r>
      <w:proofErr w:type="spellEnd"/>
      <w:r>
        <w:t xml:space="preserve"> 0,0001 i ważenie </w:t>
      </w:r>
      <w:proofErr w:type="spellStart"/>
      <w:r>
        <w:t>sqrt</w:t>
      </w:r>
      <w:proofErr w:type="spellEnd"/>
      <w:r>
        <w:t xml:space="preserve">; (2) 4 </w:t>
      </w:r>
      <w:proofErr w:type="spellStart"/>
      <w:r>
        <w:t>kubity</w:t>
      </w:r>
      <w:proofErr w:type="spellEnd"/>
      <w:r>
        <w:t xml:space="preserve">, 1 warstwa, 30 epok, partia 256, </w:t>
      </w:r>
      <w:proofErr w:type="spellStart"/>
      <w:r>
        <w:t>lr</w:t>
      </w:r>
      <w:proofErr w:type="spellEnd"/>
      <w:r>
        <w:t xml:space="preserve"> 0,03, </w:t>
      </w:r>
      <w:proofErr w:type="spellStart"/>
      <w:r>
        <w:t>wd</w:t>
      </w:r>
      <w:proofErr w:type="spellEnd"/>
      <w:r>
        <w:t xml:space="preserve"> 0 i brak ważenia; (3) 6 kubitów, 2 warstwy, 45 epok, partia 128, </w:t>
      </w:r>
      <w:proofErr w:type="spellStart"/>
      <w:r>
        <w:t>lr</w:t>
      </w:r>
      <w:proofErr w:type="spellEnd"/>
      <w:r>
        <w:t xml:space="preserve"> 0,01, </w:t>
      </w:r>
      <w:proofErr w:type="spellStart"/>
      <w:r>
        <w:t>wd</w:t>
      </w:r>
      <w:proofErr w:type="spellEnd"/>
      <w:r>
        <w:t xml:space="preserve"> 0,0001 i ważenie </w:t>
      </w:r>
      <w:proofErr w:type="spellStart"/>
      <w:r>
        <w:t>sqrt</w:t>
      </w:r>
      <w:proofErr w:type="spellEnd"/>
      <w:r>
        <w:t xml:space="preserve">; (4) 6 kubitów, 3 warstwy, 60 epok, partia 256, </w:t>
      </w:r>
      <w:proofErr w:type="spellStart"/>
      <w:r>
        <w:t>lr</w:t>
      </w:r>
      <w:proofErr w:type="spellEnd"/>
      <w:r>
        <w:t xml:space="preserve"> 0,003, </w:t>
      </w:r>
      <w:proofErr w:type="spellStart"/>
      <w:r>
        <w:t>wd</w:t>
      </w:r>
      <w:proofErr w:type="spellEnd"/>
      <w:r>
        <w:t xml:space="preserve"> 0,001 i brak ważenia. Łącznie Q2 objęło 12 konfiguracji.</w:t>
      </w:r>
    </w:p>
    <w:p w14:paraId="0D428057" w14:textId="77777777" w:rsidR="00F64CB7" w:rsidRDefault="00000000">
      <w:r>
        <w:t xml:space="preserve">Finalne obliczenia QNN przeprowadzono analitycznie na klasycznym symulatorze </w:t>
      </w:r>
      <w:proofErr w:type="spellStart"/>
      <w:proofErr w:type="gramStart"/>
      <w:r>
        <w:t>lightning.qubit</w:t>
      </w:r>
      <w:proofErr w:type="spellEnd"/>
      <w:proofErr w:type="gramEnd"/>
      <w:r>
        <w:t xml:space="preserve">, z </w:t>
      </w:r>
      <w:proofErr w:type="spellStart"/>
      <w:r>
        <w:t>shots</w:t>
      </w:r>
      <w:proofErr w:type="spellEnd"/>
      <w:r>
        <w:t xml:space="preserve"> = </w:t>
      </w:r>
      <w:proofErr w:type="spellStart"/>
      <w:r>
        <w:t>None</w:t>
      </w:r>
      <w:proofErr w:type="spellEnd"/>
      <w:r>
        <w:t xml:space="preserve">, interfejsem </w:t>
      </w:r>
      <w:proofErr w:type="spellStart"/>
      <w:r>
        <w:t>PyTorch</w:t>
      </w:r>
      <w:proofErr w:type="spellEnd"/>
      <w:r>
        <w:t xml:space="preserve"> i różniczkowaniem </w:t>
      </w:r>
      <w:proofErr w:type="spellStart"/>
      <w:r>
        <w:t>adjoint</w:t>
      </w:r>
      <w:proofErr w:type="spellEnd"/>
      <w:r>
        <w:t>. Wszystkie konfiguracje Q1 i Q2 oraz potwierdzenie z użyciem trzech ziaren losowych wykonano w tym samym środowisku i zamrożono. Badanie nie wykorzystywało procesora kwantowego, skończonej liczby pomiarów ani modelu szumu; jego wyniki nie stanowią testu przewagi kwantowej.</w:t>
      </w:r>
      <w:r>
        <w:rPr>
          <w:rStyle w:val="FootnoteReference"/>
          <w:sz w:val="24"/>
        </w:rPr>
        <w:footnoteReference w:id="16"/>
      </w:r>
      <w:r>
        <w:rPr>
          <w:rStyle w:val="FootnoteReference"/>
          <w:sz w:val="24"/>
        </w:rPr>
        <w:footnoteReference w:id="17"/>
      </w:r>
    </w:p>
    <w:p w14:paraId="4B424DCA" w14:textId="77777777" w:rsidR="00F64CB7" w:rsidRDefault="00000000">
      <w:r>
        <w:t xml:space="preserve">Zamrożone konfiguracje dziewięciu reprezentantów rodzin przedstawiono w tabeli </w:t>
      </w:r>
      <w:r>
        <w:fldChar w:fldCharType="begin"/>
      </w:r>
      <w:r>
        <w:instrText xml:space="preserve"> REF R4_Tabela_4_5 \h </w:instrText>
      </w:r>
      <w:r>
        <w:fldChar w:fldCharType="separate"/>
      </w:r>
      <w:r>
        <w:t>4.5</w:t>
      </w:r>
      <w:r>
        <w:fldChar w:fldCharType="end"/>
      </w:r>
      <w:r>
        <w:t>. Dodatkowa ścieżka doprecyzowania MLP w bloku L+D była wtórnym komparatorem neuronowym i nie zastępowała reprezentanta tej rodziny wyłonionego w głównym rankingu z wyszukiwania wstępnego.</w:t>
      </w:r>
    </w:p>
    <w:p w14:paraId="49AF2376" w14:textId="77777777" w:rsidR="00F64CB7" w:rsidRDefault="00000000">
      <w:pPr>
        <w:pStyle w:val="Caption"/>
        <w:ind w:firstLine="0"/>
      </w:pPr>
      <w:r>
        <w:t xml:space="preserve">Tabela </w:t>
      </w:r>
      <w:bookmarkStart w:id="6" w:name="R4_Tabela_4_5"/>
      <w:r>
        <w:t>4.</w:t>
      </w:r>
      <w:fldSimple w:instr=" SEQ Tabela \* ARABIC ">
        <w:r>
          <w:t>5</w:t>
        </w:r>
      </w:fldSimple>
      <w:bookmarkEnd w:id="6"/>
      <w:r>
        <w:t xml:space="preserve">. </w:t>
      </w:r>
      <w:proofErr w:type="gramStart"/>
      <w:r>
        <w:t>Finalni</w:t>
      </w:r>
      <w:proofErr w:type="gramEnd"/>
      <w:r>
        <w:t xml:space="preserve"> reprezentanci rodzin użyci po zakończeniu selekcji rozwojowej</w:t>
      </w:r>
    </w:p>
    <w:tbl>
      <w:tblPr>
        <w:tblStyle w:val="TableGrid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247"/>
        <w:gridCol w:w="6010"/>
      </w:tblGrid>
      <w:tr w:rsidR="00F64CB7" w14:paraId="18E43596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F040FA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16"/>
              </w:rPr>
              <w:t>Rodzina</w:t>
            </w:r>
          </w:p>
        </w:tc>
        <w:tc>
          <w:tcPr>
            <w:tcW w:w="1247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F9B23A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16"/>
              </w:rPr>
              <w:t>Blok</w:t>
            </w:r>
          </w:p>
        </w:tc>
        <w:tc>
          <w:tcPr>
            <w:tcW w:w="6010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373B21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16"/>
              </w:rPr>
              <w:t>Zamrożona konfiguracja</w:t>
            </w:r>
          </w:p>
        </w:tc>
      </w:tr>
      <w:tr w:rsidR="00F64CB7" w14:paraId="1AD8BDF3" w14:textId="77777777">
        <w:trPr>
          <w:cantSplit/>
          <w:jc w:val="center"/>
        </w:trPr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E871BF" w14:textId="77777777" w:rsidR="00F64CB7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6"/>
              </w:rPr>
              <w:t>Dummy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prior</w:t>
            </w:r>
            <w:proofErr w:type="spellEnd"/>
          </w:p>
        </w:tc>
        <w:tc>
          <w:tcPr>
            <w:tcW w:w="124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604CFB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Niezależny od bloku</w:t>
            </w:r>
          </w:p>
        </w:tc>
        <w:tc>
          <w:tcPr>
            <w:tcW w:w="601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76138D" w14:textId="77777777" w:rsidR="00F64CB7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6"/>
              </w:rPr>
              <w:t>strategy</w:t>
            </w:r>
            <w:proofErr w:type="spellEnd"/>
            <w:r>
              <w:rPr>
                <w:sz w:val="16"/>
              </w:rPr>
              <w:t xml:space="preserve"> = </w:t>
            </w:r>
            <w:proofErr w:type="spellStart"/>
            <w:r>
              <w:rPr>
                <w:sz w:val="16"/>
              </w:rPr>
              <w:t>prior</w:t>
            </w:r>
            <w:proofErr w:type="spellEnd"/>
            <w:r>
              <w:rPr>
                <w:sz w:val="16"/>
              </w:rPr>
              <w:t>; bez ważenia</w:t>
            </w:r>
          </w:p>
        </w:tc>
      </w:tr>
      <w:tr w:rsidR="00F64CB7" w14:paraId="1D83CDE8" w14:textId="77777777">
        <w:trPr>
          <w:cantSplit/>
          <w:jc w:val="center"/>
        </w:trPr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FBCFD3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Regresja logistyczna L2</w:t>
            </w:r>
          </w:p>
        </w:tc>
        <w:tc>
          <w:tcPr>
            <w:tcW w:w="124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607C23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L+D+R</w:t>
            </w:r>
          </w:p>
        </w:tc>
        <w:tc>
          <w:tcPr>
            <w:tcW w:w="601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87242E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 xml:space="preserve">C = 1; ważenie </w:t>
            </w:r>
            <w:proofErr w:type="spellStart"/>
            <w:r>
              <w:rPr>
                <w:sz w:val="16"/>
              </w:rPr>
              <w:t>sqrt</w:t>
            </w:r>
            <w:proofErr w:type="spellEnd"/>
          </w:p>
        </w:tc>
      </w:tr>
      <w:tr w:rsidR="00F64CB7" w14:paraId="77D5C5EE" w14:textId="77777777">
        <w:trPr>
          <w:cantSplit/>
          <w:jc w:val="center"/>
        </w:trPr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7F04E9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 xml:space="preserve">Regresja </w:t>
            </w:r>
            <w:proofErr w:type="spellStart"/>
            <w:r>
              <w:rPr>
                <w:sz w:val="16"/>
              </w:rPr>
              <w:t>elastic</w:t>
            </w:r>
            <w:proofErr w:type="spellEnd"/>
            <w:r>
              <w:rPr>
                <w:sz w:val="16"/>
              </w:rPr>
              <w:t xml:space="preserve"> net</w:t>
            </w:r>
          </w:p>
        </w:tc>
        <w:tc>
          <w:tcPr>
            <w:tcW w:w="124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EC515B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L+D+R</w:t>
            </w:r>
          </w:p>
        </w:tc>
        <w:tc>
          <w:tcPr>
            <w:tcW w:w="601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FA13C8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 xml:space="preserve">C = 0,01; l1_ratio = 0,25; ważenie </w:t>
            </w:r>
            <w:proofErr w:type="spellStart"/>
            <w:r>
              <w:rPr>
                <w:sz w:val="16"/>
              </w:rPr>
              <w:t>sqrt</w:t>
            </w:r>
            <w:proofErr w:type="spellEnd"/>
          </w:p>
        </w:tc>
      </w:tr>
      <w:tr w:rsidR="00F64CB7" w14:paraId="171E7FA3" w14:textId="77777777">
        <w:trPr>
          <w:cantSplit/>
          <w:jc w:val="center"/>
        </w:trPr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173957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SVM RBF</w:t>
            </w:r>
          </w:p>
        </w:tc>
        <w:tc>
          <w:tcPr>
            <w:tcW w:w="124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FF9E71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L+D+R</w:t>
            </w:r>
          </w:p>
        </w:tc>
        <w:tc>
          <w:tcPr>
            <w:tcW w:w="601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6E14BE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 xml:space="preserve">C = 1; gamma = 0,01; ważenie </w:t>
            </w:r>
            <w:proofErr w:type="spellStart"/>
            <w:r>
              <w:rPr>
                <w:sz w:val="16"/>
              </w:rPr>
              <w:t>sqrt</w:t>
            </w:r>
            <w:proofErr w:type="spellEnd"/>
          </w:p>
        </w:tc>
      </w:tr>
      <w:tr w:rsidR="00F64CB7" w:rsidRPr="00431573" w14:paraId="4A5B97BC" w14:textId="77777777">
        <w:trPr>
          <w:cantSplit/>
          <w:jc w:val="center"/>
        </w:trPr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13560D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Random Forest</w:t>
            </w:r>
          </w:p>
        </w:tc>
        <w:tc>
          <w:tcPr>
            <w:tcW w:w="124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D8EF49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L+D+R</w:t>
            </w:r>
          </w:p>
        </w:tc>
        <w:tc>
          <w:tcPr>
            <w:tcW w:w="601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60B70F" w14:textId="77777777" w:rsidR="00F64CB7" w:rsidRPr="00431573" w:rsidRDefault="00000000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431573">
              <w:rPr>
                <w:sz w:val="16"/>
                <w:lang w:val="en-US"/>
              </w:rPr>
              <w:t>n_estimators = 600; criterion = gini; max_depth = 6; min_samples_leaf = 5; max_features = 0,5; max_samples = 1,0; bez ważenia</w:t>
            </w:r>
          </w:p>
        </w:tc>
      </w:tr>
      <w:tr w:rsidR="00F64CB7" w:rsidRPr="00431573" w14:paraId="7CE8D815" w14:textId="77777777">
        <w:trPr>
          <w:cantSplit/>
          <w:jc w:val="center"/>
        </w:trPr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D8E69B" w14:textId="77777777" w:rsidR="00F64CB7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6"/>
              </w:rPr>
              <w:t>HistGradientBoosting</w:t>
            </w:r>
            <w:proofErr w:type="spellEnd"/>
          </w:p>
        </w:tc>
        <w:tc>
          <w:tcPr>
            <w:tcW w:w="124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13A3F2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L+D+R</w:t>
            </w:r>
          </w:p>
        </w:tc>
        <w:tc>
          <w:tcPr>
            <w:tcW w:w="601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855A60" w14:textId="77777777" w:rsidR="00F64CB7" w:rsidRPr="00431573" w:rsidRDefault="00000000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431573">
              <w:rPr>
                <w:sz w:val="16"/>
                <w:lang w:val="en-US"/>
              </w:rPr>
              <w:t>learning_rate = 0,06; max_iter = 300; max_leaf_nodes = 7; min_samples_leaf = 50; L2 = 1; max_features = 1; bez ważenia</w:t>
            </w:r>
          </w:p>
        </w:tc>
      </w:tr>
      <w:tr w:rsidR="00F64CB7" w:rsidRPr="00431573" w14:paraId="5B2CC1AA" w14:textId="77777777">
        <w:trPr>
          <w:cantSplit/>
          <w:jc w:val="center"/>
        </w:trPr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B69B36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XGBoost</w:t>
            </w:r>
          </w:p>
        </w:tc>
        <w:tc>
          <w:tcPr>
            <w:tcW w:w="124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6D2A93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L+D+R</w:t>
            </w:r>
          </w:p>
        </w:tc>
        <w:tc>
          <w:tcPr>
            <w:tcW w:w="601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073FF1" w14:textId="77777777" w:rsidR="00F64CB7" w:rsidRPr="00431573" w:rsidRDefault="00000000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431573">
              <w:rPr>
                <w:sz w:val="16"/>
                <w:lang w:val="en-US"/>
              </w:rPr>
              <w:t xml:space="preserve">n_estimators = 500; max_depth = 2; lr = 0,02; min_child_weight = 20; subsample = 1; colsample = 0,7; </w:t>
            </w:r>
            <w:r>
              <w:rPr>
                <w:sz w:val="16"/>
              </w:rPr>
              <w:t>α</w:t>
            </w:r>
            <w:r w:rsidRPr="00431573">
              <w:rPr>
                <w:sz w:val="16"/>
                <w:lang w:val="en-US"/>
              </w:rPr>
              <w:t xml:space="preserve"> = 0; </w:t>
            </w:r>
            <w:r>
              <w:rPr>
                <w:sz w:val="16"/>
              </w:rPr>
              <w:t>λ</w:t>
            </w:r>
            <w:r w:rsidRPr="00431573">
              <w:rPr>
                <w:sz w:val="16"/>
                <w:lang w:val="en-US"/>
              </w:rPr>
              <w:t xml:space="preserve"> = 1; ważenie sqrt</w:t>
            </w:r>
          </w:p>
        </w:tc>
      </w:tr>
      <w:tr w:rsidR="00F64CB7" w14:paraId="6EFB3691" w14:textId="77777777">
        <w:trPr>
          <w:cantSplit/>
          <w:jc w:val="center"/>
        </w:trPr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0E6AAD" w14:textId="77777777" w:rsidR="00F64CB7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6"/>
              </w:rPr>
              <w:t>PyTorch</w:t>
            </w:r>
            <w:proofErr w:type="spellEnd"/>
            <w:r>
              <w:rPr>
                <w:sz w:val="16"/>
              </w:rPr>
              <w:t xml:space="preserve"> MLP</w:t>
            </w:r>
          </w:p>
        </w:tc>
        <w:tc>
          <w:tcPr>
            <w:tcW w:w="124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1F5978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L+D+R</w:t>
            </w:r>
          </w:p>
        </w:tc>
        <w:tc>
          <w:tcPr>
            <w:tcW w:w="601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B83CA5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 xml:space="preserve">[64], </w:t>
            </w:r>
            <w:proofErr w:type="spellStart"/>
            <w:r>
              <w:rPr>
                <w:sz w:val="16"/>
              </w:rPr>
              <w:t>ReLU</w:t>
            </w:r>
            <w:proofErr w:type="spellEnd"/>
            <w:r>
              <w:rPr>
                <w:sz w:val="16"/>
              </w:rPr>
              <w:t xml:space="preserve">; 200 epok; </w:t>
            </w:r>
            <w:proofErr w:type="spellStart"/>
            <w:r>
              <w:rPr>
                <w:sz w:val="16"/>
              </w:rPr>
              <w:t>lr</w:t>
            </w:r>
            <w:proofErr w:type="spellEnd"/>
            <w:r>
              <w:rPr>
                <w:sz w:val="16"/>
              </w:rPr>
              <w:t xml:space="preserve"> = 0,0003; partia = 256; </w:t>
            </w:r>
            <w:proofErr w:type="spellStart"/>
            <w:r>
              <w:rPr>
                <w:sz w:val="16"/>
              </w:rPr>
              <w:t>wd</w:t>
            </w:r>
            <w:proofErr w:type="spellEnd"/>
            <w:r>
              <w:rPr>
                <w:sz w:val="16"/>
              </w:rPr>
              <w:t xml:space="preserve"> = 0,001; ważenie </w:t>
            </w:r>
            <w:proofErr w:type="spellStart"/>
            <w:r>
              <w:rPr>
                <w:sz w:val="16"/>
              </w:rPr>
              <w:t>sqrt</w:t>
            </w:r>
            <w:proofErr w:type="spellEnd"/>
          </w:p>
        </w:tc>
      </w:tr>
      <w:tr w:rsidR="00F64CB7" w14:paraId="3E884409" w14:textId="77777777">
        <w:trPr>
          <w:cantSplit/>
          <w:jc w:val="center"/>
        </w:trPr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695475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QNN</w:t>
            </w:r>
          </w:p>
        </w:tc>
        <w:tc>
          <w:tcPr>
            <w:tcW w:w="124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D9E90B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L+D+R</w:t>
            </w:r>
          </w:p>
        </w:tc>
        <w:tc>
          <w:tcPr>
            <w:tcW w:w="601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CE0AFD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 xml:space="preserve">ROT_CNOT_RING; 4 </w:t>
            </w:r>
            <w:proofErr w:type="spellStart"/>
            <w:r>
              <w:rPr>
                <w:sz w:val="16"/>
              </w:rPr>
              <w:t>kubity</w:t>
            </w:r>
            <w:proofErr w:type="spellEnd"/>
            <w:r>
              <w:rPr>
                <w:sz w:val="16"/>
              </w:rPr>
              <w:t xml:space="preserve">; 2 warstwy; 45 epok; </w:t>
            </w:r>
            <w:proofErr w:type="spellStart"/>
            <w:r>
              <w:rPr>
                <w:sz w:val="16"/>
              </w:rPr>
              <w:t>lr</w:t>
            </w:r>
            <w:proofErr w:type="spellEnd"/>
            <w:r>
              <w:rPr>
                <w:sz w:val="16"/>
              </w:rPr>
              <w:t xml:space="preserve"> = 0,01; partia = 128; </w:t>
            </w:r>
            <w:proofErr w:type="spellStart"/>
            <w:r>
              <w:rPr>
                <w:sz w:val="16"/>
              </w:rPr>
              <w:t>wd</w:t>
            </w:r>
            <w:proofErr w:type="spellEnd"/>
            <w:r>
              <w:rPr>
                <w:sz w:val="16"/>
              </w:rPr>
              <w:t xml:space="preserve"> = 0,0001; ważenie </w:t>
            </w:r>
            <w:proofErr w:type="spellStart"/>
            <w:r>
              <w:rPr>
                <w:sz w:val="16"/>
              </w:rPr>
              <w:t>sqrt</w:t>
            </w:r>
            <w:proofErr w:type="spellEnd"/>
          </w:p>
        </w:tc>
      </w:tr>
    </w:tbl>
    <w:p w14:paraId="0CA6D9A0" w14:textId="77777777" w:rsidR="00F64CB7" w:rsidRDefault="00000000">
      <w:pPr>
        <w:spacing w:before="40" w:after="120" w:line="240" w:lineRule="auto"/>
        <w:ind w:firstLine="0"/>
        <w:jc w:val="left"/>
      </w:pPr>
      <w:r>
        <w:rPr>
          <w:sz w:val="18"/>
        </w:rPr>
        <w:t>Źródło: opracowanie własne na podstawie reports/primary_thesis_reporting_v1_0_0/tables/01_development_family_ranking.csv. Wyniki jakości i kolejność modeli przedstawiono w rozdziale 5.</w:t>
      </w:r>
    </w:p>
    <w:p w14:paraId="77F7861F" w14:textId="77777777" w:rsidR="00F64CB7" w:rsidRDefault="00000000">
      <w:r>
        <w:lastRenderedPageBreak/>
        <w:t xml:space="preserve">Środowiska wykonawcze były rozdzielone i zablokowane plikami zależności wraz z sumami kontrolnymi SHA-256. Modele klasyczne uruchamiano w Pythonie 3.13.13 z </w:t>
      </w:r>
      <w:proofErr w:type="spellStart"/>
      <w:r>
        <w:t>scikit-learn</w:t>
      </w:r>
      <w:proofErr w:type="spellEnd"/>
      <w:r>
        <w:t xml:space="preserve"> 1.8.0 i XGBoost 3.4.1, natomiast MLP i QNN w Pythonie 3.12.2 z </w:t>
      </w:r>
      <w:proofErr w:type="spellStart"/>
      <w:r>
        <w:t>PyTorch</w:t>
      </w:r>
      <w:proofErr w:type="spellEnd"/>
      <w:r>
        <w:t xml:space="preserve"> 2.13.0, </w:t>
      </w:r>
      <w:proofErr w:type="spellStart"/>
      <w:r>
        <w:t>PennyLane</w:t>
      </w:r>
      <w:proofErr w:type="spellEnd"/>
      <w:r>
        <w:t xml:space="preserve"> 0.45.1 i </w:t>
      </w:r>
      <w:proofErr w:type="spellStart"/>
      <w:r>
        <w:t>pennylane-lightning</w:t>
      </w:r>
      <w:proofErr w:type="spellEnd"/>
      <w:r>
        <w:t xml:space="preserve"> 0.45.0. Wątki bibliotek numerycznych, </w:t>
      </w:r>
      <w:proofErr w:type="spellStart"/>
      <w:r>
        <w:t>scikit-learn</w:t>
      </w:r>
      <w:proofErr w:type="spellEnd"/>
      <w:r>
        <w:t xml:space="preserve">, XGBoost i </w:t>
      </w:r>
      <w:proofErr w:type="spellStart"/>
      <w:r>
        <w:t>PyTorch</w:t>
      </w:r>
      <w:proofErr w:type="spellEnd"/>
      <w:r>
        <w:t xml:space="preserve"> ograniczono do jednego, algorytmy </w:t>
      </w:r>
      <w:proofErr w:type="spellStart"/>
      <w:r>
        <w:t>PyTorch</w:t>
      </w:r>
      <w:proofErr w:type="spellEnd"/>
      <w:r>
        <w:t xml:space="preserve"> ustawiono jako deterministyczne, a wykonanie odbywało się na CPU.</w:t>
      </w:r>
    </w:p>
    <w:p w14:paraId="6DE13989" w14:textId="77777777" w:rsidR="00F64CB7" w:rsidRDefault="00000000">
      <w:pPr>
        <w:pStyle w:val="Heading1"/>
        <w:jc w:val="left"/>
      </w:pPr>
      <w:r>
        <w:rPr>
          <w:rFonts w:ascii="Times New Roman" w:hAnsi="Times New Roman" w:cs="Times New Roman"/>
        </w:rPr>
        <w:t>4.5. Procedura ewaluacji, analiza stabilności i porównanie modeli</w:t>
      </w:r>
    </w:p>
    <w:p w14:paraId="74693AB9" w14:textId="77777777" w:rsidR="00F64CB7" w:rsidRDefault="00000000">
      <w:r>
        <w:t>Główne porównanie oparto na sześciu podziałach walidacji czasowej typu rozszerzającego się okna (</w:t>
      </w:r>
      <w:proofErr w:type="spellStart"/>
      <w:r>
        <w:t>expanding</w:t>
      </w:r>
      <w:proofErr w:type="spellEnd"/>
      <w:r>
        <w:t xml:space="preserve"> window). Każdy rok walidacyjny od 2015 do 2020 był oceniany na obserwacjach późniejszych niż trening, a bezpośrednio poprzedzający rok pełnił funkcję embarga etykiety. Dodatkowo obserwacja treningowa mogła wejść do danego podziału tylko wtedy, gdy jej </w:t>
      </w:r>
      <w:proofErr w:type="spellStart"/>
      <w:r>
        <w:t>target_available_at</w:t>
      </w:r>
      <w:proofErr w:type="spellEnd"/>
      <w:r>
        <w:t xml:space="preserve"> nie przekraczał najwcześniejszego czasu predykcji w danym roku walidacyjnym. Wszystkie transformatory, PCA i modele dopasowywano od początku wewnątrz podziału. Granice i liczebności podziałów podano w tabeli </w:t>
      </w:r>
      <w:r>
        <w:fldChar w:fldCharType="begin"/>
      </w:r>
      <w:r>
        <w:instrText xml:space="preserve"> REF R4_Tabela_4_6 \h </w:instrText>
      </w:r>
      <w:r>
        <w:fldChar w:fldCharType="separate"/>
      </w:r>
      <w:r>
        <w:t>4.6</w:t>
      </w:r>
      <w:r>
        <w:fldChar w:fldCharType="end"/>
      </w:r>
      <w:r>
        <w:t>.</w:t>
      </w:r>
      <w:r>
        <w:rPr>
          <w:rStyle w:val="FootnoteReference"/>
          <w:sz w:val="24"/>
        </w:rPr>
        <w:footnoteReference w:id="18"/>
      </w:r>
    </w:p>
    <w:p w14:paraId="03FEB216" w14:textId="77777777" w:rsidR="00F64CB7" w:rsidRDefault="00000000">
      <w:pPr>
        <w:pStyle w:val="Caption"/>
        <w:ind w:firstLine="0"/>
      </w:pPr>
      <w:r>
        <w:t xml:space="preserve">Tabela </w:t>
      </w:r>
      <w:bookmarkStart w:id="7" w:name="R4_Tabela_4_6"/>
      <w:r>
        <w:t>4.</w:t>
      </w:r>
      <w:fldSimple w:instr=" SEQ Tabela \* ARABIC ">
        <w:r>
          <w:t>6</w:t>
        </w:r>
      </w:fldSimple>
      <w:bookmarkEnd w:id="7"/>
      <w:r>
        <w:t>. Podziały głównej walidacji czasowej</w:t>
      </w:r>
    </w:p>
    <w:tbl>
      <w:tblPr>
        <w:tblStyle w:val="TableGrid"/>
        <w:tblW w:w="9070" w:type="dxa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2268"/>
        <w:gridCol w:w="1587"/>
        <w:gridCol w:w="1814"/>
        <w:gridCol w:w="1814"/>
      </w:tblGrid>
      <w:tr w:rsidR="00F64CB7" w14:paraId="3587C433" w14:textId="77777777">
        <w:trPr>
          <w:cantSplit/>
          <w:tblHeader/>
          <w:jc w:val="center"/>
        </w:trPr>
        <w:tc>
          <w:tcPr>
            <w:tcW w:w="1587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02B89A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18"/>
              </w:rPr>
              <w:t>Rok walidacji</w:t>
            </w:r>
          </w:p>
        </w:tc>
        <w:tc>
          <w:tcPr>
            <w:tcW w:w="2268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70D824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18"/>
              </w:rPr>
              <w:t>Lata treningowe</w:t>
            </w:r>
          </w:p>
        </w:tc>
        <w:tc>
          <w:tcPr>
            <w:tcW w:w="1587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20C202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18"/>
              </w:rPr>
              <w:t>Rok embarga</w:t>
            </w:r>
          </w:p>
        </w:tc>
        <w:tc>
          <w:tcPr>
            <w:tcW w:w="1814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BF93E8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18"/>
              </w:rPr>
              <w:t>N treningu</w:t>
            </w:r>
          </w:p>
        </w:tc>
        <w:tc>
          <w:tcPr>
            <w:tcW w:w="1814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99E235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18"/>
              </w:rPr>
              <w:t>N walidacji</w:t>
            </w:r>
          </w:p>
        </w:tc>
      </w:tr>
      <w:tr w:rsidR="00F64CB7" w14:paraId="5364CDAC" w14:textId="77777777">
        <w:trPr>
          <w:cantSplit/>
          <w:jc w:val="center"/>
        </w:trPr>
        <w:tc>
          <w:tcPr>
            <w:tcW w:w="158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7EB42A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2015</w:t>
            </w:r>
          </w:p>
        </w:tc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D28EB7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2011–2013</w:t>
            </w:r>
          </w:p>
        </w:tc>
        <w:tc>
          <w:tcPr>
            <w:tcW w:w="158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B9EC0E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2014</w:t>
            </w:r>
          </w:p>
        </w:tc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A1AC61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6 468</w:t>
            </w:r>
          </w:p>
        </w:tc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5ED02A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2 241</w:t>
            </w:r>
          </w:p>
        </w:tc>
      </w:tr>
      <w:tr w:rsidR="00F64CB7" w14:paraId="58603A59" w14:textId="77777777">
        <w:trPr>
          <w:cantSplit/>
          <w:jc w:val="center"/>
        </w:trPr>
        <w:tc>
          <w:tcPr>
            <w:tcW w:w="158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332755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2016</w:t>
            </w:r>
          </w:p>
        </w:tc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78DEA5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2011–2014</w:t>
            </w:r>
          </w:p>
        </w:tc>
        <w:tc>
          <w:tcPr>
            <w:tcW w:w="158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020F98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2015</w:t>
            </w:r>
          </w:p>
        </w:tc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1D2824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8 761</w:t>
            </w:r>
          </w:p>
        </w:tc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99B276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2 133</w:t>
            </w:r>
          </w:p>
        </w:tc>
      </w:tr>
      <w:tr w:rsidR="00F64CB7" w14:paraId="1804EBE2" w14:textId="77777777">
        <w:trPr>
          <w:cantSplit/>
          <w:jc w:val="center"/>
        </w:trPr>
        <w:tc>
          <w:tcPr>
            <w:tcW w:w="158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AB4E3B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2017</w:t>
            </w:r>
          </w:p>
        </w:tc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E52ED7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2011–2015</w:t>
            </w:r>
          </w:p>
        </w:tc>
        <w:tc>
          <w:tcPr>
            <w:tcW w:w="158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4295E4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2016</w:t>
            </w:r>
          </w:p>
        </w:tc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7D36FA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11 089</w:t>
            </w:r>
          </w:p>
        </w:tc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B2E4EC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1 549</w:t>
            </w:r>
          </w:p>
        </w:tc>
      </w:tr>
      <w:tr w:rsidR="00F64CB7" w14:paraId="65CE1844" w14:textId="77777777">
        <w:trPr>
          <w:cantSplit/>
          <w:jc w:val="center"/>
        </w:trPr>
        <w:tc>
          <w:tcPr>
            <w:tcW w:w="158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D9EEC8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2018</w:t>
            </w:r>
          </w:p>
        </w:tc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AA328B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2011–2016</w:t>
            </w:r>
          </w:p>
        </w:tc>
        <w:tc>
          <w:tcPr>
            <w:tcW w:w="158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61C7B4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2017</w:t>
            </w:r>
          </w:p>
        </w:tc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3709A0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13 221</w:t>
            </w:r>
          </w:p>
        </w:tc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7912AB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1 511</w:t>
            </w:r>
          </w:p>
        </w:tc>
      </w:tr>
      <w:tr w:rsidR="00F64CB7" w14:paraId="61EEB520" w14:textId="77777777">
        <w:trPr>
          <w:cantSplit/>
          <w:jc w:val="center"/>
        </w:trPr>
        <w:tc>
          <w:tcPr>
            <w:tcW w:w="158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85C2FE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2019</w:t>
            </w:r>
          </w:p>
        </w:tc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965F64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2011–2017</w:t>
            </w:r>
          </w:p>
        </w:tc>
        <w:tc>
          <w:tcPr>
            <w:tcW w:w="158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D6665C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2018</w:t>
            </w:r>
          </w:p>
        </w:tc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218188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14 783</w:t>
            </w:r>
          </w:p>
        </w:tc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731B65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1 638</w:t>
            </w:r>
          </w:p>
        </w:tc>
      </w:tr>
      <w:tr w:rsidR="00F64CB7" w14:paraId="1DEEFA59" w14:textId="77777777">
        <w:trPr>
          <w:cantSplit/>
          <w:jc w:val="center"/>
        </w:trPr>
        <w:tc>
          <w:tcPr>
            <w:tcW w:w="158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A778C0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2020</w:t>
            </w:r>
          </w:p>
        </w:tc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D01559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2011–2018</w:t>
            </w:r>
          </w:p>
        </w:tc>
        <w:tc>
          <w:tcPr>
            <w:tcW w:w="158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CFC8A2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2019</w:t>
            </w:r>
          </w:p>
        </w:tc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50A566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16 280</w:t>
            </w:r>
          </w:p>
        </w:tc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E61CE3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1 688</w:t>
            </w:r>
          </w:p>
        </w:tc>
      </w:tr>
    </w:tbl>
    <w:p w14:paraId="7406DF8D" w14:textId="77777777" w:rsidR="00F64CB7" w:rsidRDefault="00000000">
      <w:pPr>
        <w:spacing w:before="40" w:after="120" w:line="240" w:lineRule="auto"/>
        <w:ind w:firstLine="0"/>
        <w:jc w:val="left"/>
      </w:pPr>
      <w:r>
        <w:rPr>
          <w:sz w:val="18"/>
        </w:rPr>
        <w:t xml:space="preserve">Źródło: opracowanie własne na podstawie </w:t>
      </w:r>
      <w:proofErr w:type="spellStart"/>
      <w:r>
        <w:rPr>
          <w:sz w:val="18"/>
        </w:rPr>
        <w:t>configs</w:t>
      </w:r>
      <w:proofErr w:type="spellEnd"/>
      <w:r>
        <w:rPr>
          <w:sz w:val="18"/>
        </w:rPr>
        <w:t>/supervised_ml_pipeline_v1_3_0_timezone_fix.yaml.</w:t>
      </w:r>
    </w:p>
    <w:p w14:paraId="46BB1F68" w14:textId="77777777" w:rsidR="00F64CB7" w:rsidRDefault="00000000">
      <w:r>
        <w:t>Predykcje z sześciu lat łączono w pulę out-of-</w:t>
      </w:r>
      <w:proofErr w:type="spellStart"/>
      <w:r>
        <w:t>fold</w:t>
      </w:r>
      <w:proofErr w:type="spellEnd"/>
      <w:r>
        <w:t xml:space="preserve"> (OOF) liczącą 10 760 obserwacji. Podstawową miarą rankingu była średnia precyzja (</w:t>
      </w:r>
      <w:proofErr w:type="spellStart"/>
      <w:r>
        <w:t>average</w:t>
      </w:r>
      <w:proofErr w:type="spellEnd"/>
      <w:r>
        <w:t xml:space="preserve"> precision, AP) obliczona raz na połączonych surowych wynikach OOF; w starszych artefaktach projektu miarę tę oznaczano nazwą PR-AUC. AP nie była liczona jako trapezoidalne pole pod krzywą precision–recall, lecz zgodnie z definicją </w:t>
      </w:r>
      <w:proofErr w:type="spellStart"/>
      <w:r>
        <w:t>average_precision_score</w:t>
      </w:r>
      <w:proofErr w:type="spellEnd"/>
      <w:r>
        <w:t xml:space="preserve"> w </w:t>
      </w:r>
      <w:proofErr w:type="spellStart"/>
      <w:r>
        <w:t>scikit-learn</w:t>
      </w:r>
      <w:proofErr w:type="spellEnd"/>
      <w:r>
        <w:t>, jako średnia precyzji ważona przyrostami czułości.</w:t>
      </w:r>
      <w:r>
        <w:rPr>
          <w:rStyle w:val="FootnoteReference"/>
          <w:sz w:val="24"/>
        </w:rPr>
        <w:footnoteReference w:id="19"/>
      </w:r>
    </w:p>
    <w:p w14:paraId="13B0A3F0" w14:textId="77777777" w:rsidR="00F64CB7" w:rsidRDefault="00000000">
      <w:r>
        <w:lastRenderedPageBreak/>
        <w:t xml:space="preserve">Pomocniczo raportowano ROC-AUC, roczne AP, średnią i odchylenie standardowe AP między </w:t>
      </w:r>
      <w:proofErr w:type="spellStart"/>
      <w:r>
        <w:t>foldami</w:t>
      </w:r>
      <w:proofErr w:type="spellEnd"/>
      <w:r>
        <w:t xml:space="preserve"> oraz najgorszy rok. Taka konstrukcja rozdzielała globalną jakość rankingu od stabilności w czasie. Pierwszoplanowy ranking opierał się na OOF 2015–2020; roczne wyniki i okresy późniejsze nie mogły retrospektywnie zmienić przestrzeni cech, zestawu modeli ani hiperparametrów.</w:t>
      </w:r>
    </w:p>
    <w:p w14:paraId="7A8DE8C7" w14:textId="77777777" w:rsidR="00F64CB7" w:rsidRDefault="00000000">
      <w:r>
        <w:t xml:space="preserve">W analizach różnic i przedziałów niepewności stosowano 2 000 powtórzeń </w:t>
      </w:r>
      <w:proofErr w:type="spellStart"/>
      <w:r>
        <w:t>bootstrapu</w:t>
      </w:r>
      <w:proofErr w:type="spellEnd"/>
      <w:r>
        <w:t xml:space="preserve"> klastrowego po </w:t>
      </w:r>
      <w:proofErr w:type="spellStart"/>
      <w:r>
        <w:t>economic_group_id</w:t>
      </w:r>
      <w:proofErr w:type="spellEnd"/>
      <w:r>
        <w:t xml:space="preserve">, z ziarnem 20260818 i 95-procentowym przedziałem </w:t>
      </w:r>
      <w:proofErr w:type="spellStart"/>
      <w:r>
        <w:t>percentylowym</w:t>
      </w:r>
      <w:proofErr w:type="spellEnd"/>
      <w:r>
        <w:t xml:space="preserve">. Losowano całe grupy ekonomiczne, aby zachować zależność między obserwacjami powiązanych emitentów i lat. Losowania bez obu klas odrzucano i powtarzano. Procedurę wykorzystano w zamrożonym sparowanym porównaniu MLP–QNN, w późniejszych porównaniach eksploracyjnych oraz do przedziałów AP, ROC-AUC i F1 w okresach chronionych; nie przypisywano nieistniejących przedziałów każdemu wierszowi głównego rankingu rozwojowego. Identyfikator grupy służył do </w:t>
      </w:r>
      <w:proofErr w:type="spellStart"/>
      <w:r>
        <w:t>resamplingu</w:t>
      </w:r>
      <w:proofErr w:type="spellEnd"/>
      <w:r>
        <w:t>, diagnostyki zależności i wariantu odporności z rozłącznością grup; nie był predyktorem ani nie wymuszał rozłączności grup w głównej walidacji czasowej.</w:t>
      </w:r>
      <w:r>
        <w:rPr>
          <w:rStyle w:val="FootnoteReference"/>
          <w:sz w:val="24"/>
        </w:rPr>
        <w:footnoteReference w:id="20"/>
      </w:r>
    </w:p>
    <w:p w14:paraId="31281C25" w14:textId="77777777" w:rsidR="00F64CB7" w:rsidRDefault="00000000">
      <w:r>
        <w:t xml:space="preserve">Po zamrożeniu reprezentanta każdej rodziny dopasowywano jeden kalibrator </w:t>
      </w:r>
      <w:proofErr w:type="spellStart"/>
      <w:r>
        <w:t>Platta</w:t>
      </w:r>
      <w:proofErr w:type="spellEnd"/>
      <w:r>
        <w:t>: nieważoną jednowymiarową regresję logistyczną na połączonych, uśrednionych między ziarnami surowych wynikach OOF. Próg klasyfikacyjny maksymalizował F1 na tych samych skalibrowanych predykcjach OOF; przy remisie wybierano próg wyższy. Kalibracja i próg nie zmieniały rankingu opartego na AP</w:t>
      </w:r>
      <w:r>
        <w:rPr>
          <w:rStyle w:val="FootnoteReference"/>
          <w:sz w:val="24"/>
        </w:rPr>
        <w:footnoteReference w:id="21"/>
      </w:r>
      <w:r>
        <w:t>. Ponieważ oba elementy dopasowano na całej puli rozwojowej OOF, wartość F1 w tym punkcie jest wynikiem doboru progu, a nie niezależnym oszacowaniem generalizacji.</w:t>
      </w:r>
    </w:p>
    <w:p w14:paraId="6ACC8909" w14:textId="77777777" w:rsidR="00F64CB7" w:rsidRDefault="00000000">
      <w:r>
        <w:t>Stabilność względem inicjalizacji oceniano dla stochastycznych reprezentantów końcowych i wtórnego komparatora MLP, zestawiając AP oraz ROC-AUC oddzielnie dla ziaren 20260818–20260820, a następnie ich średnią, odchylenie standardowe z próby, minimum, maksimum i rozstęp. Statystyki z trzech ziaren miały charakter opisowy i nie stanowiły przedziałów ufności. Dla modeli deterministycznych oznaczano je jako nie dotyczy. Analizę tę prowadzono odrębnie od zmienności między latami walidacji; końcowa AP zespołu pozostawała wynikiem po wierszowym uśrednieniu surowych wyników, a nie średnią wartości AP z trzech uruchomień.</w:t>
      </w:r>
    </w:p>
    <w:p w14:paraId="43B2170E" w14:textId="77777777" w:rsidR="00F64CB7" w:rsidRDefault="00000000">
      <w:r>
        <w:lastRenderedPageBreak/>
        <w:t>Koszt obliczeniowy reprezentanta mierzono jako sumę zarejestrowanych czasów zadań procesu wykonawczego w sześciu podziałach. Dla modeli stochastycznych raportowano medianę i zakres po ziarnach, a dla deterministycznych pojedynczy pomiar; pomocniczo wyznaczano opisowy mnożnik względem mediany XGBoost. Osobny rejestr etapów programu zapobiegał podwójnemu sumowaniu wyszukiwania wstępnego, doprecyzowania i potwierdzeń. Pomiary pochodzą z różnych terminów i środowisk, dlatego nie są kontrolowanym benchmarkiem sprzętowym, zaś czas QNN oznacza koszt symulacji klasycznej, a nie wykonania na procesorze kwantowym.</w:t>
      </w:r>
      <w:r>
        <w:rPr>
          <w:rStyle w:val="FootnoteReference"/>
          <w:sz w:val="24"/>
        </w:rPr>
        <w:footnoteReference w:id="22"/>
      </w:r>
    </w:p>
    <w:p w14:paraId="222B466F" w14:textId="77777777" w:rsidR="00F64CB7" w:rsidRDefault="00000000">
      <w:r>
        <w:t xml:space="preserve">Po zamrożeniu dziewięciu reprezentantów zastosowano je do późniejszych lat bez strojenia na wynikach tych okresów. Role czasowe są nierównoważne i dlatego nie łączono ich w jedną próbę ani wspólny </w:t>
      </w:r>
      <w:proofErr w:type="spellStart"/>
      <w:r>
        <w:t>estymand</w:t>
      </w:r>
      <w:proofErr w:type="spellEnd"/>
      <w:r>
        <w:t xml:space="preserve">. Lata 2021–2022 stanowią wtórny materiał dowodowy z rozwoju ujawnionego projektowo i zużytego; nie są niezależną walidacją po selekcji. Lata 2023–2024 tworzą czasowy zbiór odłożony, ale przed jego oceną znane były wybrane agregaty, a na technicznym etapie przygotowania oceny otwarto etykiety przed obliczeniem metryk. W </w:t>
      </w:r>
      <w:proofErr w:type="gramStart"/>
      <w:r>
        <w:t>finalnym</w:t>
      </w:r>
      <w:proofErr w:type="gramEnd"/>
      <w:r>
        <w:t xml:space="preserve"> </w:t>
      </w:r>
      <w:proofErr w:type="spellStart"/>
      <w:r>
        <w:t>ewaluatorze</w:t>
      </w:r>
      <w:proofErr w:type="spellEnd"/>
      <w:r>
        <w:t xml:space="preserve"> zmieniono wyłącznie nazwy plików wyjściowych i strukturę raportowania — bez zmiany modeli, predykcji, kalibratorów, progów ani metodologii. Zbiór odłożony nie jest zatem opisywany jako w pełni niewidziany. Rozdzielenie ról okresów przedstawiono na rysunku </w:t>
      </w:r>
      <w:r>
        <w:fldChar w:fldCharType="begin"/>
      </w:r>
      <w:r>
        <w:instrText xml:space="preserve"> REF R4_Rysunek_4_2 \h </w:instrText>
      </w:r>
      <w:r>
        <w:fldChar w:fldCharType="separate"/>
      </w:r>
      <w:r>
        <w:t>4.2</w:t>
      </w:r>
      <w:r>
        <w:fldChar w:fldCharType="end"/>
      </w:r>
      <w:r>
        <w:t>.</w:t>
      </w:r>
    </w:p>
    <w:p w14:paraId="7139DBB3" w14:textId="77777777" w:rsidR="00F64CB7" w:rsidRDefault="00000000">
      <w:pPr>
        <w:pStyle w:val="Caption"/>
        <w:ind w:firstLine="0"/>
      </w:pPr>
      <w:r>
        <w:t xml:space="preserve">Rysunek </w:t>
      </w:r>
      <w:bookmarkStart w:id="8" w:name="R4_Rysunek_4_2"/>
      <w:r>
        <w:t>4.</w:t>
      </w:r>
      <w:fldSimple w:instr=" SEQ Rysunek \* ARABIC ">
        <w:r>
          <w:t>2</w:t>
        </w:r>
      </w:fldSimple>
      <w:bookmarkEnd w:id="8"/>
      <w:r>
        <w:t>. Role okresów badania w procedurze walidacji czasowej</w:t>
      </w:r>
    </w:p>
    <w:p w14:paraId="53AE57E4" w14:textId="77777777" w:rsidR="00F64CB7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DDED617" wp14:editId="48C81369">
            <wp:extent cx="5760000" cy="3083429"/>
            <wp:effectExtent l="0" t="0" r="0" b="0"/>
            <wp:docPr id="3" name="Picture 3" descr="Oś czasu badania: historia treningowa 2011–2014, rozwój OOF 2015–2020, zużyty okres rozwojowy 2021–2022 oraz czasowa próba odłożona 2023–2024 z ujawnieniem wcześniejszej ekspozycji." title="Rysunek 4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period_tim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9507" w14:textId="77777777" w:rsidR="00F64CB7" w:rsidRDefault="00000000">
      <w:pPr>
        <w:spacing w:before="40" w:after="120" w:line="240" w:lineRule="auto"/>
        <w:ind w:firstLine="0"/>
        <w:jc w:val="left"/>
      </w:pPr>
      <w:r>
        <w:rPr>
          <w:sz w:val="18"/>
        </w:rPr>
        <w:t>Źródło: opracowanie własne na podstawie polityki dostępu v1.1.0, kontraktu wykonania okresów chronionych i zamrożonych raportów dostępu.</w:t>
      </w:r>
    </w:p>
    <w:p w14:paraId="47580728" w14:textId="77777777" w:rsidR="00F64CB7" w:rsidRDefault="00000000">
      <w:r>
        <w:lastRenderedPageBreak/>
        <w:t xml:space="preserve">Sposób ponownego dopasowania zamrożonych modeli dla lat 2021–2024 zestawiono w tabeli </w:t>
      </w:r>
      <w:r>
        <w:fldChar w:fldCharType="begin"/>
      </w:r>
      <w:r>
        <w:instrText xml:space="preserve"> REF R4_Tabela_4_7 \h </w:instrText>
      </w:r>
      <w:r>
        <w:fldChar w:fldCharType="separate"/>
      </w:r>
      <w:r>
        <w:t>4.7</w:t>
      </w:r>
      <w:r>
        <w:fldChar w:fldCharType="end"/>
      </w:r>
      <w:r>
        <w:t>.</w:t>
      </w:r>
    </w:p>
    <w:p w14:paraId="17176CAA" w14:textId="77777777" w:rsidR="00F64CB7" w:rsidRDefault="00000000">
      <w:pPr>
        <w:pStyle w:val="Caption"/>
        <w:ind w:firstLine="0"/>
      </w:pPr>
      <w:r>
        <w:t xml:space="preserve">Tabela </w:t>
      </w:r>
      <w:bookmarkStart w:id="9" w:name="R4_Tabela_4_7"/>
      <w:r>
        <w:t>4.</w:t>
      </w:r>
      <w:fldSimple w:instr=" SEQ Tabela \* ARABIC ">
        <w:r>
          <w:t>7</w:t>
        </w:r>
      </w:fldSimple>
      <w:bookmarkEnd w:id="9"/>
      <w:r>
        <w:t>. Schemat ponownego dopasowania modeli dla lat 2021–2024</w:t>
      </w:r>
    </w:p>
    <w:tbl>
      <w:tblPr>
        <w:tblStyle w:val="TableGrid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2608"/>
        <w:gridCol w:w="1701"/>
        <w:gridCol w:w="1247"/>
        <w:gridCol w:w="2268"/>
      </w:tblGrid>
      <w:tr w:rsidR="00F64CB7" w14:paraId="638D4FE0" w14:textId="77777777">
        <w:trPr>
          <w:cantSplit/>
          <w:tblHeader/>
          <w:jc w:val="center"/>
        </w:trPr>
        <w:tc>
          <w:tcPr>
            <w:tcW w:w="1247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B07525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17"/>
              </w:rPr>
              <w:t>Rok predykcji</w:t>
            </w:r>
          </w:p>
        </w:tc>
        <w:tc>
          <w:tcPr>
            <w:tcW w:w="2608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8AFFE8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17"/>
              </w:rPr>
              <w:t>Rola okresu</w:t>
            </w:r>
          </w:p>
        </w:tc>
        <w:tc>
          <w:tcPr>
            <w:tcW w:w="1701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883DAD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17"/>
              </w:rPr>
              <w:t>Lata treningowe</w:t>
            </w:r>
          </w:p>
        </w:tc>
        <w:tc>
          <w:tcPr>
            <w:tcW w:w="1247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B2D9E3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17"/>
              </w:rPr>
              <w:t>Rok embarga</w:t>
            </w:r>
          </w:p>
        </w:tc>
        <w:tc>
          <w:tcPr>
            <w:tcW w:w="2268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5D8A3F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17"/>
              </w:rPr>
              <w:t>Ograniczenie</w:t>
            </w:r>
          </w:p>
        </w:tc>
      </w:tr>
      <w:tr w:rsidR="00F64CB7" w14:paraId="6766CAF1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3E3F08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2021</w:t>
            </w:r>
          </w:p>
        </w:tc>
        <w:tc>
          <w:tcPr>
            <w:tcW w:w="260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04FD02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Wtórny; zużyty okres rozwojowy z wcześniejszą ekspozycją</w:t>
            </w:r>
          </w:p>
        </w:tc>
        <w:tc>
          <w:tcPr>
            <w:tcW w:w="170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6B0D2B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2011–2019</w:t>
            </w:r>
          </w:p>
        </w:tc>
        <w:tc>
          <w:tcPr>
            <w:tcW w:w="124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E5037D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2020</w:t>
            </w:r>
          </w:p>
        </w:tc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C39639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Brak strojenia; zamrożony zestaw modeli, kalibrator i próg</w:t>
            </w:r>
          </w:p>
        </w:tc>
      </w:tr>
      <w:tr w:rsidR="00F64CB7" w14:paraId="2D247744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846F44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2022</w:t>
            </w:r>
          </w:p>
        </w:tc>
        <w:tc>
          <w:tcPr>
            <w:tcW w:w="260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AD7D3E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Wtórny; zużyty okres rozwojowy z wcześniejszą ekspozycją</w:t>
            </w:r>
          </w:p>
        </w:tc>
        <w:tc>
          <w:tcPr>
            <w:tcW w:w="170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AA5876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2011–2020</w:t>
            </w:r>
          </w:p>
        </w:tc>
        <w:tc>
          <w:tcPr>
            <w:tcW w:w="124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1095C4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2021</w:t>
            </w:r>
          </w:p>
        </w:tc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4E2D17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Brak strojenia; zamrożony zestaw modeli, kalibrator i próg</w:t>
            </w:r>
          </w:p>
        </w:tc>
      </w:tr>
      <w:tr w:rsidR="00F64CB7" w14:paraId="1E74C384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003DC4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2023</w:t>
            </w:r>
          </w:p>
        </w:tc>
        <w:tc>
          <w:tcPr>
            <w:tcW w:w="260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4E7C9C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Czasowy zbiór odłożony z ujawnieniem wcześniejszej ekspozycji</w:t>
            </w:r>
          </w:p>
        </w:tc>
        <w:tc>
          <w:tcPr>
            <w:tcW w:w="170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0F13DB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2011–2021</w:t>
            </w:r>
          </w:p>
        </w:tc>
        <w:tc>
          <w:tcPr>
            <w:tcW w:w="124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79B8B0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2022</w:t>
            </w:r>
          </w:p>
        </w:tc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AF1991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Jednokrotna ocena po bramkach dostępu</w:t>
            </w:r>
          </w:p>
        </w:tc>
      </w:tr>
      <w:tr w:rsidR="00F64CB7" w14:paraId="6DBF74DF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7D71C1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2024</w:t>
            </w:r>
          </w:p>
        </w:tc>
        <w:tc>
          <w:tcPr>
            <w:tcW w:w="260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81A193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Czasowy zbiór odłożony z ujawnieniem wcześniejszej ekspozycji</w:t>
            </w:r>
          </w:p>
        </w:tc>
        <w:tc>
          <w:tcPr>
            <w:tcW w:w="170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206189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2011–2022</w:t>
            </w:r>
          </w:p>
        </w:tc>
        <w:tc>
          <w:tcPr>
            <w:tcW w:w="124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4AC7F8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2023</w:t>
            </w:r>
          </w:p>
        </w:tc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E65109" w14:textId="77777777" w:rsidR="00F64CB7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Etykiety przypisane do obserwacji z rokiem cech 2023 nie wchodzą do treningu</w:t>
            </w:r>
          </w:p>
        </w:tc>
      </w:tr>
    </w:tbl>
    <w:p w14:paraId="64F38E76" w14:textId="77777777" w:rsidR="00F64CB7" w:rsidRDefault="00000000">
      <w:pPr>
        <w:spacing w:before="40" w:after="120" w:line="240" w:lineRule="auto"/>
        <w:ind w:firstLine="0"/>
        <w:jc w:val="left"/>
      </w:pPr>
      <w:r>
        <w:rPr>
          <w:sz w:val="18"/>
        </w:rPr>
        <w:t xml:space="preserve">Źródło: opracowanie własne na podstawie </w:t>
      </w:r>
      <w:proofErr w:type="spellStart"/>
      <w:r>
        <w:rPr>
          <w:sz w:val="18"/>
        </w:rPr>
        <w:t>configs</w:t>
      </w:r>
      <w:proofErr w:type="spellEnd"/>
      <w:r>
        <w:rPr>
          <w:sz w:val="18"/>
        </w:rPr>
        <w:t>/protected_period_execution_contract_v1_0_0.yaml.</w:t>
      </w:r>
    </w:p>
    <w:p w14:paraId="6EAD4405" w14:textId="77777777" w:rsidR="00F64CB7" w:rsidRDefault="00000000">
      <w:r>
        <w:t xml:space="preserve">Dla każdego późniejszego roku przetwarzanie wstępne, a w modelach PCA również redukcję wymiaru, dopasowywano od początku na dozwolonym zbiorze treningowym. Dla rodzin stochastycznych surowe wyniki trzech ziaren uśredniano, natomiast </w:t>
      </w:r>
      <w:proofErr w:type="spellStart"/>
      <w:r>
        <w:t>dummy</w:t>
      </w:r>
      <w:proofErr w:type="spellEnd"/>
      <w:r>
        <w:t xml:space="preserve"> </w:t>
      </w:r>
      <w:proofErr w:type="spellStart"/>
      <w:r>
        <w:t>prior</w:t>
      </w:r>
      <w:proofErr w:type="spellEnd"/>
      <w:r>
        <w:t xml:space="preserve">, logistyczny model L2 o stałej konfiguracji i SVM RBF wykonywano pojedynczo jako wyjątki deterministyczne. Następnie stosowano zamrożony kalibrator i próg. Raportowano AP, ROC-AUC, F1, precyzję, czułość i wynik </w:t>
      </w:r>
      <w:proofErr w:type="spellStart"/>
      <w:r>
        <w:t>Briera</w:t>
      </w:r>
      <w:proofErr w:type="spellEnd"/>
      <w:r>
        <w:t xml:space="preserve">; </w:t>
      </w:r>
      <w:proofErr w:type="spellStart"/>
      <w:r>
        <w:t>bootstrapowe</w:t>
      </w:r>
      <w:proofErr w:type="spellEnd"/>
      <w:r>
        <w:t xml:space="preserve"> przedziały wyznaczano dla AP, ROC-AUC i F1. Przed otwarciem etykiet wykonano bramkę dostępu do cech, zapisano predykcje i ich sumy kontrolne SHA-256, a dopiero potem przeprowadzono bramkę etykiet i ocenę. Żaden wynik z lat 2021–2024 nie mógł aktywować ponownego strojenia ani zmiany metody.</w:t>
      </w:r>
      <w:r>
        <w:rPr>
          <w:rStyle w:val="FootnoteReference"/>
          <w:sz w:val="24"/>
        </w:rPr>
        <w:footnoteReference w:id="23"/>
      </w:r>
    </w:p>
    <w:p w14:paraId="08175706" w14:textId="77777777" w:rsidR="00F64CB7" w:rsidRDefault="00000000">
      <w:r>
        <w:t xml:space="preserve">Analiza stabilności i odporności była wykonywana wyłącznie na danych rozwojowych OOF. Zrealizowano 12 </w:t>
      </w:r>
      <w:proofErr w:type="spellStart"/>
      <w:r>
        <w:t>dopasowań</w:t>
      </w:r>
      <w:proofErr w:type="spellEnd"/>
      <w:r>
        <w:t xml:space="preserve"> kontroli PCA-</w:t>
      </w:r>
      <w:proofErr w:type="spellStart"/>
      <w:r>
        <w:t>matched</w:t>
      </w:r>
      <w:proofErr w:type="spellEnd"/>
      <w:r>
        <w:t xml:space="preserve">, 12 zadań interpretacyjnych, 48 klasycznych analiz odporności i 24 analizy strukturalne QNN. Wspólna interpretacja obejmowała grupowaną permutację cechy razem z jej wskaźnikiem braku, przy czym jednostką permutacji była grupa ekonomiczna. Dla modeli liniowych analizowano standaryzowane współczynniki, ilorazy szans i stabilność znaku; dla modeli drzewiastych — </w:t>
      </w:r>
      <w:proofErr w:type="spellStart"/>
      <w:r>
        <w:t>interventional</w:t>
      </w:r>
      <w:proofErr w:type="spellEnd"/>
      <w:r>
        <w:t xml:space="preserve"> </w:t>
      </w:r>
      <w:proofErr w:type="spellStart"/>
      <w:r>
        <w:t>TreeSHAP</w:t>
      </w:r>
      <w:proofErr w:type="spellEnd"/>
      <w:r>
        <w:t xml:space="preserve">; dla MLP —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Gradients</w:t>
      </w:r>
      <w:proofErr w:type="spellEnd"/>
      <w:r>
        <w:t xml:space="preserve"> na </w:t>
      </w:r>
      <w:proofErr w:type="spellStart"/>
      <w:r>
        <w:t>logicie</w:t>
      </w:r>
      <w:proofErr w:type="spellEnd"/>
      <w:r>
        <w:t>; dla QNN — ładunki PCA, udział wyjaśnionej wariancji i wrażliwość zakodowanych składowych. Interpretacje nie uczestniczyły w selekcji modelu. Kontrole PCA-</w:t>
      </w:r>
      <w:proofErr w:type="spellStart"/>
      <w:r>
        <w:t>matched</w:t>
      </w:r>
      <w:proofErr w:type="spellEnd"/>
      <w:r>
        <w:t xml:space="preserve">, analizy odporności XGBoost i warianty strukturalne QNN wykonywano z ziarnem 20260818. Grupowana permutacja </w:t>
      </w:r>
      <w:r>
        <w:lastRenderedPageBreak/>
        <w:t xml:space="preserve">korzystała z uśrednionych predykcji </w:t>
      </w:r>
      <w:proofErr w:type="gramStart"/>
      <w:r>
        <w:t>finalnych</w:t>
      </w:r>
      <w:proofErr w:type="gramEnd"/>
      <w:r>
        <w:t xml:space="preserve">, natomiast analizy właściwe poszczególnym modelom opierały się na zamrożonych artefaktach ziarna 20260818 i raportowały dostępną stabilność między podziałami lub ziarnami. Porównania jednego ziarna z </w:t>
      </w:r>
      <w:proofErr w:type="gramStart"/>
      <w:r>
        <w:t>finalnymi</w:t>
      </w:r>
      <w:proofErr w:type="gramEnd"/>
      <w:r>
        <w:t xml:space="preserve"> reprezentantami opartymi na trzech ziarnach miały charakter opisowy.</w:t>
      </w:r>
      <w:r>
        <w:rPr>
          <w:rStyle w:val="FootnoteReference"/>
          <w:sz w:val="24"/>
        </w:rPr>
        <w:footnoteReference w:id="24"/>
      </w:r>
    </w:p>
    <w:p w14:paraId="0272478B" w14:textId="77777777" w:rsidR="00F64CB7" w:rsidRDefault="00000000">
      <w:r>
        <w:t xml:space="preserve">Odporność procedury przetwarzania sprawdzono dla zamrożonej konfiguracji XGBoost wskazanej przez główną regułę rankingu: usunięto wskaźniki braków, przeanalizowano kompletne przypadki, wyłączono </w:t>
      </w:r>
      <w:proofErr w:type="spellStart"/>
      <w:r>
        <w:t>winsoryzację</w:t>
      </w:r>
      <w:proofErr w:type="spellEnd"/>
      <w:r>
        <w:t xml:space="preserve">, usunięto grupy ekonomiczne przecinające trening i walidację oraz ograniczono próbę do wierszy z co najmniej 11 z 17 dostępnych cech. Odporność etykiety oceniono dla progów </w:t>
      </w:r>
      <w:proofErr w:type="spellStart"/>
      <w:r>
        <w:t>deterioration_score</w:t>
      </w:r>
      <w:proofErr w:type="spellEnd"/>
      <w:r>
        <w:t xml:space="preserve"> ≥ 2 i ≥ 4 oraz dla alternatywnej konstrukcji </w:t>
      </w:r>
      <w:proofErr w:type="gramStart"/>
      <w:r>
        <w:t>max(</w:t>
      </w:r>
      <w:proofErr w:type="gramEnd"/>
      <w:r>
        <w:t>D1, D2) + D3 + D4 + D5 ≥ 3. Nie przeprowadzano ponownego strojenia ani zmiany rankingu na podstawie tych wariantów. Dla QNN wykonano odrębnie wariant bez bramek splątujących, oba niewybrane pakiety ansatzu i zamianę reprezentacji 4- na 6-kubitową albo odwrotnie przy pozostałych ustawieniach stałych.</w:t>
      </w:r>
    </w:p>
    <w:p w14:paraId="752F421C" w14:textId="77777777" w:rsidR="00F64CB7" w:rsidRDefault="00000000">
      <w:r>
        <w:t xml:space="preserve">Uzupełniające porównania post hoc wykorzystywały wyłącznie istniejące predykcje OOF: sparowany </w:t>
      </w:r>
      <w:proofErr w:type="spellStart"/>
      <w:r>
        <w:t>bootstrap</w:t>
      </w:r>
      <w:proofErr w:type="spellEnd"/>
      <w:r>
        <w:t xml:space="preserve"> klastrowy dla XGBoost wobec </w:t>
      </w:r>
      <w:proofErr w:type="spellStart"/>
      <w:r>
        <w:t>HistGradientBoosting</w:t>
      </w:r>
      <w:proofErr w:type="spellEnd"/>
      <w:r>
        <w:t xml:space="preserve"> i lasu losowego oraz porównanie QNN z kontrolami PCA-</w:t>
      </w:r>
      <w:proofErr w:type="spellStart"/>
      <w:r>
        <w:t>matched</w:t>
      </w:r>
      <w:proofErr w:type="spellEnd"/>
      <w:r>
        <w:t xml:space="preserve"> przy tym samym ziarnie 20260818</w:t>
      </w:r>
      <w:r>
        <w:rPr>
          <w:rStyle w:val="FootnoteReference"/>
          <w:sz w:val="24"/>
        </w:rPr>
        <w:footnoteReference w:id="25"/>
      </w:r>
      <w:r>
        <w:t>. Nie wykonywano nowego dopasowania, nowego ziarna, strojenia ani zmiany progu. Wyniki te mają charakter eksploracyjny, warunkowy względem selekcji, niekorygowany o mechanizm doboru próby i punktowy; nie stosowano korekty wielokrotności porównań.</w:t>
      </w:r>
    </w:p>
    <w:p w14:paraId="3108293B" w14:textId="77777777" w:rsidR="00F64CB7" w:rsidRDefault="00000000">
      <w:r>
        <w:t>Opisana procedura została w całości wykonana, zweryfikowana manifestami integralności i zamrożona. Rozdział 5 przedstawia wyniki oddzielnie dla głównej walidacji rozwojowej, okresu 2021–2022 i czasowego zbioru odłożonego 2023–2024, z zachowaniem wskazanych ograniczeń interpretacyjnych.</w:t>
      </w:r>
    </w:p>
    <w:sectPr w:rsidR="00F64CB7" w:rsidSect="00034616">
      <w:footerReference w:type="default" r:id="rId11"/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1F8B5F" w14:textId="77777777" w:rsidR="00CC28BD" w:rsidRDefault="00CC28BD">
      <w:pPr>
        <w:spacing w:line="240" w:lineRule="auto"/>
      </w:pPr>
      <w:r>
        <w:separator/>
      </w:r>
    </w:p>
  </w:endnote>
  <w:endnote w:type="continuationSeparator" w:id="0">
    <w:p w14:paraId="1A77F73E" w14:textId="77777777" w:rsidR="00CC28BD" w:rsidRDefault="00CC28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B8B31A" w14:textId="77777777" w:rsidR="00F64CB7" w:rsidRDefault="00000000">
    <w:pPr>
      <w:pStyle w:val="Footer"/>
      <w:ind w:firstLine="0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72FE1F" w14:textId="77777777" w:rsidR="00CC28BD" w:rsidRDefault="00CC28BD">
      <w:pPr>
        <w:spacing w:line="240" w:lineRule="auto"/>
      </w:pPr>
      <w:r>
        <w:separator/>
      </w:r>
    </w:p>
  </w:footnote>
  <w:footnote w:type="continuationSeparator" w:id="0">
    <w:p w14:paraId="4401D710" w14:textId="77777777" w:rsidR="00CC28BD" w:rsidRDefault="00CC28BD">
      <w:pPr>
        <w:spacing w:line="240" w:lineRule="auto"/>
      </w:pPr>
      <w:r>
        <w:continuationSeparator/>
      </w:r>
    </w:p>
  </w:footnote>
  <w:footnote w:id="1">
    <w:p w14:paraId="643482FE" w14:textId="77777777" w:rsidR="00F64CB7" w:rsidRDefault="00000000">
      <w:pPr>
        <w:pStyle w:val="FootnoteText"/>
        <w:jc w:val="left"/>
      </w:pPr>
      <w:r>
        <w:rPr>
          <w:rStyle w:val="FootnoteReference"/>
        </w:rPr>
        <w:footnoteRef/>
      </w:r>
      <w:r>
        <w:t xml:space="preserve"> Opis metodologii odpowiada stanowi repozytorium O. Stachowskiego „qnn-financial-</w:t>
      </w:r>
      <w:proofErr w:type="spellStart"/>
      <w:r>
        <w:t>statement</w:t>
      </w:r>
      <w:proofErr w:type="spellEnd"/>
      <w:r>
        <w:t>-</w:t>
      </w:r>
      <w:proofErr w:type="spellStart"/>
      <w:r>
        <w:t>analysis</w:t>
      </w:r>
      <w:proofErr w:type="spellEnd"/>
      <w:r>
        <w:t xml:space="preserve">” (https://github.com/Oskar-Stachowski/qnn-financial-statement-analysis) w </w:t>
      </w:r>
      <w:proofErr w:type="spellStart"/>
      <w:r>
        <w:t>commicie</w:t>
      </w:r>
      <w:proofErr w:type="spellEnd"/>
      <w:r>
        <w:t xml:space="preserve"> 6e25d82e6d8a85f682b6309965c2efec857a7deb z 25.08.2026 r. Za nadrzędne źródła aktualnego stanu przyjęto w szczególności: </w:t>
      </w:r>
      <w:proofErr w:type="spellStart"/>
      <w:r>
        <w:t>docs</w:t>
      </w:r>
      <w:proofErr w:type="spellEnd"/>
      <w:r>
        <w:t xml:space="preserve">/10_current_experiment_status.md, docs/14_1_coverage_estimand_correction_v1_0_0.md i </w:t>
      </w:r>
      <w:proofErr w:type="spellStart"/>
      <w:r>
        <w:t>docs</w:t>
      </w:r>
      <w:proofErr w:type="spellEnd"/>
      <w:r>
        <w:t>/15_author_work_handoff_v1_0_0.md.</w:t>
      </w:r>
    </w:p>
  </w:footnote>
  <w:footnote w:id="2">
    <w:p w14:paraId="4D92332C" w14:textId="77777777" w:rsidR="00F64CB7" w:rsidRPr="00431573" w:rsidRDefault="00000000">
      <w:pPr>
        <w:pStyle w:val="FootnoteText"/>
        <w:jc w:val="left"/>
        <w:rPr>
          <w:lang w:val="en-US"/>
        </w:rPr>
      </w:pPr>
      <w:r>
        <w:rPr>
          <w:rStyle w:val="FootnoteReference"/>
        </w:rPr>
        <w:footnoteRef/>
      </w:r>
      <w:r w:rsidRPr="00431573">
        <w:rPr>
          <w:lang w:val="en-US"/>
        </w:rPr>
        <w:t xml:space="preserve"> </w:t>
      </w:r>
      <w:r w:rsidRPr="00431573">
        <w:rPr>
          <w:lang w:val="en-US"/>
        </w:rPr>
        <w:t>U.S. Securities and Exchange Commission, EDGAR Application Programming Interfaces (APIs), https://www.sec.gov/search-filings/edgar-application-programming-interfaces (dostęp: 25.08.2026).</w:t>
      </w:r>
    </w:p>
  </w:footnote>
  <w:footnote w:id="3">
    <w:p w14:paraId="7CC20436" w14:textId="77777777" w:rsidR="00F64CB7" w:rsidRPr="00431573" w:rsidRDefault="00000000">
      <w:pPr>
        <w:pStyle w:val="FootnoteText"/>
        <w:jc w:val="left"/>
        <w:rPr>
          <w:lang w:val="en-US"/>
        </w:rPr>
      </w:pPr>
      <w:r>
        <w:rPr>
          <w:rStyle w:val="FootnoteReference"/>
        </w:rPr>
        <w:footnoteRef/>
      </w:r>
      <w:r w:rsidRPr="00431573">
        <w:rPr>
          <w:lang w:val="en-US"/>
        </w:rPr>
        <w:t xml:space="preserve"> U.S. Securities and Exchange Commission, Financial Statement Data Sets, https://www.sec.gov/data-research/sec-markets-data/financial-statement-data-sets; Investor.gov, Form 10-K, https://www.investor.gov/introduction-investing/investing-basics/glossary/form-10-k (dostęp: 25.08.2026).</w:t>
      </w:r>
    </w:p>
  </w:footnote>
  <w:footnote w:id="4">
    <w:p w14:paraId="3A2874AB" w14:textId="77777777" w:rsidR="00F64CB7" w:rsidRPr="00431573" w:rsidRDefault="00000000">
      <w:pPr>
        <w:pStyle w:val="FootnoteText"/>
        <w:jc w:val="left"/>
        <w:rPr>
          <w:lang w:val="en-US"/>
        </w:rPr>
      </w:pPr>
      <w:r>
        <w:rPr>
          <w:rStyle w:val="FootnoteReference"/>
        </w:rPr>
        <w:footnoteRef/>
      </w:r>
      <w:r w:rsidRPr="00431573">
        <w:rPr>
          <w:lang w:val="en-US"/>
        </w:rPr>
        <w:t xml:space="preserve"> S.J. Brown i in., Survivorship Bias in Performance Studies, „The Review of Financial Studies” 1992, vol. 5, nr 4, https://doi.org/10.1093/rfs/5.4.553; S. Kaufman i in., Leakage in Data Mining: Formulation, Detection, and Avoidance, „ACM TKDD” 2012, vol. 6, nr 4, https://doi.org/10.1145/2382577.2382579.</w:t>
      </w:r>
    </w:p>
  </w:footnote>
  <w:footnote w:id="5">
    <w:p w14:paraId="3D1090EC" w14:textId="77777777" w:rsidR="00F64CB7" w:rsidRDefault="00000000">
      <w:pPr>
        <w:pStyle w:val="FootnoteText"/>
        <w:jc w:val="left"/>
      </w:pPr>
      <w:r>
        <w:rPr>
          <w:rStyle w:val="FootnoteReference"/>
        </w:rPr>
        <w:footnoteRef/>
      </w:r>
      <w:r>
        <w:t xml:space="preserve"> Repozytorium badania, commit jak w przyp. 1: docs/05_1_historical_research_universe_pit_frozen_specification.md, </w:t>
      </w:r>
      <w:proofErr w:type="spellStart"/>
      <w:r>
        <w:t>configs</w:t>
      </w:r>
      <w:proofErr w:type="spellEnd"/>
      <w:r>
        <w:t>/</w:t>
      </w:r>
      <w:proofErr w:type="spellStart"/>
      <w:r>
        <w:t>research_universe_pit.yaml</w:t>
      </w:r>
      <w:proofErr w:type="spellEnd"/>
      <w:r>
        <w:t>, src/data/historical_research_universe.py oraz data/</w:t>
      </w:r>
      <w:proofErr w:type="spellStart"/>
      <w:r>
        <w:t>reports</w:t>
      </w:r>
      <w:proofErr w:type="spellEnd"/>
      <w:r>
        <w:t>/</w:t>
      </w:r>
      <w:proofErr w:type="spellStart"/>
      <w:r>
        <w:t>research_universe_pit_audit.json</w:t>
      </w:r>
      <w:proofErr w:type="spellEnd"/>
      <w:r>
        <w:t>.</w:t>
      </w:r>
    </w:p>
  </w:footnote>
  <w:footnote w:id="6">
    <w:p w14:paraId="3F948E8B" w14:textId="77777777" w:rsidR="00F64CB7" w:rsidRDefault="00000000">
      <w:pPr>
        <w:pStyle w:val="FootnoteText"/>
        <w:jc w:val="left"/>
      </w:pPr>
      <w:r>
        <w:rPr>
          <w:rStyle w:val="FootnoteReference"/>
        </w:rPr>
        <w:footnoteRef/>
      </w:r>
      <w:r>
        <w:t xml:space="preserve"> Repozytorium badania, commit jak w przyp. 1: docs/05_1_historical_research_universe_pit_frozen_specification.md, sekcje dotyczące joint </w:t>
      </w:r>
      <w:proofErr w:type="spellStart"/>
      <w:r>
        <w:t>filings</w:t>
      </w:r>
      <w:proofErr w:type="spellEnd"/>
      <w:r>
        <w:t xml:space="preserve"> i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; </w:t>
      </w:r>
      <w:proofErr w:type="gramStart"/>
      <w:r>
        <w:t>finalne</w:t>
      </w:r>
      <w:proofErr w:type="gramEnd"/>
      <w:r>
        <w:t xml:space="preserve"> liczebności: data/</w:t>
      </w:r>
      <w:proofErr w:type="spellStart"/>
      <w:r>
        <w:t>reports</w:t>
      </w:r>
      <w:proofErr w:type="spellEnd"/>
      <w:r>
        <w:t>/</w:t>
      </w:r>
      <w:proofErr w:type="spellStart"/>
      <w:r>
        <w:t>research_universe_pit_audit.json</w:t>
      </w:r>
      <w:proofErr w:type="spellEnd"/>
      <w:r>
        <w:t>.</w:t>
      </w:r>
    </w:p>
  </w:footnote>
  <w:footnote w:id="7">
    <w:p w14:paraId="412D380C" w14:textId="77777777" w:rsidR="00F64CB7" w:rsidRDefault="00000000">
      <w:pPr>
        <w:pStyle w:val="FootnoteText"/>
        <w:jc w:val="left"/>
      </w:pPr>
      <w:r>
        <w:rPr>
          <w:rStyle w:val="FootnoteReference"/>
        </w:rPr>
        <w:footnoteRef/>
      </w:r>
      <w:r>
        <w:t xml:space="preserve"> Repozytorium badania, commit jak w przyp. 1: </w:t>
      </w:r>
      <w:proofErr w:type="spellStart"/>
      <w:r>
        <w:t>docs</w:t>
      </w:r>
      <w:proofErr w:type="spellEnd"/>
      <w:r>
        <w:t xml:space="preserve">/09_1_data_access_policy_v1_1_0.md, </w:t>
      </w:r>
      <w:proofErr w:type="spellStart"/>
      <w:r>
        <w:t>configs</w:t>
      </w:r>
      <w:proofErr w:type="spellEnd"/>
      <w:r>
        <w:t xml:space="preserve">/data_access_policy_v1_1_0.yaml i </w:t>
      </w:r>
      <w:proofErr w:type="spellStart"/>
      <w:r>
        <w:t>configs</w:t>
      </w:r>
      <w:proofErr w:type="spellEnd"/>
      <w:r>
        <w:t>/data_access_policy_v1_1_0_freeze_manifest.yaml.</w:t>
      </w:r>
    </w:p>
  </w:footnote>
  <w:footnote w:id="8">
    <w:p w14:paraId="7ECBFE1F" w14:textId="77777777" w:rsidR="00F64CB7" w:rsidRDefault="00000000">
      <w:pPr>
        <w:pStyle w:val="FootnoteText"/>
        <w:jc w:val="left"/>
      </w:pPr>
      <w:r>
        <w:rPr>
          <w:rStyle w:val="FootnoteReference"/>
        </w:rPr>
        <w:footnoteRef/>
      </w:r>
      <w:r>
        <w:t xml:space="preserve"> Repozytorium badania, commit jak w przyp. 1: </w:t>
      </w:r>
      <w:proofErr w:type="spellStart"/>
      <w:r>
        <w:t>docs</w:t>
      </w:r>
      <w:proofErr w:type="spellEnd"/>
      <w:r>
        <w:t xml:space="preserve">/04_9_target_candidate_v2_pit_b_frozen_specification.md, </w:t>
      </w:r>
      <w:proofErr w:type="spellStart"/>
      <w:r>
        <w:t>configs</w:t>
      </w:r>
      <w:proofErr w:type="spellEnd"/>
      <w:r>
        <w:t xml:space="preserve">/target_candidate_v2_pit.yaml oraz </w:t>
      </w:r>
      <w:proofErr w:type="spellStart"/>
      <w:r>
        <w:t>configs</w:t>
      </w:r>
      <w:proofErr w:type="spellEnd"/>
      <w:r>
        <w:t>/target_candidate_v2_pit_b_freeze_manifest.yaml.</w:t>
      </w:r>
    </w:p>
  </w:footnote>
  <w:footnote w:id="9">
    <w:p w14:paraId="72E0DC53" w14:textId="77777777" w:rsidR="00F64CB7" w:rsidRDefault="00000000">
      <w:pPr>
        <w:pStyle w:val="FootnoteText"/>
        <w:jc w:val="left"/>
      </w:pPr>
      <w:r>
        <w:rPr>
          <w:rStyle w:val="FootnoteReference"/>
        </w:rPr>
        <w:footnoteRef/>
      </w:r>
      <w:r>
        <w:t xml:space="preserve"> Repozytorium badania, commit jak w przyp. 1: </w:t>
      </w:r>
      <w:proofErr w:type="spellStart"/>
      <w:r>
        <w:t>src</w:t>
      </w:r>
      <w:proofErr w:type="spellEnd"/>
      <w:r>
        <w:t xml:space="preserve">/data/revenue_statement_resolver.py, src/data/revenue_manual_review.py i </w:t>
      </w:r>
      <w:proofErr w:type="spellStart"/>
      <w:r>
        <w:t>docs</w:t>
      </w:r>
      <w:proofErr w:type="spellEnd"/>
      <w:r>
        <w:t>/04_9_target_candidate_v2_pit_b_frozen_specification.md.</w:t>
      </w:r>
    </w:p>
  </w:footnote>
  <w:footnote w:id="10">
    <w:p w14:paraId="3771601A" w14:textId="77777777" w:rsidR="00F64CB7" w:rsidRDefault="00000000">
      <w:pPr>
        <w:pStyle w:val="FootnoteText"/>
        <w:jc w:val="left"/>
      </w:pPr>
      <w:r>
        <w:rPr>
          <w:rStyle w:val="FootnoteReference"/>
        </w:rPr>
        <w:footnoteRef/>
      </w:r>
      <w:r>
        <w:t xml:space="preserve"> Repozytorium badania, commit jak w przyp. 1: docs/14_1_coverage_estimand_correction_v1_0_0.md oraz </w:t>
      </w:r>
      <w:proofErr w:type="spellStart"/>
      <w:r>
        <w:t>reports</w:t>
      </w:r>
      <w:proofErr w:type="spellEnd"/>
      <w:r>
        <w:t>/</w:t>
      </w:r>
      <w:proofErr w:type="spellStart"/>
      <w:r>
        <w:t>classical_eda_for_thesis</w:t>
      </w:r>
      <w:proofErr w:type="spellEnd"/>
      <w:r>
        <w:t>/</w:t>
      </w:r>
      <w:proofErr w:type="spellStart"/>
      <w:r>
        <w:t>tables</w:t>
      </w:r>
      <w:proofErr w:type="spellEnd"/>
      <w:r>
        <w:t>/01_selection_flow.csv.</w:t>
      </w:r>
    </w:p>
  </w:footnote>
  <w:footnote w:id="11">
    <w:p w14:paraId="13809A58" w14:textId="77777777" w:rsidR="00F64CB7" w:rsidRDefault="00000000">
      <w:pPr>
        <w:pStyle w:val="FootnoteText"/>
        <w:jc w:val="left"/>
      </w:pPr>
      <w:r>
        <w:rPr>
          <w:rStyle w:val="FootnoteReference"/>
        </w:rPr>
        <w:footnoteRef/>
      </w:r>
      <w:r>
        <w:t xml:space="preserve"> Repozytorium badania, commit jak w przyp. 1: </w:t>
      </w:r>
      <w:proofErr w:type="spellStart"/>
      <w:r>
        <w:t>docs</w:t>
      </w:r>
      <w:proofErr w:type="spellEnd"/>
      <w:r>
        <w:t xml:space="preserve">/06_2_raw_point_in_time_x_t_v1_frozen_specification.md, </w:t>
      </w:r>
      <w:proofErr w:type="spellStart"/>
      <w:r>
        <w:t>docs</w:t>
      </w:r>
      <w:proofErr w:type="spellEnd"/>
      <w:r>
        <w:t xml:space="preserve">/06_3_raw_x_t_v1_1_0_resolver_correction.md, </w:t>
      </w:r>
      <w:proofErr w:type="spellStart"/>
      <w:r>
        <w:t>docs</w:t>
      </w:r>
      <w:proofErr w:type="spellEnd"/>
      <w:r>
        <w:t xml:space="preserve">/07_4_timezone_pit_fix_v1_0_0.md, </w:t>
      </w:r>
      <w:proofErr w:type="spellStart"/>
      <w:r>
        <w:t>configs</w:t>
      </w:r>
      <w:proofErr w:type="spellEnd"/>
      <w:r>
        <w:t xml:space="preserve">/x_t_pit_v1.yaml oraz </w:t>
      </w:r>
      <w:proofErr w:type="spellStart"/>
      <w:r>
        <w:t>configs</w:t>
      </w:r>
      <w:proofErr w:type="spellEnd"/>
      <w:r>
        <w:t>/supervised_ml_pipeline_v1_3_0_timezone_fix.yaml.</w:t>
      </w:r>
    </w:p>
  </w:footnote>
  <w:footnote w:id="12">
    <w:p w14:paraId="47ADCDBA" w14:textId="77777777" w:rsidR="00F64CB7" w:rsidRDefault="00000000">
      <w:pPr>
        <w:pStyle w:val="FootnoteText"/>
        <w:jc w:val="left"/>
      </w:pPr>
      <w:r>
        <w:rPr>
          <w:rStyle w:val="FootnoteReference"/>
        </w:rPr>
        <w:footnoteRef/>
      </w:r>
      <w:r>
        <w:t xml:space="preserve"> Repozytorium badania, commit jak w przyp. 1: </w:t>
      </w:r>
      <w:proofErr w:type="spellStart"/>
      <w:r>
        <w:t>docs</w:t>
      </w:r>
      <w:proofErr w:type="spellEnd"/>
      <w:r>
        <w:t xml:space="preserve">/07_1_supervised_ml_pipeline_v1_frozen_specification.md, </w:t>
      </w:r>
      <w:proofErr w:type="spellStart"/>
      <w:r>
        <w:t>docs</w:t>
      </w:r>
      <w:proofErr w:type="spellEnd"/>
      <w:r>
        <w:t xml:space="preserve">/07_3_supervised_ml_pipeline_v1_2_0_resolver_correction.md, </w:t>
      </w:r>
      <w:proofErr w:type="spellStart"/>
      <w:r>
        <w:t>configs</w:t>
      </w:r>
      <w:proofErr w:type="spellEnd"/>
      <w:r>
        <w:t xml:space="preserve">/supervised_ml_pipeline_v1_3_0_timezone_fix.yaml oraz </w:t>
      </w:r>
      <w:proofErr w:type="spellStart"/>
      <w:r>
        <w:t>src</w:t>
      </w:r>
      <w:proofErr w:type="spellEnd"/>
      <w:r>
        <w:t>/modeling/preprocessing.py.</w:t>
      </w:r>
    </w:p>
  </w:footnote>
  <w:footnote w:id="13">
    <w:p w14:paraId="71BA3567" w14:textId="77777777" w:rsidR="00F64CB7" w:rsidRPr="00431573" w:rsidRDefault="00000000">
      <w:pPr>
        <w:pStyle w:val="FootnoteText"/>
        <w:jc w:val="left"/>
        <w:rPr>
          <w:lang w:val="en-US"/>
        </w:rPr>
      </w:pPr>
      <w:r>
        <w:rPr>
          <w:rStyle w:val="FootnoteReference"/>
        </w:rPr>
        <w:footnoteRef/>
      </w:r>
      <w:r w:rsidRPr="00431573">
        <w:rPr>
          <w:lang w:val="en-US"/>
        </w:rPr>
        <w:t xml:space="preserve"> </w:t>
      </w:r>
      <w:r w:rsidRPr="00431573">
        <w:rPr>
          <w:lang w:val="en-US"/>
        </w:rPr>
        <w:t>I.T. Jolliffe, J. Cadima, Principal Component Analysis: a Review and Recent Developments, „Philosophical Transactions of the Royal Society A” 2016, vol. 374, 20150202, https://doi.org/10.1098/rsta.2015.0202; repozytorium badania: configs/model_stage_v1.yaml, sekcja qnn.representation.</w:t>
      </w:r>
    </w:p>
  </w:footnote>
  <w:footnote w:id="14">
    <w:p w14:paraId="0F9FB2A6" w14:textId="77777777" w:rsidR="00F64CB7" w:rsidRDefault="00000000">
      <w:pPr>
        <w:pStyle w:val="FootnoteText"/>
        <w:jc w:val="left"/>
      </w:pPr>
      <w:r>
        <w:rPr>
          <w:rStyle w:val="FootnoteReference"/>
        </w:rPr>
        <w:footnoteRef/>
      </w:r>
      <w:r>
        <w:t xml:space="preserve"> Repozytorium badania, commit jak w przyp. 1: </w:t>
      </w:r>
      <w:proofErr w:type="spellStart"/>
      <w:r>
        <w:t>configs</w:t>
      </w:r>
      <w:proofErr w:type="spellEnd"/>
      <w:r>
        <w:t xml:space="preserve">/model_stage_v1.yaml, </w:t>
      </w:r>
      <w:proofErr w:type="spellStart"/>
      <w:r>
        <w:t>configs</w:t>
      </w:r>
      <w:proofErr w:type="spellEnd"/>
      <w:r>
        <w:t xml:space="preserve">/model_stage_candidates_v1_scientific_patch.json, </w:t>
      </w:r>
      <w:proofErr w:type="spellStart"/>
      <w:r>
        <w:t>docs</w:t>
      </w:r>
      <w:proofErr w:type="spellEnd"/>
      <w:r>
        <w:t xml:space="preserve">/08_3_model_execution_contract_v1_2_0.md, </w:t>
      </w:r>
      <w:proofErr w:type="spellStart"/>
      <w:r>
        <w:t>configs</w:t>
      </w:r>
      <w:proofErr w:type="spellEnd"/>
      <w:r>
        <w:t xml:space="preserve">/model_execution_contract_v1_2_0_scientific_patch.yaml oraz </w:t>
      </w:r>
      <w:proofErr w:type="spellStart"/>
      <w:r>
        <w:t>configs</w:t>
      </w:r>
      <w:proofErr w:type="spellEnd"/>
      <w:r>
        <w:t>/model_stage_v1_3_0_neural_comparator_amendment.yaml.</w:t>
      </w:r>
    </w:p>
  </w:footnote>
  <w:footnote w:id="15">
    <w:p w14:paraId="7C9531F0" w14:textId="77777777" w:rsidR="00F64CB7" w:rsidRDefault="00000000">
      <w:pPr>
        <w:pStyle w:val="FootnoteText"/>
        <w:jc w:val="left"/>
      </w:pPr>
      <w:r>
        <w:rPr>
          <w:rStyle w:val="FootnoteReference"/>
        </w:rPr>
        <w:footnoteRef/>
      </w:r>
      <w:r>
        <w:t xml:space="preserve"> Repozytorium badania, commit jak w przyp. 1: </w:t>
      </w:r>
      <w:proofErr w:type="spellStart"/>
      <w:r>
        <w:t>configs</w:t>
      </w:r>
      <w:proofErr w:type="spellEnd"/>
      <w:r>
        <w:t xml:space="preserve">/model_stage_v1.yaml, sekcja </w:t>
      </w:r>
      <w:proofErr w:type="spellStart"/>
      <w:r>
        <w:t>pytorch_</w:t>
      </w:r>
      <w:proofErr w:type="gramStart"/>
      <w:r>
        <w:t>mlp</w:t>
      </w:r>
      <w:proofErr w:type="spellEnd"/>
      <w:r>
        <w:t>,</w:t>
      </w:r>
      <w:proofErr w:type="gramEnd"/>
      <w:r>
        <w:t xml:space="preserve"> oraz </w:t>
      </w:r>
      <w:proofErr w:type="spellStart"/>
      <w:r>
        <w:t>src</w:t>
      </w:r>
      <w:proofErr w:type="spellEnd"/>
      <w:r>
        <w:t>/modeling/production_worker.py.</w:t>
      </w:r>
    </w:p>
  </w:footnote>
  <w:footnote w:id="16">
    <w:p w14:paraId="02A9C7C4" w14:textId="77777777" w:rsidR="00F64CB7" w:rsidRDefault="00000000">
      <w:pPr>
        <w:pStyle w:val="FootnoteText"/>
        <w:jc w:val="left"/>
      </w:pPr>
      <w:r>
        <w:rPr>
          <w:rStyle w:val="FootnoteReference"/>
        </w:rPr>
        <w:footnoteRef/>
      </w:r>
      <w:r>
        <w:t xml:space="preserve"> Repozytorium badania, commit jak w przyp. </w:t>
      </w:r>
      <w:r w:rsidRPr="00431573">
        <w:rPr>
          <w:lang w:val="en-US"/>
        </w:rPr>
        <w:t xml:space="preserve">1: src/modeling/production_worker.py, configs/model_execution_contract_v1_2_1_lightning_amendment.yaml i configs/model_environments_v1_0_1_lightning.yaml. Por. </w:t>
      </w:r>
      <w:proofErr w:type="spellStart"/>
      <w:r>
        <w:t>PennyLane</w:t>
      </w:r>
      <w:proofErr w:type="spellEnd"/>
      <w:r>
        <w:t xml:space="preserve">, </w:t>
      </w:r>
      <w:proofErr w:type="spellStart"/>
      <w:r>
        <w:t>Lightning</w:t>
      </w:r>
      <w:proofErr w:type="spellEnd"/>
      <w:r>
        <w:t xml:space="preserve"> </w:t>
      </w:r>
      <w:proofErr w:type="spellStart"/>
      <w:r>
        <w:t>Qubit</w:t>
      </w:r>
      <w:proofErr w:type="spellEnd"/>
      <w:r>
        <w:t xml:space="preserve"> </w:t>
      </w:r>
      <w:proofErr w:type="spellStart"/>
      <w:r>
        <w:t>device</w:t>
      </w:r>
      <w:proofErr w:type="spellEnd"/>
      <w:r>
        <w:t>, https://docs.pennylane.ai/projects/lightning/en/stable/lightning_qubit/device.html (dostęp: 25.08.2026).</w:t>
      </w:r>
    </w:p>
  </w:footnote>
  <w:footnote w:id="17">
    <w:p w14:paraId="46615C2E" w14:textId="77777777" w:rsidR="00F64CB7" w:rsidRDefault="00000000">
      <w:pPr>
        <w:pStyle w:val="FootnoteText"/>
        <w:jc w:val="left"/>
      </w:pPr>
      <w:r>
        <w:rPr>
          <w:rStyle w:val="FootnoteReference"/>
        </w:rPr>
        <w:footnoteRef/>
      </w:r>
      <w:r>
        <w:t xml:space="preserve"> Repozytorium badania, commit jak w przyp. 1: </w:t>
      </w:r>
      <w:proofErr w:type="spellStart"/>
      <w:r>
        <w:t>docs</w:t>
      </w:r>
      <w:proofErr w:type="spellEnd"/>
      <w:r>
        <w:t xml:space="preserve">/10_1_post_coarse_v1_3_0_results_freeze.md, </w:t>
      </w:r>
      <w:proofErr w:type="spellStart"/>
      <w:r>
        <w:t>configs</w:t>
      </w:r>
      <w:proofErr w:type="spellEnd"/>
      <w:r>
        <w:t xml:space="preserve">/post_coarse_v1_3_0_results_freeze_manifest.yaml i </w:t>
      </w:r>
      <w:proofErr w:type="spellStart"/>
      <w:r>
        <w:t>reports</w:t>
      </w:r>
      <w:proofErr w:type="spellEnd"/>
      <w:r>
        <w:t>/post_coarse_v1_3_0/.</w:t>
      </w:r>
    </w:p>
  </w:footnote>
  <w:footnote w:id="18">
    <w:p w14:paraId="201A3079" w14:textId="77777777" w:rsidR="00F64CB7" w:rsidRPr="00431573" w:rsidRDefault="00000000">
      <w:pPr>
        <w:pStyle w:val="FootnoteText"/>
        <w:jc w:val="left"/>
        <w:rPr>
          <w:lang w:val="en-US"/>
        </w:rPr>
      </w:pPr>
      <w:r>
        <w:rPr>
          <w:rStyle w:val="FootnoteReference"/>
        </w:rPr>
        <w:footnoteRef/>
      </w:r>
      <w:r w:rsidRPr="00431573">
        <w:rPr>
          <w:lang w:val="en-US"/>
        </w:rPr>
        <w:t xml:space="preserve"> </w:t>
      </w:r>
      <w:r w:rsidRPr="00431573">
        <w:rPr>
          <w:lang w:val="en-US"/>
        </w:rPr>
        <w:t>L.J. Tashman, Out-of-Sample Tests of Forecasting Accuracy: An Analysis and Review, „International Journal of Forecasting” 2000, vol. 16, nr 4, s. 437–450, https://doi.org/10.1016/S0169-2070(00)00065-0; repozytorium badania: src/modeling/temporal_cv.py.</w:t>
      </w:r>
    </w:p>
  </w:footnote>
  <w:footnote w:id="19">
    <w:p w14:paraId="27C261AF" w14:textId="77777777" w:rsidR="00F64CB7" w:rsidRDefault="00000000">
      <w:pPr>
        <w:pStyle w:val="FootnoteText"/>
        <w:jc w:val="left"/>
      </w:pPr>
      <w:r>
        <w:rPr>
          <w:rStyle w:val="FootnoteReference"/>
        </w:rPr>
        <w:footnoteRef/>
      </w:r>
      <w:r w:rsidRPr="00431573">
        <w:rPr>
          <w:lang w:val="en-US"/>
        </w:rPr>
        <w:t xml:space="preserve"> Scikit-learn, average_precision_score, https://scikit-learn.org/1.8/modules/generated/sklearn.metrics.average_precision_score.html (dostęp: 25.08.2026). </w:t>
      </w:r>
      <w:r>
        <w:t>AP jest ważoną przyrostami czułości średnią precyzji, a nie trapezoidalnym polem pod krzywą precision–recall.</w:t>
      </w:r>
    </w:p>
  </w:footnote>
  <w:footnote w:id="20">
    <w:p w14:paraId="672A343D" w14:textId="77777777" w:rsidR="00F64CB7" w:rsidRPr="00431573" w:rsidRDefault="00000000">
      <w:pPr>
        <w:pStyle w:val="FootnoteText"/>
        <w:jc w:val="left"/>
        <w:rPr>
          <w:lang w:val="en-US"/>
        </w:rPr>
      </w:pPr>
      <w:r>
        <w:rPr>
          <w:rStyle w:val="FootnoteReference"/>
        </w:rPr>
        <w:footnoteRef/>
      </w:r>
      <w:r w:rsidRPr="00431573">
        <w:rPr>
          <w:lang w:val="en-US"/>
        </w:rPr>
        <w:t xml:space="preserve"> </w:t>
      </w:r>
      <w:r w:rsidRPr="00431573">
        <w:rPr>
          <w:lang w:val="en-US"/>
        </w:rPr>
        <w:t>B. Efron, R.J. Tibshirani, An Introduction to the Bootstrap, Chapman &amp; Hall, New York 1993; repozytorium badania: configs/supervised_ml_pipeline_v1.yaml, sekcja inference.</w:t>
      </w:r>
    </w:p>
  </w:footnote>
  <w:footnote w:id="21">
    <w:p w14:paraId="5922F4CE" w14:textId="77777777" w:rsidR="00F64CB7" w:rsidRDefault="00000000">
      <w:pPr>
        <w:pStyle w:val="FootnoteText"/>
        <w:jc w:val="left"/>
      </w:pPr>
      <w:r>
        <w:rPr>
          <w:rStyle w:val="FootnoteReference"/>
        </w:rPr>
        <w:footnoteRef/>
      </w:r>
      <w:r>
        <w:t xml:space="preserve"> Repozytorium badania, commit jak w przyp. 1: </w:t>
      </w:r>
      <w:proofErr w:type="spellStart"/>
      <w:r>
        <w:t>configs</w:t>
      </w:r>
      <w:proofErr w:type="spellEnd"/>
      <w:r>
        <w:t xml:space="preserve">/model_stage_v1.yaml, sekcje </w:t>
      </w:r>
      <w:proofErr w:type="spellStart"/>
      <w:r>
        <w:t>seed_aggregation</w:t>
      </w:r>
      <w:proofErr w:type="spellEnd"/>
      <w:r>
        <w:t xml:space="preserve"> oraz </w:t>
      </w:r>
      <w:proofErr w:type="spellStart"/>
      <w:r>
        <w:t>calibration_and_threshold</w:t>
      </w:r>
      <w:proofErr w:type="spellEnd"/>
      <w:r>
        <w:t xml:space="preserve">, a także </w:t>
      </w:r>
      <w:proofErr w:type="spellStart"/>
      <w:r>
        <w:t>docs</w:t>
      </w:r>
      <w:proofErr w:type="spellEnd"/>
      <w:r>
        <w:t>/10_1_post_coarse_v1_3_0_results_freeze.md.</w:t>
      </w:r>
    </w:p>
  </w:footnote>
  <w:footnote w:id="22">
    <w:p w14:paraId="2D166B36" w14:textId="77777777" w:rsidR="00F64CB7" w:rsidRDefault="00000000">
      <w:pPr>
        <w:pStyle w:val="FootnoteText"/>
        <w:jc w:val="left"/>
      </w:pPr>
      <w:r>
        <w:rPr>
          <w:rStyle w:val="FootnoteReference"/>
        </w:rPr>
        <w:footnoteRef/>
      </w:r>
      <w:r>
        <w:t xml:space="preserve"> Repozytorium badania, commit jak w przyp. 1: </w:t>
      </w:r>
      <w:proofErr w:type="spellStart"/>
      <w:r>
        <w:t>docs</w:t>
      </w:r>
      <w:proofErr w:type="spellEnd"/>
      <w:r>
        <w:t xml:space="preserve">/12_11_methodology_extension_reporting_v1_0_0.md, </w:t>
      </w:r>
      <w:proofErr w:type="spellStart"/>
      <w:r>
        <w:t>configs</w:t>
      </w:r>
      <w:proofErr w:type="spellEnd"/>
      <w:r>
        <w:t xml:space="preserve">/methodology_extension_reporting_v1_0_0.yaml oraz </w:t>
      </w:r>
      <w:proofErr w:type="spellStart"/>
      <w:r>
        <w:t>reports</w:t>
      </w:r>
      <w:proofErr w:type="spellEnd"/>
      <w:r>
        <w:t>/methodology_extension_v1_0_0/.</w:t>
      </w:r>
    </w:p>
  </w:footnote>
  <w:footnote w:id="23">
    <w:p w14:paraId="501BD16E" w14:textId="77777777" w:rsidR="00F64CB7" w:rsidRDefault="00000000">
      <w:pPr>
        <w:pStyle w:val="FootnoteText"/>
        <w:jc w:val="left"/>
      </w:pPr>
      <w:r>
        <w:rPr>
          <w:rStyle w:val="FootnoteReference"/>
        </w:rPr>
        <w:footnoteRef/>
      </w:r>
      <w:r>
        <w:t xml:space="preserve"> Repozytorium badania, commit jak w przyp. 1: </w:t>
      </w:r>
      <w:proofErr w:type="spellStart"/>
      <w:r>
        <w:t>configs</w:t>
      </w:r>
      <w:proofErr w:type="spellEnd"/>
      <w:r>
        <w:t xml:space="preserve">/protected_period_execution_contract_v1_0_0.yaml, </w:t>
      </w:r>
      <w:proofErr w:type="spellStart"/>
      <w:r>
        <w:t>docs</w:t>
      </w:r>
      <w:proofErr w:type="spellEnd"/>
      <w:r>
        <w:t>/09_1_data_access_policy_v1_1_0.md, docs/10_current_experiment_status.md oraz reports/primary_thesis_reporting_v1_0_0/tables/03_period_boundaries.csv.</w:t>
      </w:r>
    </w:p>
  </w:footnote>
  <w:footnote w:id="24">
    <w:p w14:paraId="563E487E" w14:textId="77777777" w:rsidR="00F64CB7" w:rsidRDefault="00000000">
      <w:pPr>
        <w:pStyle w:val="FootnoteText"/>
        <w:jc w:val="left"/>
      </w:pPr>
      <w:r>
        <w:rPr>
          <w:rStyle w:val="FootnoteReference"/>
        </w:rPr>
        <w:footnoteRef/>
      </w:r>
      <w:r>
        <w:t xml:space="preserve"> Repozytorium badania, commit jak w przyp. 1: </w:t>
      </w:r>
      <w:proofErr w:type="spellStart"/>
      <w:r>
        <w:t>configs</w:t>
      </w:r>
      <w:proofErr w:type="spellEnd"/>
      <w:r>
        <w:t xml:space="preserve">/secondary_development_analyses_v1_0_0.yaml, docs/12_8_secondary_development_results_freeze_v1_1_7.md oraz </w:t>
      </w:r>
      <w:proofErr w:type="spellStart"/>
      <w:r>
        <w:t>reports</w:t>
      </w:r>
      <w:proofErr w:type="spellEnd"/>
      <w:r>
        <w:t>/secondary_development_thesis_v1_0_0/.</w:t>
      </w:r>
    </w:p>
  </w:footnote>
  <w:footnote w:id="25">
    <w:p w14:paraId="2E6FFA51" w14:textId="77777777" w:rsidR="00F64CB7" w:rsidRDefault="00000000">
      <w:pPr>
        <w:pStyle w:val="FootnoteText"/>
        <w:jc w:val="left"/>
      </w:pPr>
      <w:r>
        <w:rPr>
          <w:rStyle w:val="FootnoteReference"/>
        </w:rPr>
        <w:footnoteRef/>
      </w:r>
      <w:r>
        <w:t xml:space="preserve"> Repozytorium badania, commit jak w przyp. 1: </w:t>
      </w:r>
      <w:proofErr w:type="spellStart"/>
      <w:r>
        <w:t>configs</w:t>
      </w:r>
      <w:proofErr w:type="spellEnd"/>
      <w:r>
        <w:t xml:space="preserve">/posthoc_exploratory_comparison_v1_0_0.yaml, docs/12_12_posthoc_exploratory_comparison_v1_0_0.md i </w:t>
      </w:r>
      <w:proofErr w:type="spellStart"/>
      <w:r>
        <w:t>reports</w:t>
      </w:r>
      <w:proofErr w:type="spellEnd"/>
      <w:r>
        <w:t>/posthoc_exploratory_comparison_v1_0_0/.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7227849">
    <w:abstractNumId w:val="8"/>
  </w:num>
  <w:num w:numId="2" w16cid:durableId="279649567">
    <w:abstractNumId w:val="6"/>
  </w:num>
  <w:num w:numId="3" w16cid:durableId="1588155088">
    <w:abstractNumId w:val="5"/>
  </w:num>
  <w:num w:numId="4" w16cid:durableId="509222242">
    <w:abstractNumId w:val="4"/>
  </w:num>
  <w:num w:numId="5" w16cid:durableId="2132900642">
    <w:abstractNumId w:val="7"/>
  </w:num>
  <w:num w:numId="6" w16cid:durableId="1782531881">
    <w:abstractNumId w:val="3"/>
  </w:num>
  <w:num w:numId="7" w16cid:durableId="1748074189">
    <w:abstractNumId w:val="2"/>
  </w:num>
  <w:num w:numId="8" w16cid:durableId="657656073">
    <w:abstractNumId w:val="1"/>
  </w:num>
  <w:num w:numId="9" w16cid:durableId="543711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1573"/>
    <w:rsid w:val="00AA1D8D"/>
    <w:rsid w:val="00B47730"/>
    <w:rsid w:val="00B64659"/>
    <w:rsid w:val="00CB0664"/>
    <w:rsid w:val="00CC28BD"/>
    <w:rsid w:val="00F64C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E9431C"/>
  <w14:defaultImageDpi w14:val="300"/>
  <w15:docId w15:val="{9CA127EB-1AE8-7C4E-93D2-921F1FEC3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pl-PL" w:eastAsia="pl-P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pl-PL" w:eastAsia="pl-P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pl-PL" w:eastAsia="pl-PL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pl-PL" w:eastAsia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pl-PL" w:eastAsia="pl-P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pl-PL" w:eastAsia="pl-PL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pl-PL" w:eastAsia="pl-PL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pl-PL" w:eastAsia="pl-P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pl-PL"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pl-PL" w:eastAsia="pl-P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pl-PL" w:eastAsia="pl-P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pl-PL" w:eastAsia="pl-P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pl-PL" w:eastAsia="pl-P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pl-PL" w:eastAsia="pl-P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before="120" w:after="80" w:line="240" w:lineRule="auto"/>
      <w:jc w:val="center"/>
    </w:pPr>
    <w:rPr>
      <w:b/>
      <w:bCs/>
      <w:sz w:val="22"/>
      <w:szCs w:val="22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pl-PL" w:eastAsia="pl-PL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pl-PL" w:eastAsia="pl-P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pl-PL" w:eastAsia="pl-P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pl-PL" w:eastAsia="pl-PL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pl-PL" w:eastAsia="pl-PL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pl-PL" w:eastAsia="pl-PL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pl-PL" w:eastAsia="pl-PL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pl-PL" w:eastAsia="pl-PL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lang w:val="pl-PL" w:eastAsia="pl-PL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lang w:val="pl-PL" w:eastAsia="pl-PL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lang w:val="pl-PL" w:eastAsia="pl-PL"/>
      </w:rPr>
    </w:tblStylePr>
    <w:tblStylePr w:type="lastCol">
      <w:rPr>
        <w:b/>
        <w:bCs/>
        <w:lang w:val="pl-PL" w:eastAsia="pl-PL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lang w:val="pl-PL" w:eastAsia="pl-PL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lang w:val="pl-PL" w:eastAsia="pl-PL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lang w:val="pl-PL" w:eastAsia="pl-PL"/>
      </w:rPr>
    </w:tblStylePr>
    <w:tblStylePr w:type="lastCol">
      <w:rPr>
        <w:b/>
        <w:bCs/>
        <w:lang w:val="pl-PL" w:eastAsia="pl-PL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lang w:val="pl-PL" w:eastAsia="pl-PL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lang w:val="pl-PL" w:eastAsia="pl-PL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lang w:val="pl-PL" w:eastAsia="pl-PL"/>
      </w:rPr>
    </w:tblStylePr>
    <w:tblStylePr w:type="lastCol">
      <w:rPr>
        <w:b/>
        <w:bCs/>
        <w:lang w:val="pl-PL" w:eastAsia="pl-PL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lang w:val="pl-PL" w:eastAsia="pl-PL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lang w:val="pl-PL" w:eastAsia="pl-PL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lang w:val="pl-PL" w:eastAsia="pl-PL"/>
      </w:rPr>
    </w:tblStylePr>
    <w:tblStylePr w:type="lastCol">
      <w:rPr>
        <w:b/>
        <w:bCs/>
        <w:lang w:val="pl-PL" w:eastAsia="pl-PL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lang w:val="pl-PL" w:eastAsia="pl-PL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lang w:val="pl-PL" w:eastAsia="pl-PL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lang w:val="pl-PL" w:eastAsia="pl-PL"/>
      </w:rPr>
    </w:tblStylePr>
    <w:tblStylePr w:type="lastCol">
      <w:rPr>
        <w:b/>
        <w:bCs/>
        <w:lang w:val="pl-PL" w:eastAsia="pl-PL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lang w:val="pl-PL" w:eastAsia="pl-PL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lang w:val="pl-PL" w:eastAsia="pl-PL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lang w:val="pl-PL" w:eastAsia="pl-PL"/>
      </w:rPr>
    </w:tblStylePr>
    <w:tblStylePr w:type="lastCol">
      <w:rPr>
        <w:b/>
        <w:bCs/>
        <w:lang w:val="pl-PL" w:eastAsia="pl-PL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lang w:val="pl-PL" w:eastAsia="pl-PL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lang w:val="pl-PL" w:eastAsia="pl-PL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lang w:val="pl-PL" w:eastAsia="pl-PL"/>
      </w:rPr>
    </w:tblStylePr>
    <w:tblStylePr w:type="lastCol">
      <w:rPr>
        <w:b/>
        <w:bCs/>
        <w:lang w:val="pl-PL" w:eastAsia="pl-PL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pl-PL" w:eastAsia="pl-PL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lang w:val="pl-PL" w:eastAsia="pl-PL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lang w:val="pl-PL" w:eastAsia="pl-PL"/>
      </w:rPr>
    </w:tblStylePr>
    <w:tblStylePr w:type="lastCol">
      <w:rPr>
        <w:b/>
        <w:bCs/>
        <w:lang w:val="pl-PL" w:eastAsia="pl-PL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pl-PL" w:eastAsia="pl-PL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lang w:val="pl-PL" w:eastAsia="pl-PL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lang w:val="pl-PL" w:eastAsia="pl-PL"/>
      </w:rPr>
    </w:tblStylePr>
    <w:tblStylePr w:type="lastCol">
      <w:rPr>
        <w:b/>
        <w:bCs/>
        <w:lang w:val="pl-PL" w:eastAsia="pl-PL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pl-PL" w:eastAsia="pl-PL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lang w:val="pl-PL" w:eastAsia="pl-PL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lang w:val="pl-PL" w:eastAsia="pl-PL"/>
      </w:rPr>
    </w:tblStylePr>
    <w:tblStylePr w:type="lastCol">
      <w:rPr>
        <w:b/>
        <w:bCs/>
        <w:lang w:val="pl-PL" w:eastAsia="pl-PL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pl-PL" w:eastAsia="pl-PL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lang w:val="pl-PL" w:eastAsia="pl-PL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lang w:val="pl-PL" w:eastAsia="pl-PL"/>
      </w:rPr>
    </w:tblStylePr>
    <w:tblStylePr w:type="lastCol">
      <w:rPr>
        <w:b/>
        <w:bCs/>
        <w:lang w:val="pl-PL" w:eastAsia="pl-PL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pl-PL" w:eastAsia="pl-PL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lang w:val="pl-PL" w:eastAsia="pl-PL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lang w:val="pl-PL" w:eastAsia="pl-PL"/>
      </w:rPr>
    </w:tblStylePr>
    <w:tblStylePr w:type="lastCol">
      <w:rPr>
        <w:b/>
        <w:bCs/>
        <w:lang w:val="pl-PL" w:eastAsia="pl-PL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pl-PL" w:eastAsia="pl-PL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lang w:val="pl-PL" w:eastAsia="pl-PL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lang w:val="pl-PL" w:eastAsia="pl-PL"/>
      </w:rPr>
    </w:tblStylePr>
    <w:tblStylePr w:type="lastCol">
      <w:rPr>
        <w:b/>
        <w:bCs/>
        <w:lang w:val="pl-PL" w:eastAsia="pl-PL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pl-PL" w:eastAsia="pl-PL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lang w:val="pl-PL" w:eastAsia="pl-PL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lang w:val="pl-PL" w:eastAsia="pl-PL"/>
      </w:rPr>
    </w:tblStylePr>
    <w:tblStylePr w:type="lastCol">
      <w:rPr>
        <w:b/>
        <w:bCs/>
        <w:lang w:val="pl-PL" w:eastAsia="pl-PL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lang w:val="pl-PL" w:eastAsia="pl-PL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lang w:val="pl-PL" w:eastAsia="pl-PL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lang w:val="pl-PL" w:eastAsia="pl-PL"/>
      </w:rPr>
    </w:tblStylePr>
    <w:tblStylePr w:type="lastCol">
      <w:rPr>
        <w:rFonts w:asciiTheme="majorHAnsi" w:eastAsiaTheme="majorEastAsia" w:hAnsiTheme="majorHAnsi" w:cstheme="majorBidi"/>
        <w:b/>
        <w:bCs/>
        <w:lang w:val="pl-PL" w:eastAsia="pl-PL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lang w:val="pl-PL" w:eastAsia="pl-PL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lang w:val="pl-PL" w:eastAsia="pl-PL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lang w:val="pl-PL" w:eastAsia="pl-PL"/>
      </w:rPr>
    </w:tblStylePr>
    <w:tblStylePr w:type="lastCol">
      <w:rPr>
        <w:rFonts w:asciiTheme="majorHAnsi" w:eastAsiaTheme="majorEastAsia" w:hAnsiTheme="majorHAnsi" w:cstheme="majorBidi"/>
        <w:b/>
        <w:bCs/>
        <w:lang w:val="pl-PL" w:eastAsia="pl-PL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lang w:val="pl-PL" w:eastAsia="pl-PL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lang w:val="pl-PL" w:eastAsia="pl-PL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lang w:val="pl-PL" w:eastAsia="pl-PL"/>
      </w:rPr>
    </w:tblStylePr>
    <w:tblStylePr w:type="lastCol">
      <w:rPr>
        <w:rFonts w:asciiTheme="majorHAnsi" w:eastAsiaTheme="majorEastAsia" w:hAnsiTheme="majorHAnsi" w:cstheme="majorBidi"/>
        <w:b/>
        <w:bCs/>
        <w:lang w:val="pl-PL" w:eastAsia="pl-PL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lang w:val="pl-PL" w:eastAsia="pl-PL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lang w:val="pl-PL" w:eastAsia="pl-PL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lang w:val="pl-PL" w:eastAsia="pl-PL"/>
      </w:rPr>
    </w:tblStylePr>
    <w:tblStylePr w:type="lastCol">
      <w:rPr>
        <w:rFonts w:asciiTheme="majorHAnsi" w:eastAsiaTheme="majorEastAsia" w:hAnsiTheme="majorHAnsi" w:cstheme="majorBidi"/>
        <w:b/>
        <w:bCs/>
        <w:lang w:val="pl-PL" w:eastAsia="pl-PL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lang w:val="pl-PL" w:eastAsia="pl-PL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lang w:val="pl-PL" w:eastAsia="pl-PL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lang w:val="pl-PL" w:eastAsia="pl-PL"/>
      </w:rPr>
    </w:tblStylePr>
    <w:tblStylePr w:type="lastCol">
      <w:rPr>
        <w:rFonts w:asciiTheme="majorHAnsi" w:eastAsiaTheme="majorEastAsia" w:hAnsiTheme="majorHAnsi" w:cstheme="majorBidi"/>
        <w:b/>
        <w:bCs/>
        <w:lang w:val="pl-PL" w:eastAsia="pl-PL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lang w:val="pl-PL" w:eastAsia="pl-PL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lang w:val="pl-PL" w:eastAsia="pl-PL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lang w:val="pl-PL" w:eastAsia="pl-PL"/>
      </w:rPr>
    </w:tblStylePr>
    <w:tblStylePr w:type="lastCol">
      <w:rPr>
        <w:rFonts w:asciiTheme="majorHAnsi" w:eastAsiaTheme="majorEastAsia" w:hAnsiTheme="majorHAnsi" w:cstheme="majorBidi"/>
        <w:b/>
        <w:bCs/>
        <w:lang w:val="pl-PL" w:eastAsia="pl-PL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lang w:val="pl-PL" w:eastAsia="pl-PL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lang w:val="pl-PL" w:eastAsia="pl-PL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lang w:val="pl-PL" w:eastAsia="pl-PL"/>
      </w:rPr>
    </w:tblStylePr>
    <w:tblStylePr w:type="lastCol">
      <w:rPr>
        <w:rFonts w:asciiTheme="majorHAnsi" w:eastAsiaTheme="majorEastAsia" w:hAnsiTheme="majorHAnsi" w:cstheme="majorBidi"/>
        <w:b/>
        <w:bCs/>
        <w:lang w:val="pl-PL" w:eastAsia="pl-PL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pl-PL" w:eastAsia="pl-PL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lang w:val="pl-PL" w:eastAsia="pl-PL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lang w:val="pl-PL" w:eastAsia="pl-PL"/>
      </w:rPr>
    </w:tblStylePr>
    <w:tblStylePr w:type="lastCol">
      <w:rPr>
        <w:b/>
        <w:bCs/>
        <w:lang w:val="pl-PL" w:eastAsia="pl-PL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pl-PL" w:eastAsia="pl-PL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lang w:val="pl-PL" w:eastAsia="pl-PL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lang w:val="pl-PL" w:eastAsia="pl-PL"/>
      </w:rPr>
    </w:tblStylePr>
    <w:tblStylePr w:type="lastCol">
      <w:rPr>
        <w:b/>
        <w:bCs/>
        <w:lang w:val="pl-PL" w:eastAsia="pl-PL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pl-PL" w:eastAsia="pl-PL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lang w:val="pl-PL" w:eastAsia="pl-PL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lang w:val="pl-PL" w:eastAsia="pl-PL"/>
      </w:rPr>
    </w:tblStylePr>
    <w:tblStylePr w:type="lastCol">
      <w:rPr>
        <w:b/>
        <w:bCs/>
        <w:lang w:val="pl-PL" w:eastAsia="pl-PL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pl-PL" w:eastAsia="pl-PL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lang w:val="pl-PL" w:eastAsia="pl-PL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lang w:val="pl-PL" w:eastAsia="pl-PL"/>
      </w:rPr>
    </w:tblStylePr>
    <w:tblStylePr w:type="lastCol">
      <w:rPr>
        <w:b/>
        <w:bCs/>
        <w:lang w:val="pl-PL" w:eastAsia="pl-PL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pl-PL" w:eastAsia="pl-PL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lang w:val="pl-PL" w:eastAsia="pl-PL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lang w:val="pl-PL" w:eastAsia="pl-PL"/>
      </w:rPr>
    </w:tblStylePr>
    <w:tblStylePr w:type="lastCol">
      <w:rPr>
        <w:b/>
        <w:bCs/>
        <w:lang w:val="pl-PL" w:eastAsia="pl-PL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pl-PL" w:eastAsia="pl-PL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lang w:val="pl-PL" w:eastAsia="pl-PL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lang w:val="pl-PL" w:eastAsia="pl-PL"/>
      </w:rPr>
    </w:tblStylePr>
    <w:tblStylePr w:type="lastCol">
      <w:rPr>
        <w:b/>
        <w:bCs/>
        <w:lang w:val="pl-PL" w:eastAsia="pl-PL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pl-PL" w:eastAsia="pl-PL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lang w:val="pl-PL" w:eastAsia="pl-PL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lang w:val="pl-PL" w:eastAsia="pl-PL"/>
      </w:rPr>
    </w:tblStylePr>
    <w:tblStylePr w:type="lastCol">
      <w:rPr>
        <w:b/>
        <w:bCs/>
        <w:lang w:val="pl-PL" w:eastAsia="pl-PL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pl-PL" w:eastAsia="pl-PL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  <w:lang w:val="pl-PL" w:eastAsia="pl-PL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lang w:val="pl-PL" w:eastAsia="pl-PL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:lang w:val="pl-PL" w:eastAsia="pl-PL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lang w:val="pl-PL" w:eastAsia="pl-PL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pl-PL" w:eastAsia="pl-PL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  <w:lang w:val="pl-PL" w:eastAsia="pl-PL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lang w:val="pl-PL" w:eastAsia="pl-PL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:lang w:val="pl-PL" w:eastAsia="pl-PL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lang w:val="pl-PL" w:eastAsia="pl-PL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pl-PL" w:eastAsia="pl-PL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  <w:lang w:val="pl-PL" w:eastAsia="pl-PL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lang w:val="pl-PL" w:eastAsia="pl-PL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:lang w:val="pl-PL" w:eastAsia="pl-PL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lang w:val="pl-PL" w:eastAsia="pl-PL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pl-PL" w:eastAsia="pl-PL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  <w:lang w:val="pl-PL" w:eastAsia="pl-PL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lang w:val="pl-PL" w:eastAsia="pl-PL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:lang w:val="pl-PL" w:eastAsia="pl-PL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lang w:val="pl-PL" w:eastAsia="pl-PL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pl-PL" w:eastAsia="pl-PL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  <w:lang w:val="pl-PL" w:eastAsia="pl-PL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lang w:val="pl-PL" w:eastAsia="pl-PL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:lang w:val="pl-PL" w:eastAsia="pl-PL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lang w:val="pl-PL" w:eastAsia="pl-PL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pl-PL" w:eastAsia="pl-PL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  <w:lang w:val="pl-PL" w:eastAsia="pl-PL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lang w:val="pl-PL" w:eastAsia="pl-PL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:lang w:val="pl-PL" w:eastAsia="pl-PL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lang w:val="pl-PL" w:eastAsia="pl-PL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pl-PL" w:eastAsia="pl-PL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  <w:lang w:val="pl-PL" w:eastAsia="pl-PL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lang w:val="pl-PL" w:eastAsia="pl-PL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:lang w:val="pl-PL" w:eastAsia="pl-PL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lang w:val="pl-PL" w:eastAsia="pl-PL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  <w:lang w:val="pl-PL" w:eastAsia="pl-P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  <w:lang w:val="pl-PL" w:eastAsia="pl-PL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lang w:val="pl-PL" w:eastAsia="pl-PL"/>
      </w:rPr>
    </w:tblStylePr>
    <w:tblStylePr w:type="lastCol">
      <w:rPr>
        <w:b/>
        <w:bCs/>
        <w:lang w:val="pl-PL" w:eastAsia="pl-PL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  <w:lang w:val="pl-PL" w:eastAsia="pl-P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  <w:lang w:val="pl-PL" w:eastAsia="pl-PL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lang w:val="pl-PL" w:eastAsia="pl-PL"/>
      </w:rPr>
    </w:tblStylePr>
    <w:tblStylePr w:type="lastCol">
      <w:rPr>
        <w:b/>
        <w:bCs/>
        <w:lang w:val="pl-PL" w:eastAsia="pl-PL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  <w:lang w:val="pl-PL" w:eastAsia="pl-P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  <w:lang w:val="pl-PL" w:eastAsia="pl-PL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lang w:val="pl-PL" w:eastAsia="pl-PL"/>
      </w:rPr>
    </w:tblStylePr>
    <w:tblStylePr w:type="lastCol">
      <w:rPr>
        <w:b/>
        <w:bCs/>
        <w:lang w:val="pl-PL" w:eastAsia="pl-PL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  <w:lang w:val="pl-PL" w:eastAsia="pl-P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  <w:lang w:val="pl-PL" w:eastAsia="pl-PL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lang w:val="pl-PL" w:eastAsia="pl-PL"/>
      </w:rPr>
    </w:tblStylePr>
    <w:tblStylePr w:type="lastCol">
      <w:rPr>
        <w:b/>
        <w:bCs/>
        <w:lang w:val="pl-PL" w:eastAsia="pl-PL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  <w:lang w:val="pl-PL" w:eastAsia="pl-P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  <w:lang w:val="pl-PL" w:eastAsia="pl-PL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lang w:val="pl-PL" w:eastAsia="pl-PL"/>
      </w:rPr>
    </w:tblStylePr>
    <w:tblStylePr w:type="lastCol">
      <w:rPr>
        <w:b/>
        <w:bCs/>
        <w:lang w:val="pl-PL" w:eastAsia="pl-PL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  <w:lang w:val="pl-PL" w:eastAsia="pl-P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  <w:lang w:val="pl-PL" w:eastAsia="pl-PL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lang w:val="pl-PL" w:eastAsia="pl-PL"/>
      </w:rPr>
    </w:tblStylePr>
    <w:tblStylePr w:type="lastCol">
      <w:rPr>
        <w:b/>
        <w:bCs/>
        <w:lang w:val="pl-PL" w:eastAsia="pl-PL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  <w:lang w:val="pl-PL" w:eastAsia="pl-P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  <w:lang w:val="pl-PL" w:eastAsia="pl-PL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lang w:val="pl-PL" w:eastAsia="pl-PL"/>
      </w:rPr>
    </w:tblStylePr>
    <w:tblStylePr w:type="lastCol">
      <w:rPr>
        <w:b/>
        <w:bCs/>
        <w:lang w:val="pl-PL" w:eastAsia="pl-PL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  <w:lang w:val="pl-PL" w:eastAsia="pl-PL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  <w:lang w:val="pl-PL" w:eastAsia="pl-PL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  <w:lang w:val="pl-PL" w:eastAsia="pl-PL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  <w:lang w:val="pl-PL" w:eastAsia="pl-PL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  <w:lang w:val="pl-PL" w:eastAsia="pl-PL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  <w:lang w:val="pl-PL" w:eastAsia="pl-PL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  <w:lang w:val="pl-PL" w:eastAsia="pl-PL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  <w:lang w:val="pl-PL" w:eastAsia="pl-PL"/>
      </w:rPr>
    </w:tblStylePr>
    <w:tblStylePr w:type="lastRow">
      <w:rPr>
        <w:b/>
        <w:bCs/>
        <w:lang w:val="pl-PL" w:eastAsia="pl-PL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lang w:val="pl-PL" w:eastAsia="pl-PL"/>
      </w:rPr>
    </w:tblStylePr>
    <w:tblStylePr w:type="lastCol">
      <w:rPr>
        <w:b/>
        <w:bCs/>
        <w:lang w:val="pl-PL" w:eastAsia="pl-PL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  <w:lang w:val="pl-PL" w:eastAsia="pl-PL"/>
      </w:rPr>
    </w:tblStylePr>
    <w:tblStylePr w:type="lastRow">
      <w:rPr>
        <w:b/>
        <w:bCs/>
        <w:lang w:val="pl-PL" w:eastAsia="pl-PL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lang w:val="pl-PL" w:eastAsia="pl-PL"/>
      </w:rPr>
    </w:tblStylePr>
    <w:tblStylePr w:type="lastCol">
      <w:rPr>
        <w:b/>
        <w:bCs/>
        <w:lang w:val="pl-PL" w:eastAsia="pl-PL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  <w:lang w:val="pl-PL" w:eastAsia="pl-PL"/>
      </w:rPr>
    </w:tblStylePr>
    <w:tblStylePr w:type="lastRow">
      <w:rPr>
        <w:b/>
        <w:bCs/>
        <w:lang w:val="pl-PL" w:eastAsia="pl-PL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lang w:val="pl-PL" w:eastAsia="pl-PL"/>
      </w:rPr>
    </w:tblStylePr>
    <w:tblStylePr w:type="lastCol">
      <w:rPr>
        <w:b/>
        <w:bCs/>
        <w:lang w:val="pl-PL" w:eastAsia="pl-PL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  <w:lang w:val="pl-PL" w:eastAsia="pl-PL"/>
      </w:rPr>
    </w:tblStylePr>
    <w:tblStylePr w:type="lastRow">
      <w:rPr>
        <w:b/>
        <w:bCs/>
        <w:lang w:val="pl-PL" w:eastAsia="pl-PL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lang w:val="pl-PL" w:eastAsia="pl-PL"/>
      </w:rPr>
    </w:tblStylePr>
    <w:tblStylePr w:type="lastCol">
      <w:rPr>
        <w:b/>
        <w:bCs/>
        <w:lang w:val="pl-PL" w:eastAsia="pl-PL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  <w:lang w:val="pl-PL" w:eastAsia="pl-PL"/>
      </w:rPr>
    </w:tblStylePr>
    <w:tblStylePr w:type="lastRow">
      <w:rPr>
        <w:b/>
        <w:bCs/>
        <w:lang w:val="pl-PL" w:eastAsia="pl-PL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lang w:val="pl-PL" w:eastAsia="pl-PL"/>
      </w:rPr>
    </w:tblStylePr>
    <w:tblStylePr w:type="lastCol">
      <w:rPr>
        <w:b/>
        <w:bCs/>
        <w:lang w:val="pl-PL" w:eastAsia="pl-PL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  <w:lang w:val="pl-PL" w:eastAsia="pl-PL"/>
      </w:rPr>
    </w:tblStylePr>
    <w:tblStylePr w:type="lastRow">
      <w:rPr>
        <w:b/>
        <w:bCs/>
        <w:lang w:val="pl-PL" w:eastAsia="pl-PL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lang w:val="pl-PL" w:eastAsia="pl-PL"/>
      </w:rPr>
    </w:tblStylePr>
    <w:tblStylePr w:type="lastCol">
      <w:rPr>
        <w:b/>
        <w:bCs/>
        <w:lang w:val="pl-PL" w:eastAsia="pl-PL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  <w:lang w:val="pl-PL" w:eastAsia="pl-PL"/>
      </w:rPr>
    </w:tblStylePr>
    <w:tblStylePr w:type="lastRow">
      <w:rPr>
        <w:b/>
        <w:bCs/>
        <w:lang w:val="pl-PL" w:eastAsia="pl-PL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lang w:val="pl-PL" w:eastAsia="pl-PL"/>
      </w:rPr>
    </w:tblStylePr>
    <w:tblStylePr w:type="lastCol">
      <w:rPr>
        <w:b/>
        <w:bCs/>
        <w:lang w:val="pl-PL" w:eastAsia="pl-PL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  <w:lang w:val="pl-PL" w:eastAsia="pl-PL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  <w:lang w:val="pl-PL" w:eastAsia="pl-PL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lang w:val="pl-PL" w:eastAsia="pl-PL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lang w:val="pl-PL" w:eastAsia="pl-PL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:lang w:val="pl-PL" w:eastAsia="pl-PL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:lang w:val="pl-PL" w:eastAsia="pl-PL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lang w:val="pl-PL" w:eastAsia="pl-PL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lang w:val="pl-PL" w:eastAsia="pl-PL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  <w:lang w:val="pl-PL" w:eastAsia="pl-PL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:lang w:val="pl-PL" w:eastAsia="pl-PL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lang w:val="pl-PL" w:eastAsia="pl-PL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lang w:val="pl-PL" w:eastAsia="pl-PL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:lang w:val="pl-PL" w:eastAsia="pl-PL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:lang w:val="pl-PL" w:eastAsia="pl-PL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lang w:val="pl-PL" w:eastAsia="pl-PL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lang w:val="pl-PL" w:eastAsia="pl-PL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:lang w:val="pl-PL" w:eastAsia="pl-PL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  <w:lang w:val="pl-PL" w:eastAsia="pl-PL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lang w:val="pl-PL" w:eastAsia="pl-PL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lang w:val="pl-PL" w:eastAsia="pl-PL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  <w:lang w:val="pl-PL" w:eastAsia="pl-PL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:lang w:val="pl-PL" w:eastAsia="pl-PL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lang w:val="pl-PL" w:eastAsia="pl-PL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lang w:val="pl-PL" w:eastAsia="pl-PL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  <w:lang w:val="pl-PL" w:eastAsia="pl-PL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:lang w:val="pl-PL" w:eastAsia="pl-PL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lang w:val="pl-PL" w:eastAsia="pl-PL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lang w:val="pl-PL" w:eastAsia="pl-PL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  <w:lang w:val="pl-PL" w:eastAsia="pl-PL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:lang w:val="pl-PL" w:eastAsia="pl-PL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:lang w:val="pl-PL" w:eastAsia="pl-PL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:lang w:val="pl-PL" w:eastAsia="pl-PL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:lang w:val="pl-PL" w:eastAsia="pl-PL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:lang w:val="pl-PL" w:eastAsia="pl-PL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:lang w:val="pl-PL" w:eastAsia="pl-PL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:lang w:val="pl-PL" w:eastAsia="pl-PL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  <w:lang w:val="pl-PL" w:eastAsia="pl-PL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:lang w:val="pl-PL" w:eastAsia="pl-PL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:lang w:val="pl-PL" w:eastAsia="pl-PL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:lang w:val="pl-PL" w:eastAsia="pl-PL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:lang w:val="pl-PL" w:eastAsia="pl-PL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:lang w:val="pl-PL" w:eastAsia="pl-PL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:lang w:val="pl-PL" w:eastAsia="pl-PL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:lang w:val="pl-PL" w:eastAsia="pl-PL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:lang w:val="pl-PL" w:eastAsia="pl-PL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:lang w:val="pl-PL" w:eastAsia="pl-PL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:lang w:val="pl-PL" w:eastAsia="pl-PL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:lang w:val="pl-PL" w:eastAsia="pl-PL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  <w:lang w:val="pl-PL" w:eastAsia="pl-PL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:lang w:val="pl-PL" w:eastAsia="pl-PL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:lang w:val="pl-PL" w:eastAsia="pl-PL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:lang w:val="pl-PL" w:eastAsia="pl-PL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  <w:lang w:val="pl-PL" w:eastAsia="pl-PL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:lang w:val="pl-PL" w:eastAsia="pl-PL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:lang w:val="pl-PL" w:eastAsia="pl-PL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:lang w:val="pl-PL" w:eastAsia="pl-PL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  <w:lang w:val="pl-PL" w:eastAsia="pl-PL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  <w:lang w:val="pl-PL" w:eastAsia="pl-PL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  <w:lang w:val="pl-PL" w:eastAsia="pl-PL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  <w:lang w:val="pl-PL" w:eastAsia="pl-PL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  <w:lang w:val="pl-PL" w:eastAsia="pl-PL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  <w:lang w:val="pl-PL" w:eastAsia="pl-PL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  <w:lang w:val="pl-PL" w:eastAsia="pl-PL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  <w:lang w:val="pl-PL" w:eastAsia="pl-PL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lang w:val="pl-PL" w:eastAsia="pl-PL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:lang w:val="pl-PL" w:eastAsia="pl-PL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:lang w:val="pl-PL" w:eastAsia="pl-PL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  <w:lang w:val="pl-PL" w:eastAsia="pl-PL"/>
      </w:rPr>
    </w:tblStylePr>
    <w:tblStylePr w:type="nwCell">
      <w:rPr>
        <w:color w:val="000000" w:themeColor="text1"/>
        <w:lang w:val="pl-PL" w:eastAsia="pl-PL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  <w:lang w:val="pl-PL" w:eastAsia="pl-PL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lang w:val="pl-PL" w:eastAsia="pl-PL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  <w:lang w:val="pl-PL" w:eastAsia="pl-PL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  <w:lang w:val="pl-PL" w:eastAsia="pl-PL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  <w:lang w:val="pl-PL" w:eastAsia="pl-PL"/>
      </w:rPr>
    </w:tblStylePr>
    <w:tblStylePr w:type="nwCell">
      <w:rPr>
        <w:color w:val="000000" w:themeColor="text1"/>
        <w:lang w:val="pl-PL" w:eastAsia="pl-PL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  <w:lang w:val="pl-PL" w:eastAsia="pl-PL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lang w:val="pl-PL" w:eastAsia="pl-PL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:lang w:val="pl-PL" w:eastAsia="pl-PL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:lang w:val="pl-PL" w:eastAsia="pl-PL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:lang w:val="pl-PL" w:eastAsia="pl-PL"/>
      </w:rPr>
    </w:tblStylePr>
    <w:tblStylePr w:type="nwCell">
      <w:rPr>
        <w:color w:val="000000" w:themeColor="text1"/>
        <w:lang w:val="pl-PL" w:eastAsia="pl-PL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  <w:lang w:val="pl-PL" w:eastAsia="pl-PL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lang w:val="pl-PL" w:eastAsia="pl-PL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:lang w:val="pl-PL" w:eastAsia="pl-PL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:lang w:val="pl-PL" w:eastAsia="pl-PL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  <w:lang w:val="pl-PL" w:eastAsia="pl-PL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lang w:val="pl-PL" w:eastAsia="pl-PL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  <w:lang w:val="pl-PL" w:eastAsia="pl-PL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  <w:lang w:val="pl-PL" w:eastAsia="pl-PL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:lang w:val="pl-PL" w:eastAsia="pl-PL"/>
      </w:rPr>
    </w:tblStylePr>
    <w:tblStylePr w:type="nwCell">
      <w:rPr>
        <w:color w:val="000000" w:themeColor="text1"/>
        <w:lang w:val="pl-PL" w:eastAsia="pl-PL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  <w:lang w:val="pl-PL" w:eastAsia="pl-PL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lang w:val="pl-PL" w:eastAsia="pl-PL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:lang w:val="pl-PL" w:eastAsia="pl-PL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:lang w:val="pl-PL" w:eastAsia="pl-PL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:lang w:val="pl-PL" w:eastAsia="pl-PL"/>
      </w:rPr>
    </w:tblStylePr>
    <w:tblStylePr w:type="nwCell">
      <w:rPr>
        <w:color w:val="000000" w:themeColor="text1"/>
        <w:lang w:val="pl-PL" w:eastAsia="pl-PL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  <w:lang w:val="pl-PL" w:eastAsia="pl-PL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lang w:val="pl-PL" w:eastAsia="pl-PL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  <w:lang w:val="pl-PL" w:eastAsia="pl-PL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  <w:lang w:val="pl-PL" w:eastAsia="pl-PL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:lang w:val="pl-PL" w:eastAsia="pl-PL"/>
      </w:rPr>
    </w:tblStylePr>
    <w:tblStylePr w:type="nwCell">
      <w:rPr>
        <w:color w:val="000000" w:themeColor="text1"/>
        <w:lang w:val="pl-PL" w:eastAsia="pl-PL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  <w:lang w:val="pl-PL" w:eastAsia="pl-PL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lang w:val="pl-PL" w:eastAsia="pl-PL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lang w:val="pl-PL" w:eastAsia="pl-PL"/>
      </w:rPr>
    </w:tblStylePr>
    <w:tblStylePr w:type="lastCol">
      <w:rPr>
        <w:b/>
        <w:bCs/>
        <w:lang w:val="pl-PL" w:eastAsia="pl-PL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:lang w:val="pl-PL" w:eastAsia="pl-PL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lang w:val="pl-PL" w:eastAsia="pl-PL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lang w:val="pl-PL" w:eastAsia="pl-PL"/>
      </w:rPr>
    </w:tblStylePr>
    <w:tblStylePr w:type="lastCol">
      <w:rPr>
        <w:b/>
        <w:bCs/>
        <w:lang w:val="pl-PL" w:eastAsia="pl-PL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:lang w:val="pl-PL" w:eastAsia="pl-PL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lang w:val="pl-PL" w:eastAsia="pl-PL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lang w:val="pl-PL" w:eastAsia="pl-PL"/>
      </w:rPr>
    </w:tblStylePr>
    <w:tblStylePr w:type="lastCol">
      <w:rPr>
        <w:b/>
        <w:bCs/>
        <w:lang w:val="pl-PL" w:eastAsia="pl-PL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:lang w:val="pl-PL" w:eastAsia="pl-PL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  <w:lang w:val="pl-PL" w:eastAsia="pl-PL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lang w:val="pl-PL" w:eastAsia="pl-PL"/>
      </w:rPr>
    </w:tblStylePr>
    <w:tblStylePr w:type="lastCol">
      <w:rPr>
        <w:b/>
        <w:bCs/>
        <w:lang w:val="pl-PL" w:eastAsia="pl-PL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  <w:lang w:val="pl-PL" w:eastAsia="pl-PL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  <w:lang w:val="pl-PL" w:eastAsia="pl-PL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lang w:val="pl-PL" w:eastAsia="pl-PL"/>
      </w:rPr>
    </w:tblStylePr>
    <w:tblStylePr w:type="lastCol">
      <w:rPr>
        <w:b/>
        <w:bCs/>
        <w:lang w:val="pl-PL" w:eastAsia="pl-PL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:lang w:val="pl-PL" w:eastAsia="pl-PL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  <w:lang w:val="pl-PL" w:eastAsia="pl-PL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lang w:val="pl-PL" w:eastAsia="pl-PL"/>
      </w:rPr>
    </w:tblStylePr>
    <w:tblStylePr w:type="lastCol">
      <w:rPr>
        <w:b/>
        <w:bCs/>
        <w:lang w:val="pl-PL" w:eastAsia="pl-PL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:lang w:val="pl-PL" w:eastAsia="pl-PL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  <w:lang w:val="pl-PL" w:eastAsia="pl-PL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lang w:val="pl-PL" w:eastAsia="pl-PL"/>
      </w:rPr>
    </w:tblStylePr>
    <w:tblStylePr w:type="lastCol">
      <w:rPr>
        <w:b/>
        <w:bCs/>
        <w:lang w:val="pl-PL" w:eastAsia="pl-PL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lang w:val="pl-PL" w:eastAsia="pl-PL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:lang w:val="pl-PL" w:eastAsia="pl-PL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:lang w:val="pl-PL" w:eastAsia="pl-PL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:lang w:val="pl-PL" w:eastAsia="pl-PL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lang w:val="pl-PL" w:eastAsia="pl-PL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:lang w:val="pl-PL" w:eastAsia="pl-PL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:lang w:val="pl-PL" w:eastAsia="pl-PL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  <w:lang w:val="pl-PL" w:eastAsia="pl-PL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lang w:val="pl-PL" w:eastAsia="pl-PL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:lang w:val="pl-PL" w:eastAsia="pl-PL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:lang w:val="pl-PL" w:eastAsia="pl-PL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  <w:lang w:val="pl-PL" w:eastAsia="pl-PL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lang w:val="pl-PL" w:eastAsia="pl-PL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:lang w:val="pl-PL" w:eastAsia="pl-PL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:lang w:val="pl-PL" w:eastAsia="pl-PL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:lang w:val="pl-PL" w:eastAsia="pl-PL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lang w:val="pl-PL" w:eastAsia="pl-PL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:lang w:val="pl-PL" w:eastAsia="pl-PL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:lang w:val="pl-PL" w:eastAsia="pl-PL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:lang w:val="pl-PL" w:eastAsia="pl-PL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lang w:val="pl-PL" w:eastAsia="pl-PL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:lang w:val="pl-PL" w:eastAsia="pl-PL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:lang w:val="pl-PL" w:eastAsia="pl-PL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:lang w:val="pl-PL" w:eastAsia="pl-PL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lang w:val="pl-PL" w:eastAsia="pl-PL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:lang w:val="pl-PL" w:eastAsia="pl-PL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:lang w:val="pl-PL" w:eastAsia="pl-PL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  <w:lang w:val="pl-PL" w:eastAsia="pl-PL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  <w:basedOn w:val="Normal"/>
    <w:pPr>
      <w:spacing w:line="240" w:lineRule="auto"/>
      <w:ind w:firstLine="0"/>
    </w:pPr>
    <w:rPr>
      <w:sz w:val="20"/>
      <w:szCs w:val="20"/>
    </w:rPr>
  </w:style>
  <w:style w:type="character" w:styleId="FootnoteReference">
    <w:name w:val="footnote reference"/>
    <w:basedOn w:val="DefaultParagraphFont"/>
    <w:rPr>
      <w:rFonts w:ascii="Times New Roman" w:eastAsia="Times New Roman" w:hAnsi="Times New Roman" w:cs="Times New Roman"/>
      <w:sz w:val="20"/>
      <w:szCs w:val="20"/>
      <w:vertAlign w:val="superscript"/>
      <w:lang w:val="pl-PL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5398</Words>
  <Characters>30770</Characters>
  <Application>Microsoft Office Word</Application>
  <DocSecurity>0</DocSecurity>
  <Lines>256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Rozdział 4. Projekt badania empirycznego i metodologia eksperymentu</dc:title>
  <dc:subject>Metodologia badania porównującego modele klasyczne i QNN na danych sprawozdawczych SEC</dc:subject>
  <dc:creator>Oskar Stachowski</dc:creator>
  <cp:keywords>metodologia, dane SEC, point-in-time, walidacja czasowa, QNN</cp:keywords>
  <dc:description>Finalna wersja rozdziału metodologicznego zweryfikowana względem repozytorium badania.</dc:description>
  <cp:lastModifiedBy>Oskar Stachowski</cp:lastModifiedBy>
  <cp:revision>2</cp:revision>
  <dcterms:created xsi:type="dcterms:W3CDTF">2026-08-25T17:52:00Z</dcterms:created>
  <dcterms:modified xsi:type="dcterms:W3CDTF">2026-08-25T17:52:00Z</dcterms:modified>
  <cp:category/>
</cp:coreProperties>
</file>