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77777777" w:rsidR="003516B1" w:rsidRPr="003516B1" w:rsidRDefault="003516B1" w:rsidP="003516B1">
      <w:pPr>
        <w:spacing w:before="84"/>
        <w:jc w:val="center"/>
        <w:rPr>
          <w:rFonts w:ascii="Times New Roman" w:eastAsia="Times New Roman" w:hAnsi="Times New Roman" w:cs="Times New Roman"/>
        </w:rPr>
      </w:pPr>
      <w:r w:rsidRPr="003516B1">
        <w:rPr>
          <w:rFonts w:ascii="Arial" w:eastAsia="Times New Roman" w:hAnsi="Arial" w:cs="Arial"/>
          <w:color w:val="000000"/>
          <w:sz w:val="52"/>
          <w:szCs w:val="52"/>
        </w:rPr>
        <w:t>Transaction Author Agreement V2</w:t>
      </w:r>
    </w:p>
    <w:p w14:paraId="48AB1D9A" w14:textId="01F7429F"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bdr w:val="none" w:sz="0" w:space="0" w:color="auto" w:frame="1"/>
        </w:rPr>
        <w:fldChar w:fldCharType="begin"/>
      </w:r>
      <w:r w:rsidRPr="003516B1">
        <w:rPr>
          <w:rFonts w:ascii="Times New Roman" w:eastAsia="Times New Roman" w:hAnsi="Times New Roman" w:cs="Times New Roman"/>
          <w:bdr w:val="none" w:sz="0" w:space="0" w:color="auto" w:frame="1"/>
        </w:rPr>
        <w:instrText xml:space="preserve"> INCLUDEPICTURE "https://lh6.googleusercontent.com/1538zwwPIZ7vbNrZEe-ehXEvxhmZ8BNJ8X-83sScCWOPyn4F8DEYpEMl48-QPAer5noWCGyyMdGEzUtJtQUzqLxvRqeDweDStreiUEiWx0gg4wUCxbqjcWKcslzoKdIig-VVOhy3" \* MERGEFORMATINET </w:instrText>
      </w:r>
      <w:r w:rsidRPr="003516B1">
        <w:rPr>
          <w:rFonts w:ascii="Times New Roman" w:eastAsia="Times New Roman" w:hAnsi="Times New Roman" w:cs="Times New Roman"/>
          <w:bdr w:val="none" w:sz="0" w:space="0" w:color="auto" w:frame="1"/>
        </w:rPr>
        <w:fldChar w:fldCharType="separate"/>
      </w:r>
      <w:r w:rsidRPr="003516B1">
        <w:rPr>
          <w:rFonts w:ascii="Times New Roman" w:eastAsia="Times New Roman" w:hAnsi="Times New Roman" w:cs="Times New Roman"/>
          <w:noProof/>
          <w:bdr w:val="none" w:sz="0" w:space="0" w:color="auto" w:frame="1"/>
        </w:rPr>
        <w:drawing>
          <wp:inline distT="0" distB="0" distL="0" distR="0" wp14:anchorId="49864F4C" wp14:editId="5BEF2F52">
            <wp:extent cx="5155565" cy="1663700"/>
            <wp:effectExtent l="0" t="0" r="63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5565" cy="1663700"/>
                    </a:xfrm>
                    <a:prstGeom prst="rect">
                      <a:avLst/>
                    </a:prstGeom>
                    <a:noFill/>
                    <a:ln>
                      <a:noFill/>
                    </a:ln>
                  </pic:spPr>
                </pic:pic>
              </a:graphicData>
            </a:graphic>
          </wp:inline>
        </w:drawing>
      </w:r>
      <w:r w:rsidRPr="003516B1">
        <w:rPr>
          <w:rFonts w:ascii="Times New Roman" w:eastAsia="Times New Roman" w:hAnsi="Times New Roman" w:cs="Times New Roman"/>
          <w:bdr w:val="none" w:sz="0" w:space="0" w:color="auto" w:frame="1"/>
        </w:rPr>
        <w:fldChar w:fldCharType="end"/>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p>
    <w:p w14:paraId="679B780E" w14:textId="77777777" w:rsidR="003516B1" w:rsidRPr="003516B1" w:rsidRDefault="003516B1" w:rsidP="003516B1">
      <w:pPr>
        <w:jc w:val="center"/>
        <w:rPr>
          <w:rFonts w:ascii="Times New Roman" w:eastAsia="Times New Roman" w:hAnsi="Times New Roman" w:cs="Times New Roman"/>
        </w:rPr>
      </w:pPr>
      <w:hyperlink r:id="rId6" w:history="1">
        <w:r w:rsidRPr="003516B1">
          <w:rPr>
            <w:rFonts w:ascii="Arial" w:eastAsia="Times New Roman" w:hAnsi="Arial" w:cs="Arial"/>
            <w:color w:val="1155CC"/>
            <w:sz w:val="28"/>
            <w:szCs w:val="28"/>
            <w:u w:val="single"/>
          </w:rPr>
          <w:t>https://sovrin.org/</w:t>
        </w:r>
      </w:hyperlink>
      <w:r w:rsidRPr="003516B1">
        <w:rPr>
          <w:rFonts w:ascii="Arial" w:eastAsia="Times New Roman" w:hAnsi="Arial" w:cs="Arial"/>
          <w:color w:val="000000"/>
          <w:sz w:val="28"/>
          <w:szCs w:val="28"/>
        </w:rPr>
        <w:t> </w:t>
      </w:r>
    </w:p>
    <w:p w14:paraId="5259AC7E"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Times New Roman" w:eastAsia="Times New Roman" w:hAnsi="Times New Roman" w:cs="Times New Roman"/>
        </w:rPr>
        <w:lastRenderedPageBreak/>
        <w:br/>
      </w:r>
    </w:p>
    <w:p w14:paraId="553B3DD5" w14:textId="77777777" w:rsidR="003516B1" w:rsidRPr="003516B1" w:rsidRDefault="003516B1" w:rsidP="003516B1">
      <w:pPr>
        <w:spacing w:before="97"/>
        <w:ind w:hanging="160"/>
        <w:rPr>
          <w:rFonts w:ascii="Times New Roman" w:eastAsia="Times New Roman" w:hAnsi="Times New Roman" w:cs="Times New Roman"/>
        </w:rPr>
      </w:pPr>
      <w:r w:rsidRPr="003516B1">
        <w:rPr>
          <w:rFonts w:ascii="Arial" w:eastAsia="Times New Roman" w:hAnsi="Arial" w:cs="Arial"/>
          <w:b/>
          <w:bCs/>
          <w:color w:val="000000"/>
          <w:sz w:val="28"/>
          <w:szCs w:val="28"/>
        </w:rPr>
        <w:t>Summary:</w:t>
      </w:r>
    </w:p>
    <w:p w14:paraId="5CBFE8F9" w14:textId="77777777"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Networks—it does not have any legal effect or replace the full legal text of the agreement provided below it.</w:t>
      </w:r>
    </w:p>
    <w:p w14:paraId="49597511" w14:textId="77777777"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makes no promises about the reliability or correctness of the data being stored on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or the operation of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77777777"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b/>
          <w:bCs/>
          <w:color w:val="000000"/>
          <w:sz w:val="28"/>
          <w:szCs w:val="28"/>
        </w:rPr>
        <w:t xml:space="preserve">Agreement:  Approved by the </w:t>
      </w:r>
      <w:proofErr w:type="spellStart"/>
      <w:r w:rsidRPr="003516B1">
        <w:rPr>
          <w:rFonts w:ascii="Arial" w:eastAsia="Times New Roman" w:hAnsi="Arial" w:cs="Arial"/>
          <w:b/>
          <w:bCs/>
          <w:color w:val="000000"/>
          <w:sz w:val="28"/>
          <w:szCs w:val="28"/>
        </w:rPr>
        <w:t>Sovrin</w:t>
      </w:r>
      <w:proofErr w:type="spellEnd"/>
      <w:r w:rsidRPr="003516B1">
        <w:rPr>
          <w:rFonts w:ascii="Arial" w:eastAsia="Times New Roman" w:hAnsi="Arial" w:cs="Arial"/>
          <w:b/>
          <w:bCs/>
          <w:color w:val="000000"/>
          <w:sz w:val="28"/>
          <w:szCs w:val="28"/>
        </w:rPr>
        <w:t xml:space="preserve"> Board of Trustees 04 December 2019</w:t>
      </w:r>
    </w:p>
    <w:p w14:paraId="23CFFFCC" w14:textId="77777777" w:rsidR="003516B1" w:rsidRPr="003516B1" w:rsidRDefault="003516B1" w:rsidP="003516B1">
      <w:pPr>
        <w:rPr>
          <w:rFonts w:ascii="Times New Roman" w:eastAsia="Times New Roman" w:hAnsi="Times New Roman" w:cs="Times New Roman"/>
        </w:rPr>
      </w:pPr>
    </w:p>
    <w:p w14:paraId="7D94FCBD" w14:textId="77777777"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 nonprofit corporation organized under the laws of the State of Utah, United States of America (“</w:t>
      </w:r>
      <w:proofErr w:type="spellStart"/>
      <w:r w:rsidRPr="003516B1">
        <w:rPr>
          <w:rFonts w:ascii="Arial" w:eastAsia="Times New Roman" w:hAnsi="Arial" w:cs="Arial"/>
          <w:b/>
          <w:bCs/>
          <w:color w:val="000000"/>
          <w:sz w:val="22"/>
          <w:szCs w:val="22"/>
        </w:rPr>
        <w:t>Sovrin</w:t>
      </w:r>
      <w:proofErr w:type="spellEnd"/>
      <w:r w:rsidRPr="003516B1">
        <w:rPr>
          <w:rFonts w:ascii="Arial" w:eastAsia="Times New Roman" w:hAnsi="Arial" w:cs="Arial"/>
          <w:b/>
          <w:bCs/>
          <w:color w:val="000000"/>
          <w:sz w:val="22"/>
          <w:szCs w:val="22"/>
        </w:rPr>
        <w:t xml:space="preserve"> Foundation</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w:t>
      </w:r>
    </w:p>
    <w:p w14:paraId="57B0D160" w14:textId="77777777"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Transaction Author agrees to be bound by this Agreement and all terms incorporated by reference.  If Transaction Author does not agree to this Agreement in its entirety, do not click “Accept” or write Transactions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355D2D50" w14:textId="77777777"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makes material changes to this Agreement, we will notify you by posting a notice on our website prior to the effective date of the changes. By continuing to act as a Transaction Author or by otherwise writing Transactions on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lastRenderedPageBreak/>
        <w:t xml:space="preserve">WHEREAS, subject to the Transaction Author complying with the terms and conditions of this Agreement,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grants permission to the Transaction Author to write Transactions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3516B1" w:rsidRDefault="003516B1" w:rsidP="003516B1">
      <w:pPr>
        <w:numPr>
          <w:ilvl w:val="0"/>
          <w:numId w:val="2"/>
        </w:numPr>
        <w:spacing w:before="1"/>
        <w:ind w:left="321"/>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Definitions</w:t>
      </w:r>
    </w:p>
    <w:p w14:paraId="19B3B1DB" w14:textId="77777777" w:rsidR="003516B1" w:rsidRPr="003516B1" w:rsidRDefault="003516B1" w:rsidP="003516B1">
      <w:pPr>
        <w:rPr>
          <w:rFonts w:ascii="Times New Roman" w:eastAsia="Times New Roman" w:hAnsi="Times New Roman" w:cs="Times New Roman"/>
        </w:rPr>
      </w:pPr>
    </w:p>
    <w:p w14:paraId="1DBACC31" w14:textId="77777777" w:rsidR="003516B1" w:rsidRPr="003516B1" w:rsidRDefault="003516B1" w:rsidP="003516B1">
      <w:pPr>
        <w:numPr>
          <w:ilvl w:val="1"/>
          <w:numId w:val="3"/>
        </w:numPr>
        <w:ind w:left="720"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22383F08" w14:textId="77777777" w:rsidR="003516B1" w:rsidRPr="003516B1" w:rsidRDefault="003516B1" w:rsidP="003516B1">
      <w:pPr>
        <w:numPr>
          <w:ilvl w:val="1"/>
          <w:numId w:val="3"/>
        </w:numPr>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77777777" w:rsidR="003516B1" w:rsidRPr="003516B1" w:rsidRDefault="003516B1" w:rsidP="003516B1">
      <w:pPr>
        <w:numPr>
          <w:ilvl w:val="1"/>
          <w:numId w:val="3"/>
        </w:numPr>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that is not Permissible Personal Data.  </w:t>
      </w:r>
    </w:p>
    <w:p w14:paraId="6714EDF5" w14:textId="77777777" w:rsidR="003516B1" w:rsidRPr="003516B1" w:rsidRDefault="003516B1" w:rsidP="003516B1">
      <w:pPr>
        <w:numPr>
          <w:ilvl w:val="1"/>
          <w:numId w:val="3"/>
        </w:numPr>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77777777" w:rsidR="003516B1" w:rsidRPr="003516B1" w:rsidRDefault="003516B1" w:rsidP="003516B1">
      <w:pPr>
        <w:numPr>
          <w:ilvl w:val="1"/>
          <w:numId w:val="3"/>
        </w:numPr>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that is permitted under this Agreement and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Governance Framework (including the </w:t>
      </w:r>
      <w:hyperlink r:id="rId7" w:history="1">
        <w:proofErr w:type="spellStart"/>
        <w:r w:rsidRPr="003516B1">
          <w:rPr>
            <w:rFonts w:ascii="Arial" w:eastAsia="Times New Roman" w:hAnsi="Arial" w:cs="Arial"/>
            <w:color w:val="0000FF"/>
            <w:sz w:val="22"/>
            <w:szCs w:val="22"/>
            <w:u w:val="single"/>
          </w:rPr>
          <w:t>Sovrin</w:t>
        </w:r>
        <w:proofErr w:type="spellEnd"/>
        <w:r w:rsidRPr="003516B1">
          <w:rPr>
            <w:rFonts w:ascii="Arial" w:eastAsia="Times New Roman" w:hAnsi="Arial" w:cs="Arial"/>
            <w:color w:val="0000FF"/>
            <w:sz w:val="22"/>
            <w:szCs w:val="22"/>
            <w:u w:val="single"/>
          </w:rPr>
          <w:t xml:space="preserve"> 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3516B1">
      <w:pPr>
        <w:numPr>
          <w:ilvl w:val="1"/>
          <w:numId w:val="3"/>
        </w:numPr>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3516B1">
      <w:pPr>
        <w:numPr>
          <w:ilvl w:val="1"/>
          <w:numId w:val="3"/>
        </w:numPr>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77777777" w:rsidR="003516B1" w:rsidRPr="003516B1" w:rsidRDefault="003516B1" w:rsidP="003516B1">
      <w:pPr>
        <w:numPr>
          <w:ilvl w:val="1"/>
          <w:numId w:val="3"/>
        </w:numPr>
        <w:spacing w:after="240"/>
        <w:ind w:left="720"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proofErr w:type="spellStart"/>
      <w:r w:rsidRPr="003516B1">
        <w:rPr>
          <w:rFonts w:ascii="Arial" w:eastAsia="Times New Roman" w:hAnsi="Arial" w:cs="Arial"/>
          <w:b/>
          <w:bCs/>
          <w:color w:val="000000"/>
          <w:sz w:val="22"/>
          <w:szCs w:val="22"/>
        </w:rPr>
        <w:t>Sovrin</w:t>
      </w:r>
      <w:proofErr w:type="spellEnd"/>
      <w:r w:rsidRPr="003516B1">
        <w:rPr>
          <w:rFonts w:ascii="Arial" w:eastAsia="Times New Roman" w:hAnsi="Arial" w:cs="Arial"/>
          <w:b/>
          <w:bCs/>
          <w:color w:val="000000"/>
          <w:sz w:val="22"/>
          <w:szCs w:val="22"/>
        </w:rPr>
        <w:t xml:space="preserve"> Governance Framework</w:t>
      </w:r>
      <w:r w:rsidRPr="003516B1">
        <w:rPr>
          <w:rFonts w:ascii="Arial" w:eastAsia="Times New Roman" w:hAnsi="Arial" w:cs="Arial"/>
          <w:color w:val="000000"/>
          <w:sz w:val="22"/>
          <w:szCs w:val="22"/>
        </w:rPr>
        <w:t xml:space="preserve">” means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Foundation’s governance policies and rules available at </w:t>
      </w:r>
      <w:hyperlink r:id="rId8" w:history="1">
        <w:r w:rsidRPr="003516B1">
          <w:rPr>
            <w:rFonts w:ascii="Arial" w:eastAsia="Times New Roman" w:hAnsi="Arial" w:cs="Arial"/>
            <w:color w:val="0000FF"/>
            <w:sz w:val="22"/>
            <w:szCs w:val="22"/>
            <w:u w:val="single"/>
          </w:rPr>
          <w:t>https://sovrin.org/governance-framework/</w:t>
        </w:r>
      </w:hyperlink>
      <w:r w:rsidRPr="003516B1">
        <w:rPr>
          <w:rFonts w:ascii="Arial" w:eastAsia="Times New Roman" w:hAnsi="Arial" w:cs="Arial"/>
          <w:color w:val="000000"/>
          <w:sz w:val="22"/>
          <w:szCs w:val="22"/>
        </w:rPr>
        <w:t xml:space="preserve"> or any successor website.</w:t>
      </w:r>
    </w:p>
    <w:p w14:paraId="71936FDA"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9" w:history="1">
        <w:proofErr w:type="spellStart"/>
        <w:r w:rsidRPr="003516B1">
          <w:rPr>
            <w:rFonts w:ascii="Arial" w:eastAsia="Times New Roman" w:hAnsi="Arial" w:cs="Arial"/>
            <w:color w:val="0000FF"/>
            <w:sz w:val="22"/>
            <w:szCs w:val="22"/>
            <w:u w:val="single"/>
          </w:rPr>
          <w:t>Sovrin</w:t>
        </w:r>
        <w:proofErr w:type="spellEnd"/>
        <w:r w:rsidRPr="003516B1">
          <w:rPr>
            <w:rFonts w:ascii="Arial" w:eastAsia="Times New Roman" w:hAnsi="Arial" w:cs="Arial"/>
            <w:color w:val="0000FF"/>
            <w:sz w:val="22"/>
            <w:szCs w:val="22"/>
            <w:u w:val="single"/>
          </w:rPr>
          <w:t xml:space="preserve"> Governance Framework</w:t>
        </w:r>
      </w:hyperlink>
      <w:r w:rsidRPr="003516B1">
        <w:rPr>
          <w:rFonts w:ascii="Arial" w:eastAsia="Times New Roman" w:hAnsi="Arial" w:cs="Arial"/>
          <w:color w:val="000000"/>
          <w:sz w:val="22"/>
          <w:szCs w:val="22"/>
        </w:rPr>
        <w:t xml:space="preserve"> and corresponding </w:t>
      </w:r>
      <w:hyperlink r:id="rId10" w:history="1">
        <w:proofErr w:type="spellStart"/>
        <w:r w:rsidRPr="003516B1">
          <w:rPr>
            <w:rFonts w:ascii="Arial" w:eastAsia="Times New Roman" w:hAnsi="Arial" w:cs="Arial"/>
            <w:color w:val="0000FF"/>
            <w:sz w:val="22"/>
            <w:szCs w:val="22"/>
            <w:u w:val="single"/>
          </w:rPr>
          <w:t>Sovrin</w:t>
        </w:r>
        <w:proofErr w:type="spellEnd"/>
        <w:r w:rsidRPr="003516B1">
          <w:rPr>
            <w:rFonts w:ascii="Arial" w:eastAsia="Times New Roman" w:hAnsi="Arial" w:cs="Arial"/>
            <w:color w:val="0000FF"/>
            <w:sz w:val="22"/>
            <w:szCs w:val="22"/>
            <w:u w:val="single"/>
          </w:rPr>
          <w:t xml:space="preserve"> Glossary</w:t>
        </w:r>
      </w:hyperlink>
      <w:r w:rsidRPr="003516B1">
        <w:rPr>
          <w:rFonts w:ascii="Arial" w:eastAsia="Times New Roman" w:hAnsi="Arial" w:cs="Arial"/>
          <w:color w:val="000000"/>
          <w:sz w:val="22"/>
          <w:szCs w:val="22"/>
        </w:rPr>
        <w:t xml:space="preserve">.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Governance Framework and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77777777" w:rsidR="003516B1" w:rsidRPr="003516B1" w:rsidRDefault="003516B1" w:rsidP="003516B1">
      <w:pPr>
        <w:numPr>
          <w:ilvl w:val="0"/>
          <w:numId w:val="4"/>
        </w:numPr>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 xml:space="preserve">Permission to Write to the </w:t>
      </w:r>
      <w:proofErr w:type="spellStart"/>
      <w:r w:rsidRPr="003516B1">
        <w:rPr>
          <w:rFonts w:ascii="Arial" w:eastAsia="Times New Roman" w:hAnsi="Arial" w:cs="Arial"/>
          <w:b/>
          <w:bCs/>
          <w:color w:val="000000"/>
          <w:kern w:val="36"/>
          <w:sz w:val="36"/>
          <w:szCs w:val="36"/>
        </w:rPr>
        <w:t>Sovrin</w:t>
      </w:r>
      <w:proofErr w:type="spellEnd"/>
      <w:r w:rsidRPr="003516B1">
        <w:rPr>
          <w:rFonts w:ascii="Arial" w:eastAsia="Times New Roman" w:hAnsi="Arial" w:cs="Arial"/>
          <w:b/>
          <w:bCs/>
          <w:color w:val="000000"/>
          <w:kern w:val="36"/>
          <w:sz w:val="36"/>
          <w:szCs w:val="36"/>
        </w:rPr>
        <w:t xml:space="preserve"> Ledger Networks</w:t>
      </w:r>
    </w:p>
    <w:p w14:paraId="50B102E7" w14:textId="77777777" w:rsidR="003516B1" w:rsidRPr="003516B1" w:rsidRDefault="003516B1" w:rsidP="003516B1">
      <w:pPr>
        <w:numPr>
          <w:ilvl w:val="1"/>
          <w:numId w:val="5"/>
        </w:numPr>
        <w:ind w:left="72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hereby grants to Transaction Author a non-exclusive, non-assignable, non-sublicensable, royalty free, revocable license to write to and use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in accordance with this Agreement and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Governance Framework.  </w:t>
      </w:r>
    </w:p>
    <w:p w14:paraId="31C94730" w14:textId="77777777" w:rsidR="003516B1" w:rsidRPr="003516B1" w:rsidRDefault="003516B1" w:rsidP="003516B1">
      <w:pPr>
        <w:numPr>
          <w:ilvl w:val="1"/>
          <w:numId w:val="5"/>
        </w:numPr>
        <w:ind w:left="72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When authoring Transactions under the policy of Permissioned Write Access, a Transaction Author may only write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by using an authorized Transaction Endorser.  In the event that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enables Public Write Access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the Transaction Author will not need a Transaction Endorser to endorse a Transaction.</w:t>
      </w:r>
    </w:p>
    <w:p w14:paraId="11BCCC2A" w14:textId="77777777" w:rsidR="003516B1" w:rsidRPr="003516B1" w:rsidRDefault="003516B1" w:rsidP="003516B1">
      <w:pPr>
        <w:numPr>
          <w:ilvl w:val="1"/>
          <w:numId w:val="5"/>
        </w:numPr>
        <w:ind w:left="72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Once an initial Transaction has been written to one of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xml:space="preserve">”).  Please note, an Update Transaction does not remove the Initial Transaction, which will remain on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due to its immutability and may remain on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Test Networks unless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516B1">
      <w:pPr>
        <w:numPr>
          <w:ilvl w:val="0"/>
          <w:numId w:val="6"/>
        </w:numPr>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Transaction Author Obligations</w:t>
      </w:r>
    </w:p>
    <w:p w14:paraId="698B979C" w14:textId="77777777" w:rsidR="003516B1" w:rsidRPr="003516B1" w:rsidRDefault="003516B1" w:rsidP="003516B1">
      <w:pPr>
        <w:numPr>
          <w:ilvl w:val="0"/>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With regard to all Transactions, Transaction Author will:</w:t>
      </w:r>
      <w:r w:rsidRPr="003516B1">
        <w:rPr>
          <w:rFonts w:ascii="Arial" w:eastAsia="Times New Roman" w:hAnsi="Arial" w:cs="Arial"/>
          <w:color w:val="000000"/>
          <w:sz w:val="22"/>
          <w:szCs w:val="22"/>
        </w:rPr>
        <w:br/>
      </w:r>
      <w:r w:rsidRPr="003516B1">
        <w:rPr>
          <w:rFonts w:ascii="Arial" w:eastAsia="Times New Roman" w:hAnsi="Arial" w:cs="Arial"/>
          <w:color w:val="000000"/>
          <w:sz w:val="22"/>
          <w:szCs w:val="22"/>
        </w:rPr>
        <w:br/>
      </w:r>
    </w:p>
    <w:p w14:paraId="2B443CDA"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not write Transactions containing Personal Data until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approves Public Write Access and permits Transactions to contain Personal Data pursuant to Section 3(b) below. </w:t>
      </w:r>
    </w:p>
    <w:p w14:paraId="544F5054" w14:textId="77777777" w:rsidR="003516B1" w:rsidRPr="003516B1" w:rsidRDefault="003516B1" w:rsidP="003516B1">
      <w:pPr>
        <w:numPr>
          <w:ilvl w:val="0"/>
          <w:numId w:val="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approves Public Write Access and permits 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then Transaction Author expressly agrees that:</w:t>
      </w:r>
    </w:p>
    <w:p w14:paraId="01C979C4"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will not write any Transactions that contain Impermissible Personal Data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2951001D"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irrevocably waives any and all claims, rights and/or obligations it may have now or in the future against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as a result of being unable to fulfill data subject requests in accordance with Data Protection Laws;</w:t>
      </w:r>
    </w:p>
    <w:p w14:paraId="258325D1"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516B1">
        <w:rPr>
          <w:rFonts w:ascii="Arial" w:eastAsia="Times New Roman" w:hAnsi="Arial" w:cs="Arial"/>
          <w:b/>
          <w:bCs/>
          <w:color w:val="000000"/>
          <w:sz w:val="22"/>
          <w:szCs w:val="22"/>
        </w:rPr>
        <w:t>DPAs</w:t>
      </w:r>
      <w:r w:rsidRPr="003516B1">
        <w:rPr>
          <w:rFonts w:ascii="Arial" w:eastAsia="Times New Roman" w:hAnsi="Arial" w:cs="Arial"/>
          <w:color w:val="000000"/>
          <w:sz w:val="22"/>
          <w:szCs w:val="22"/>
        </w:rPr>
        <w:t>”); </w:t>
      </w:r>
    </w:p>
    <w:p w14:paraId="334E99EB"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has the right to enter into the DPAs on its behalf and the DPAs are made a part of the Agreement in their entirety;</w:t>
      </w:r>
    </w:p>
    <w:p w14:paraId="6973A1CA"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by signing this Agreement, each Party is deemed to have signed the DPAs, including the Standard Contractual Clauses with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and Transaction Author as the “Data exporter,” and with either a Steward or a Transaction Endorser as “Data importer,” as applicable; </w:t>
      </w:r>
    </w:p>
    <w:p w14:paraId="14129EEC"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Foundation’s request, the Transaction Author will reimburse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for any costs incurred by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in enforcing the Transaction Author’s rights under the GDPR, including but not limited to fulfillment of data subject rights, rights of oversight and audit, etc.; and</w:t>
      </w:r>
    </w:p>
    <w:p w14:paraId="296783BA" w14:textId="77777777" w:rsidR="003516B1" w:rsidRPr="003516B1" w:rsidRDefault="003516B1" w:rsidP="003516B1">
      <w:pPr>
        <w:numPr>
          <w:ilvl w:val="1"/>
          <w:numId w:val="7"/>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irrevocably waives any and all claims that it may have now or in the future that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3516B1">
      <w:pPr>
        <w:numPr>
          <w:ilvl w:val="0"/>
          <w:numId w:val="8"/>
        </w:numPr>
        <w:ind w:left="360"/>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Term and Termination</w:t>
      </w:r>
    </w:p>
    <w:p w14:paraId="6A9F1184" w14:textId="77777777" w:rsidR="003516B1" w:rsidRPr="003516B1" w:rsidRDefault="003516B1" w:rsidP="003516B1">
      <w:pPr>
        <w:numPr>
          <w:ilvl w:val="1"/>
          <w:numId w:val="9"/>
        </w:numPr>
        <w:ind w:left="720"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77777777" w:rsidR="003516B1" w:rsidRPr="003516B1" w:rsidRDefault="003516B1" w:rsidP="003516B1">
      <w:pPr>
        <w:numPr>
          <w:ilvl w:val="1"/>
          <w:numId w:val="9"/>
        </w:numPr>
        <w:ind w:left="720"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288D17AC" w14:textId="77777777" w:rsidR="003516B1" w:rsidRPr="003516B1" w:rsidRDefault="003516B1" w:rsidP="003516B1">
      <w:pPr>
        <w:numPr>
          <w:ilvl w:val="1"/>
          <w:numId w:val="9"/>
        </w:numPr>
        <w:ind w:left="720"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and ceasing all use of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w:t>
      </w:r>
    </w:p>
    <w:p w14:paraId="47D1E2BF" w14:textId="77777777" w:rsidR="003516B1" w:rsidRPr="003516B1" w:rsidRDefault="003516B1" w:rsidP="003516B1">
      <w:pPr>
        <w:numPr>
          <w:ilvl w:val="1"/>
          <w:numId w:val="9"/>
        </w:numPr>
        <w:spacing w:after="240"/>
        <w:ind w:left="720"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3516B1">
      <w:pPr>
        <w:numPr>
          <w:ilvl w:val="0"/>
          <w:numId w:val="10"/>
        </w:numPr>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Representations and Warranties; Disclaimer</w:t>
      </w:r>
    </w:p>
    <w:p w14:paraId="194239B7" w14:textId="77777777" w:rsidR="003516B1" w:rsidRPr="003516B1" w:rsidRDefault="003516B1" w:rsidP="003516B1">
      <w:pPr>
        <w:numPr>
          <w:ilvl w:val="1"/>
          <w:numId w:val="11"/>
        </w:numPr>
        <w:ind w:left="72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 xml:space="preserve">By </w:t>
      </w:r>
      <w:proofErr w:type="spellStart"/>
      <w:r w:rsidRPr="003516B1">
        <w:rPr>
          <w:rFonts w:ascii="Arial" w:eastAsia="Times New Roman" w:hAnsi="Arial" w:cs="Arial"/>
          <w:color w:val="000000"/>
          <w:sz w:val="22"/>
          <w:szCs w:val="22"/>
          <w:u w:val="single"/>
        </w:rPr>
        <w:t>Sovrin</w:t>
      </w:r>
      <w:proofErr w:type="spellEnd"/>
      <w:r w:rsidRPr="003516B1">
        <w:rPr>
          <w:rFonts w:ascii="Arial" w:eastAsia="Times New Roman" w:hAnsi="Arial" w:cs="Arial"/>
          <w:color w:val="000000"/>
          <w:sz w:val="22"/>
          <w:szCs w:val="22"/>
          <w:u w:val="single"/>
        </w:rPr>
        <w:t xml:space="preserve"> Foundation</w:t>
      </w:r>
      <w:r w:rsidRPr="003516B1">
        <w:rPr>
          <w:rFonts w:ascii="Arial" w:eastAsia="Times New Roman" w:hAnsi="Arial" w:cs="Arial"/>
          <w:color w:val="000000"/>
          <w:sz w:val="22"/>
          <w:szCs w:val="22"/>
        </w:rPr>
        <w:t>.</w:t>
      </w:r>
      <w:r w:rsidRPr="003516B1">
        <w:rPr>
          <w:rFonts w:ascii="Arial" w:eastAsia="Times New Roman" w:hAnsi="Arial" w:cs="Arial"/>
          <w:color w:val="000000"/>
          <w:sz w:val="22"/>
          <w:szCs w:val="22"/>
        </w:rPr>
        <w:br/>
      </w:r>
      <w:r w:rsidRPr="003516B1">
        <w:rPr>
          <w:rFonts w:ascii="Arial" w:eastAsia="Times New Roman" w:hAnsi="Arial" w:cs="Arial"/>
          <w:color w:val="000000"/>
          <w:sz w:val="22"/>
          <w:szCs w:val="22"/>
        </w:rPr>
        <w:br/>
      </w:r>
    </w:p>
    <w:p w14:paraId="1CACF16E" w14:textId="77777777" w:rsidR="003516B1" w:rsidRPr="003516B1" w:rsidRDefault="003516B1" w:rsidP="003516B1">
      <w:pPr>
        <w:numPr>
          <w:ilvl w:val="2"/>
          <w:numId w:val="12"/>
        </w:numPr>
        <w:ind w:left="1080"/>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SOVRIN LEDGER NETWORKS AND THE SOVRIN NETWORK ARE PROVIDED AS-IS WITH ALL FAULTS. TO THE FULLEST EXTENT PERMITTED BY APPLICABLE LAW, THE SOVRIN FOUNDATION MAKES NO REPRESENTATION OR WARRANTY CONCERNING THE ACCURACY, RELIABILITY, OR COMPLETENESS OF ANY INFORMATION OR DATA OBTAINED OR DERIVED THROUGH THE USE OF THE SOVRIN LEDGER NETWORKS </w:t>
      </w:r>
      <w:r w:rsidRPr="003516B1">
        <w:rPr>
          <w:rFonts w:ascii="Arial" w:eastAsia="Times New Roman" w:hAnsi="Arial" w:cs="Arial"/>
          <w:color w:val="000000"/>
          <w:sz w:val="22"/>
          <w:szCs w:val="22"/>
        </w:rPr>
        <w:t xml:space="preserve">AS THE SOVRIN LEDGER NETWORKS OPERATE ON A DISTRIBUTED NETWORK AND THE SOVRIN FOUNDATION DOES NOT CONTROL THE INFORMATION OR DATA WRITTEN TO THE SOVRIN LEDGER NETWORKS. THE SOVRIN </w:t>
      </w:r>
      <w:proofErr w:type="gramStart"/>
      <w:r w:rsidRPr="003516B1">
        <w:rPr>
          <w:rFonts w:ascii="Arial" w:eastAsia="Times New Roman" w:hAnsi="Arial" w:cs="Arial"/>
          <w:color w:val="000000"/>
          <w:sz w:val="22"/>
          <w:szCs w:val="22"/>
        </w:rPr>
        <w:t>FOUNDATION</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w:t>
      </w:r>
      <w:proofErr w:type="gramEnd"/>
      <w:r w:rsidRPr="003516B1">
        <w:rPr>
          <w:rFonts w:ascii="Arial" w:eastAsia="Times New Roman" w:hAnsi="Arial" w:cs="Arial"/>
          <w:smallCaps/>
          <w:color w:val="000000"/>
          <w:sz w:val="22"/>
          <w:szCs w:val="22"/>
        </w:rPr>
        <w:t xml:space="preserve"> ANY OTHER REPRESENTATIONS OR WARRANTIES, EXPRESS OR IMPLIED, INCLUDING WITHOUT LIMITATION, ANY WARRANTIES OF MERCHANTABILITY OR FITNESS FOR A PARTICULAR PURPOSE, NON-INFRINGEMENT, ACCURACY OR COMPLETENESS OF DATA.</w:t>
      </w:r>
    </w:p>
    <w:p w14:paraId="31B6DB88" w14:textId="77777777" w:rsidR="003516B1" w:rsidRPr="003516B1" w:rsidRDefault="003516B1" w:rsidP="003516B1">
      <w:pPr>
        <w:numPr>
          <w:ilvl w:val="2"/>
          <w:numId w:val="12"/>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As the architect of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Network and administrator of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Governance Framework,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is an independent controller of the Personal Data Transactions. In no event will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be held liable for the actions or omissions of Transaction Author arising out any Personal Data that Transaction Author </w:t>
      </w:r>
      <w:r w:rsidRPr="003516B1">
        <w:rPr>
          <w:rFonts w:ascii="Arial" w:eastAsia="Times New Roman" w:hAnsi="Arial" w:cs="Arial"/>
          <w:color w:val="000000"/>
          <w:sz w:val="22"/>
          <w:szCs w:val="22"/>
        </w:rPr>
        <w:lastRenderedPageBreak/>
        <w:t xml:space="preserve">writes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in breach of this Agreement and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Governance Framework, including but not limited to any Impermissible Personal Data. Notwithstanding the foregoing, if Transaction Author writes Permissible Personal Data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in express compliance with this Agreement and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Governance Framework,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is responsible for the lawfulness of such Processing once such Permissible Personal Data is written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4F10D0B0" w14:textId="77777777" w:rsidR="003516B1" w:rsidRPr="003516B1" w:rsidRDefault="003516B1" w:rsidP="003516B1">
      <w:pPr>
        <w:rPr>
          <w:rFonts w:ascii="Times New Roman" w:eastAsia="Times New Roman" w:hAnsi="Times New Roman" w:cs="Times New Roman"/>
        </w:rPr>
      </w:pPr>
    </w:p>
    <w:p w14:paraId="5322D970" w14:textId="77777777" w:rsidR="003516B1" w:rsidRPr="003516B1" w:rsidRDefault="003516B1" w:rsidP="003516B1">
      <w:pPr>
        <w:numPr>
          <w:ilvl w:val="1"/>
          <w:numId w:val="13"/>
        </w:numPr>
        <w:ind w:left="72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 xml:space="preserve">By Transaction </w:t>
      </w:r>
      <w:proofErr w:type="spellStart"/>
      <w:r w:rsidRPr="003516B1">
        <w:rPr>
          <w:rFonts w:ascii="Arial" w:eastAsia="Times New Roman" w:hAnsi="Arial" w:cs="Arial"/>
          <w:color w:val="000000"/>
          <w:sz w:val="22"/>
          <w:szCs w:val="22"/>
          <w:u w:val="single"/>
        </w:rPr>
        <w:t>Author.</w:t>
      </w:r>
      <w:r w:rsidRPr="003516B1">
        <w:rPr>
          <w:rFonts w:ascii="Arial" w:eastAsia="Times New Roman" w:hAnsi="Arial" w:cs="Arial"/>
          <w:color w:val="000000"/>
          <w:sz w:val="22"/>
          <w:szCs w:val="22"/>
        </w:rPr>
        <w:t>Transaction</w:t>
      </w:r>
      <w:proofErr w:type="spellEnd"/>
      <w:r w:rsidRPr="003516B1">
        <w:rPr>
          <w:rFonts w:ascii="Arial" w:eastAsia="Times New Roman" w:hAnsi="Arial" w:cs="Arial"/>
          <w:color w:val="000000"/>
          <w:sz w:val="22"/>
          <w:szCs w:val="22"/>
        </w:rPr>
        <w:t xml:space="preserve"> Author represents and warrants:</w:t>
      </w:r>
      <w:r w:rsidRPr="003516B1">
        <w:rPr>
          <w:rFonts w:ascii="Arial" w:eastAsia="Times New Roman" w:hAnsi="Arial" w:cs="Arial"/>
          <w:color w:val="000000"/>
          <w:sz w:val="22"/>
          <w:szCs w:val="22"/>
        </w:rPr>
        <w:br/>
      </w:r>
      <w:r w:rsidRPr="003516B1">
        <w:rPr>
          <w:rFonts w:ascii="Arial" w:eastAsia="Times New Roman" w:hAnsi="Arial" w:cs="Arial"/>
          <w:color w:val="000000"/>
          <w:sz w:val="22"/>
          <w:szCs w:val="22"/>
        </w:rPr>
        <w:br/>
      </w:r>
    </w:p>
    <w:p w14:paraId="7AFC6DEF"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operate on a distributed network and that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disclaims any responsibilities with respect to access of data from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w:t>
      </w:r>
    </w:p>
    <w:p w14:paraId="791CAD1B"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does not control the transfer of data between Nodes and over communications facilities, including the internet, and that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may be subject to limitations, delays, and other problems inherent in the use of such communications facilities;</w:t>
      </w:r>
    </w:p>
    <w:p w14:paraId="5C29D32D"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may modify, at any time, its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Access Policies and the terms of this Agreement and any other agreement or document related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based on new information, guidance, or Data Protection Laws; and </w:t>
      </w:r>
    </w:p>
    <w:p w14:paraId="07960120" w14:textId="77777777" w:rsidR="003516B1" w:rsidRPr="003516B1" w:rsidRDefault="003516B1" w:rsidP="003516B1">
      <w:pPr>
        <w:numPr>
          <w:ilvl w:val="2"/>
          <w:numId w:val="14"/>
        </w:numPr>
        <w:ind w:left="1080"/>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is required to do so by a court order or applicable law or (ii) the Steward or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3516B1">
      <w:pPr>
        <w:numPr>
          <w:ilvl w:val="0"/>
          <w:numId w:val="15"/>
        </w:numPr>
        <w:spacing w:before="240" w:after="240"/>
        <w:textAlignment w:val="baseline"/>
        <w:rPr>
          <w:rFonts w:ascii="Arial" w:eastAsia="Times New Roman" w:hAnsi="Arial" w:cs="Arial"/>
          <w:b/>
          <w:bCs/>
          <w:color w:val="000000"/>
          <w:sz w:val="36"/>
          <w:szCs w:val="36"/>
        </w:rPr>
      </w:pPr>
      <w:r w:rsidRPr="003516B1">
        <w:rPr>
          <w:rFonts w:ascii="Arial" w:eastAsia="Times New Roman" w:hAnsi="Arial" w:cs="Arial"/>
          <w:b/>
          <w:bCs/>
          <w:color w:val="000000"/>
          <w:sz w:val="36"/>
          <w:szCs w:val="36"/>
        </w:rPr>
        <w:t>Indemnification </w:t>
      </w:r>
    </w:p>
    <w:p w14:paraId="16EBD06C" w14:textId="77777777" w:rsidR="003516B1" w:rsidRPr="003516B1" w:rsidRDefault="003516B1" w:rsidP="003516B1">
      <w:pPr>
        <w:numPr>
          <w:ilvl w:val="1"/>
          <w:numId w:val="16"/>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and each of its respective officers, directors, agents, partners and employees (individually and collectively, the “</w:t>
      </w:r>
      <w:proofErr w:type="spellStart"/>
      <w:r w:rsidRPr="003516B1">
        <w:rPr>
          <w:rFonts w:ascii="Arial" w:eastAsia="Times New Roman" w:hAnsi="Arial" w:cs="Arial"/>
          <w:b/>
          <w:bCs/>
          <w:color w:val="000000"/>
          <w:sz w:val="22"/>
          <w:szCs w:val="22"/>
        </w:rPr>
        <w:t>Sovrin</w:t>
      </w:r>
      <w:proofErr w:type="spellEnd"/>
      <w:r w:rsidRPr="003516B1">
        <w:rPr>
          <w:rFonts w:ascii="Arial" w:eastAsia="Times New Roman" w:hAnsi="Arial" w:cs="Arial"/>
          <w:b/>
          <w:bCs/>
          <w:color w:val="000000"/>
          <w:sz w:val="22"/>
          <w:szCs w:val="22"/>
        </w:rPr>
        <w:t xml:space="preserve"> 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in violation of this Agreement; (ii) Transaction Author’s violation, misappropriation or infringement of any rights of another (including intellectual property rights or privacy rights); or (iii) Transaction Author’s violation of applicable law. </w:t>
      </w:r>
    </w:p>
    <w:p w14:paraId="6FA773C2" w14:textId="77777777" w:rsidR="003516B1" w:rsidRPr="003516B1" w:rsidRDefault="003516B1" w:rsidP="003516B1">
      <w:pPr>
        <w:numPr>
          <w:ilvl w:val="1"/>
          <w:numId w:val="16"/>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Parties in writing of any Claims, cooperate with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Parties in defending such Claims and pay all fees, costs and expenses </w:t>
      </w:r>
      <w:r w:rsidRPr="003516B1">
        <w:rPr>
          <w:rFonts w:ascii="Arial" w:eastAsia="Times New Roman" w:hAnsi="Arial" w:cs="Arial"/>
          <w:color w:val="000000"/>
          <w:sz w:val="22"/>
          <w:szCs w:val="22"/>
        </w:rPr>
        <w:lastRenderedPageBreak/>
        <w:t xml:space="preserve">associated with defending such Claims (including attorneys’ fees). Transaction Author also agrees that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Parties will have sole control of the defense or settlement, at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Foundation’s sole option, of any Claims. This indemnity is in addition to, and not in lieu of, any other indemnities set forth in a written agreement between Transaction Author and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or the other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Parties.</w:t>
      </w:r>
    </w:p>
    <w:p w14:paraId="0610BFFB" w14:textId="77777777" w:rsidR="003516B1" w:rsidRPr="003516B1" w:rsidRDefault="003516B1" w:rsidP="003516B1">
      <w:pPr>
        <w:numPr>
          <w:ilvl w:val="0"/>
          <w:numId w:val="17"/>
        </w:numPr>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3516B1">
      <w:pPr>
        <w:numPr>
          <w:ilvl w:val="0"/>
          <w:numId w:val="18"/>
        </w:numPr>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THIS AGREEMENT EXCEED $250,000 USD IN THE AGGREGATE, PROVIDED THAT </w:t>
      </w:r>
      <w:r w:rsidRPr="003516B1">
        <w:rPr>
          <w:rFonts w:ascii="Arial" w:eastAsia="Times New Roman" w:hAnsi="Arial" w:cs="Arial"/>
          <w:color w:val="000000"/>
          <w:sz w:val="22"/>
          <w:szCs w:val="22"/>
        </w:rPr>
        <w:lastRenderedPageBreak/>
        <w:t>THERE WILL BE NO DOLLAR CAP ON LIABILITY FOR DAMAGES ARISING FROM 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3516B1">
      <w:pPr>
        <w:numPr>
          <w:ilvl w:val="0"/>
          <w:numId w:val="19"/>
        </w:numPr>
        <w:jc w:val="both"/>
        <w:textAlignment w:val="baseline"/>
        <w:outlineLvl w:val="0"/>
        <w:rPr>
          <w:rFonts w:ascii="Arial" w:eastAsia="Times New Roman" w:hAnsi="Arial" w:cs="Arial"/>
          <w:b/>
          <w:bCs/>
          <w:color w:val="000000"/>
          <w:kern w:val="36"/>
          <w:sz w:val="48"/>
          <w:szCs w:val="48"/>
        </w:rPr>
      </w:pPr>
      <w:r w:rsidRPr="003516B1">
        <w:rPr>
          <w:rFonts w:ascii="Arial" w:eastAsia="Times New Roman" w:hAnsi="Arial" w:cs="Arial"/>
          <w:b/>
          <w:bCs/>
          <w:color w:val="000000"/>
          <w:kern w:val="36"/>
          <w:sz w:val="36"/>
          <w:szCs w:val="36"/>
        </w:rPr>
        <w:t>Miscellaneous</w:t>
      </w:r>
    </w:p>
    <w:p w14:paraId="7A491C80"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notices will be sent to Attn: Legal, 86 N University Ave, Suite 110, Provo, UT 84601.</w:t>
      </w:r>
    </w:p>
    <w:p w14:paraId="61D74E6A"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and the Transaction Author with respect to the subject matter hereof.</w:t>
      </w:r>
    </w:p>
    <w:p w14:paraId="17CD185D"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reserves the right to modify this Agreement at any time in accordance with this provision, including, but not limited to, changes in applicable law or guidance from any jurisdiction.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will post an amended version of this Agreement on its website at least forty-five (45) days prior to the date on which all Transaction Authors must begin operating under the amendment (the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Transactions to the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Ledger Networks after the Amendment Cutover Date, such continued use will constitute acceptance of the amended Agreement.     </w:t>
      </w:r>
    </w:p>
    <w:p w14:paraId="322C6467"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lastRenderedPageBreak/>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3516B1">
      <w:pPr>
        <w:numPr>
          <w:ilvl w:val="1"/>
          <w:numId w:val="20"/>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3516B1" w:rsidRDefault="003516B1" w:rsidP="003516B1">
      <w:pPr>
        <w:numPr>
          <w:ilvl w:val="2"/>
          <w:numId w:val="2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3516B1" w:rsidRDefault="003516B1" w:rsidP="003516B1">
      <w:pPr>
        <w:numPr>
          <w:ilvl w:val="2"/>
          <w:numId w:val="2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3516B1" w:rsidP="003516B1">
      <w:pPr>
        <w:spacing w:before="172"/>
        <w:ind w:hanging="112"/>
        <w:jc w:val="center"/>
        <w:rPr>
          <w:rFonts w:ascii="Times New Roman" w:eastAsia="Times New Roman" w:hAnsi="Times New Roman" w:cs="Times New Roman"/>
        </w:rPr>
      </w:pPr>
      <w:hyperlink r:id="rId11" w:history="1">
        <w:r w:rsidRPr="003516B1">
          <w:rPr>
            <w:rFonts w:ascii="Arial" w:eastAsia="Times New Roman" w:hAnsi="Arial" w:cs="Arial"/>
            <w:color w:val="1155CC"/>
            <w:u w:val="single"/>
          </w:rPr>
          <w:t>LINK</w:t>
        </w:r>
      </w:hyperlink>
      <w:r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3516B1" w:rsidP="003516B1">
      <w:pPr>
        <w:spacing w:before="172"/>
        <w:ind w:hanging="112"/>
        <w:jc w:val="center"/>
        <w:rPr>
          <w:rFonts w:ascii="Times New Roman" w:eastAsia="Times New Roman" w:hAnsi="Times New Roman" w:cs="Times New Roman"/>
        </w:rPr>
      </w:pPr>
      <w:hyperlink r:id="rId12" w:history="1">
        <w:r w:rsidRPr="003516B1">
          <w:rPr>
            <w:rFonts w:ascii="Arial" w:eastAsia="Times New Roman" w:hAnsi="Arial" w:cs="Arial"/>
            <w:color w:val="1155CC"/>
            <w:u w:val="single"/>
          </w:rPr>
          <w:t>LINK</w:t>
        </w:r>
      </w:hyperlink>
      <w:r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77777777"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xml:space="preserve">© 2019 by </w:t>
      </w:r>
      <w:proofErr w:type="spellStart"/>
      <w:r w:rsidRPr="003516B1">
        <w:rPr>
          <w:rFonts w:ascii="Arial" w:eastAsia="Times New Roman" w:hAnsi="Arial" w:cs="Arial"/>
          <w:color w:val="000000"/>
          <w:sz w:val="22"/>
          <w:szCs w:val="22"/>
        </w:rPr>
        <w:t>Sovrin</w:t>
      </w:r>
      <w:proofErr w:type="spellEnd"/>
      <w:r w:rsidRPr="003516B1">
        <w:rPr>
          <w:rFonts w:ascii="Arial" w:eastAsia="Times New Roman" w:hAnsi="Arial" w:cs="Arial"/>
          <w:color w:val="000000"/>
          <w:sz w:val="22"/>
          <w:szCs w:val="22"/>
        </w:rPr>
        <w:t xml:space="preserve"> Foundation.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3"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3516B1">
      <w:bookmarkStart w:id="0" w:name="_GoBack"/>
      <w:bookmarkEnd w:id="0"/>
    </w:p>
    <w:sectPr w:rsidR="00A6194C" w:rsidSect="0061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9"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lvlOverride w:ilvl="1">
      <w:lvl w:ilvl="1">
        <w:numFmt w:val="lowerLetter"/>
        <w:lvlText w:val="%2."/>
        <w:lvlJc w:val="left"/>
      </w:lvl>
    </w:lvlOverride>
  </w:num>
  <w:num w:numId="4">
    <w:abstractNumId w:val="12"/>
    <w:lvlOverride w:ilvl="0">
      <w:lvl w:ilvl="0">
        <w:numFmt w:val="decimal"/>
        <w:lvlText w:val="%1."/>
        <w:lvlJc w:val="left"/>
      </w:lvl>
    </w:lvlOverride>
  </w:num>
  <w:num w:numId="5">
    <w:abstractNumId w:val="4"/>
    <w:lvlOverride w:ilvl="1">
      <w:lvl w:ilvl="1">
        <w:numFmt w:val="lowerLetter"/>
        <w:lvlText w:val="%2."/>
        <w:lvlJc w:val="left"/>
      </w:lvl>
    </w:lvlOverride>
  </w:num>
  <w:num w:numId="6">
    <w:abstractNumId w:val="0"/>
    <w:lvlOverride w:ilvl="0">
      <w:lvl w:ilvl="0">
        <w:numFmt w:val="decimal"/>
        <w:lvlText w:val="%1."/>
        <w:lvlJc w:val="left"/>
      </w:lvl>
    </w:lvlOverride>
  </w:num>
  <w:num w:numId="7">
    <w:abstractNumId w:val="15"/>
    <w:lvlOverride w:ilvl="0">
      <w:lvl w:ilvl="0">
        <w:numFmt w:val="lowerLetter"/>
        <w:lvlText w:val="%1."/>
        <w:lvlJc w:val="left"/>
      </w:lvl>
    </w:lvlOverride>
  </w:num>
  <w:num w:numId="8">
    <w:abstractNumId w:val="13"/>
    <w:lvlOverride w:ilvl="0">
      <w:lvl w:ilvl="0">
        <w:numFmt w:val="decimal"/>
        <w:lvlText w:val="%1."/>
        <w:lvlJc w:val="left"/>
      </w:lvl>
    </w:lvlOverride>
  </w:num>
  <w:num w:numId="9">
    <w:abstractNumId w:val="13"/>
    <w:lvlOverride w:ilvl="0">
      <w:lvl w:ilvl="0">
        <w:numFmt w:val="decimal"/>
        <w:lvlText w:val="%1."/>
        <w:lvlJc w:val="left"/>
      </w:lvl>
    </w:lvlOverride>
    <w:lvlOverride w:ilvl="1">
      <w:lvl w:ilvl="1">
        <w:numFmt w:val="lowerLetter"/>
        <w:lvlText w:val="%2."/>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lvlOverride w:ilvl="1">
      <w:lvl w:ilvl="1">
        <w:numFmt w:val="lowerLetter"/>
        <w:lvlText w:val="%2."/>
        <w:lvlJc w:val="left"/>
      </w:lvl>
    </w:lvlOverride>
  </w:num>
  <w:num w:numId="12">
    <w:abstractNumId w:val="10"/>
  </w:num>
  <w:num w:numId="13">
    <w:abstractNumId w:val="8"/>
  </w:num>
  <w:num w:numId="14">
    <w:abstractNumId w:val="11"/>
  </w:num>
  <w:num w:numId="15">
    <w:abstractNumId w:val="14"/>
    <w:lvlOverride w:ilvl="0">
      <w:lvl w:ilvl="0">
        <w:numFmt w:val="decimal"/>
        <w:lvlText w:val="%1."/>
        <w:lvlJc w:val="left"/>
      </w:lvl>
    </w:lvlOverride>
  </w:num>
  <w:num w:numId="16">
    <w:abstractNumId w:val="14"/>
    <w:lvlOverride w:ilvl="0">
      <w:lvl w:ilvl="0">
        <w:numFmt w:val="decimal"/>
        <w:lvlText w:val="%1."/>
        <w:lvlJc w:val="left"/>
      </w:lvl>
    </w:lvlOverride>
    <w:lvlOverride w:ilvl="1">
      <w:lvl w:ilvl="1">
        <w:numFmt w:val="lowerLetter"/>
        <w:lvlText w:val="%2."/>
        <w:lvlJc w:val="left"/>
      </w:lvl>
    </w:lvlOverride>
  </w:num>
  <w:num w:numId="17">
    <w:abstractNumId w:val="14"/>
    <w:lvlOverride w:ilvl="0">
      <w:lvl w:ilvl="0">
        <w:numFmt w:val="decimal"/>
        <w:lvlText w:val="%1."/>
        <w:lvlJc w:val="left"/>
      </w:lvl>
    </w:lvlOverride>
    <w:lvlOverride w:ilvl="1">
      <w:lvl w:ilvl="1">
        <w:numFmt w:val="lowerLetter"/>
        <w:lvlText w:val="%2."/>
        <w:lvlJc w:val="left"/>
      </w:lvl>
    </w:lvlOverride>
  </w:num>
  <w:num w:numId="18">
    <w:abstractNumId w:val="9"/>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7"/>
    <w:lvlOverride w:ilvl="1">
      <w:lvl w:ilvl="1">
        <w:numFmt w:val="lowerLetter"/>
        <w:lvlText w:val="%2."/>
        <w:lvlJc w:val="left"/>
      </w:lvl>
    </w:lvlOverride>
  </w:num>
  <w:num w:numId="21">
    <w:abstractNumId w:val="7"/>
    <w:lvlOverride w:ilvl="1">
      <w:lvl w:ilvl="1">
        <w:numFmt w:val="lowerLetter"/>
        <w:lvlText w:val="%2."/>
        <w:lvlJc w:val="left"/>
      </w:lvl>
    </w:lvlOverride>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3516B1"/>
    <w:rsid w:val="0061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6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1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vrin.org/governance-framework/" TargetMode="External"/><Relationship Id="rId13" Type="http://schemas.openxmlformats.org/officeDocument/2006/relationships/hyperlink" Target="http://creativecommons.org/licenses/by-sa/4.0/" TargetMode="External"/><Relationship Id="rId3" Type="http://schemas.openxmlformats.org/officeDocument/2006/relationships/settings" Target="settings.xml"/><Relationship Id="rId7" Type="http://schemas.openxmlformats.org/officeDocument/2006/relationships/hyperlink" Target="https://sovrin.org/wp-content/uploads/Sovrin-Ledger-Access-Policies-V2.pdf" TargetMode="External"/><Relationship Id="rId12" Type="http://schemas.openxmlformats.org/officeDocument/2006/relationships/hyperlink" Target="https://sovrin.org/wp-content/uploads/Transaction-Endorser-Data-Processing-Agreement-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vrin.org/" TargetMode="External"/><Relationship Id="rId11" Type="http://schemas.openxmlformats.org/officeDocument/2006/relationships/hyperlink" Target="https://sovrin.org/wp-content/uploads/Steward-Data-Processing-Agreement-V1.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document/d/1gfIz5TT0cNp2kxGMLFXr19x1uoZsruUe_0glHst2fZ8/edit?usp=sharing" TargetMode="External"/><Relationship Id="rId4" Type="http://schemas.openxmlformats.org/officeDocument/2006/relationships/webSettings" Target="webSettings.xml"/><Relationship Id="rId9" Type="http://schemas.openxmlformats.org/officeDocument/2006/relationships/hyperlink" Target="https://sovrin.org/governance-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3703</Words>
  <Characters>21109</Characters>
  <Application>Microsoft Office Word</Application>
  <DocSecurity>0</DocSecurity>
  <Lines>175</Lines>
  <Paragraphs>49</Paragraphs>
  <ScaleCrop>false</ScaleCrop>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1</cp:revision>
  <dcterms:created xsi:type="dcterms:W3CDTF">2020-02-10T21:56:00Z</dcterms:created>
  <dcterms:modified xsi:type="dcterms:W3CDTF">2020-02-10T21:57:00Z</dcterms:modified>
</cp:coreProperties>
</file>