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A58DC" w14:textId="2B74B44E" w:rsidR="00470543" w:rsidRDefault="00470543" w:rsidP="00470543">
      <w:pPr>
        <w:pStyle w:val="Heading1"/>
      </w:pPr>
      <w:r>
        <w:t>Identity Utility Network for Business</w:t>
      </w:r>
    </w:p>
    <w:p w14:paraId="3735EBB4" w14:textId="77777777" w:rsidR="00470543" w:rsidRPr="00470543" w:rsidRDefault="00470543" w:rsidP="00470543"/>
    <w:p w14:paraId="3119C8A5" w14:textId="7CE0EF54" w:rsidR="00306EC6" w:rsidRDefault="00306EC6" w:rsidP="00306EC6">
      <w:pPr>
        <w:pStyle w:val="Heading2"/>
      </w:pPr>
      <w:r>
        <w:t xml:space="preserve">Disclaimer </w:t>
      </w:r>
    </w:p>
    <w:p w14:paraId="4B521F72" w14:textId="25AC9E6E" w:rsidR="007B3C48" w:rsidRDefault="00306EC6" w:rsidP="00306EC6">
      <w:r>
        <w:t>The content presented herein is offered as a discussion starter.</w:t>
      </w:r>
    </w:p>
    <w:p w14:paraId="6A46A9F7" w14:textId="07DB6622" w:rsidR="007B3C48" w:rsidRDefault="007B3C48" w:rsidP="00306EC6">
      <w:r>
        <w:t xml:space="preserve">All names and </w:t>
      </w:r>
      <w:r w:rsidRPr="007B3C48">
        <w:rPr>
          <w:color w:val="FF0000"/>
        </w:rPr>
        <w:t xml:space="preserve">pricing </w:t>
      </w:r>
      <w:r>
        <w:t>are offered for conceptual purposes and should not be considered final.</w:t>
      </w:r>
    </w:p>
    <w:p w14:paraId="6505F877" w14:textId="77777777" w:rsidR="00306EC6" w:rsidRDefault="00306EC6" w:rsidP="004678C6">
      <w:pPr>
        <w:pStyle w:val="Heading2"/>
      </w:pPr>
    </w:p>
    <w:p w14:paraId="65D164AC" w14:textId="00C6C87C" w:rsidR="00676FB6" w:rsidRDefault="004678C6" w:rsidP="004678C6">
      <w:pPr>
        <w:pStyle w:val="Heading2"/>
      </w:pPr>
      <w:r>
        <w:t>Purpose</w:t>
      </w:r>
    </w:p>
    <w:p w14:paraId="79CC944F" w14:textId="139435B5" w:rsidR="00F25B89" w:rsidRDefault="00F25B89" w:rsidP="00F25B89">
      <w:r>
        <w:t xml:space="preserve">Establish a consortium along with a governance framework for a decentralized identity utility that businesses can comfortably </w:t>
      </w:r>
      <w:r w:rsidR="00306EC6">
        <w:t xml:space="preserve">participate in and </w:t>
      </w:r>
      <w:r w:rsidR="00C75448">
        <w:t xml:space="preserve">reliably </w:t>
      </w:r>
      <w:r w:rsidR="00306EC6">
        <w:t>use</w:t>
      </w:r>
      <w:r>
        <w:t xml:space="preserve">. </w:t>
      </w:r>
    </w:p>
    <w:p w14:paraId="37DD1654" w14:textId="37AE697C" w:rsidR="008E1F93" w:rsidRDefault="008E1F93" w:rsidP="00F25B89"/>
    <w:p w14:paraId="39119323" w14:textId="3C8198FD" w:rsidR="008E1F93" w:rsidRDefault="008E1F93" w:rsidP="008E1F93">
      <w:pPr>
        <w:pStyle w:val="Heading2"/>
      </w:pPr>
      <w:r>
        <w:t>Audience</w:t>
      </w:r>
    </w:p>
    <w:p w14:paraId="38629CB3" w14:textId="71A5D435" w:rsidR="00F25B89" w:rsidRDefault="008E1F93" w:rsidP="00F25B89">
      <w:r>
        <w:t xml:space="preserve">This proposal is intended as a discussion starter for Sovrin Foundation Leadership and potential member candidates for a new identity utility dedicated for business participation and use.  </w:t>
      </w:r>
    </w:p>
    <w:p w14:paraId="1CD542CE" w14:textId="77777777" w:rsidR="008E1F93" w:rsidRDefault="008E1F93" w:rsidP="00F25B89"/>
    <w:p w14:paraId="3A225E90" w14:textId="50D1661F" w:rsidR="00F25B89" w:rsidRDefault="00F25B89" w:rsidP="00C75448">
      <w:pPr>
        <w:pStyle w:val="Heading2"/>
      </w:pPr>
      <w:r>
        <w:t>Proposal</w:t>
      </w:r>
    </w:p>
    <w:p w14:paraId="3439D13E" w14:textId="38CA671F" w:rsidR="00F25B89" w:rsidRPr="00F25B89" w:rsidRDefault="00F25B89" w:rsidP="00F25B89">
      <w:r>
        <w:t>Leverage the Sovrin Foundation as a fee-based provide</w:t>
      </w:r>
      <w:r w:rsidR="00C75448">
        <w:t>r</w:t>
      </w:r>
      <w:r>
        <w:t xml:space="preserve"> of administration services for the management and delivery of a new DID Ledger under the </w:t>
      </w:r>
      <w:proofErr w:type="spellStart"/>
      <w:proofErr w:type="gramStart"/>
      <w:r w:rsidRPr="00C75448">
        <w:rPr>
          <w:rFonts w:ascii="IBM Plex Mono" w:hAnsi="IBM Plex Mono"/>
          <w:sz w:val="20"/>
          <w:szCs w:val="20"/>
        </w:rPr>
        <w:t>did:sov</w:t>
      </w:r>
      <w:proofErr w:type="spellEnd"/>
      <w:proofErr w:type="gramEnd"/>
      <w:r w:rsidR="00C75448" w:rsidRPr="00C75448">
        <w:rPr>
          <w:rFonts w:ascii="IBM Plex Mono" w:hAnsi="IBM Plex Mono"/>
          <w:sz w:val="20"/>
          <w:szCs w:val="20"/>
        </w:rPr>
        <w:t xml:space="preserve"> </w:t>
      </w:r>
      <w:r>
        <w:t xml:space="preserve">root namespace. This new </w:t>
      </w:r>
      <w:proofErr w:type="gramStart"/>
      <w:r>
        <w:t xml:space="preserve">ledger,  </w:t>
      </w:r>
      <w:proofErr w:type="spellStart"/>
      <w:r w:rsidRPr="00C75448">
        <w:rPr>
          <w:rFonts w:ascii="IBM Plex Mono" w:hAnsi="IBM Plex Mono"/>
          <w:sz w:val="20"/>
          <w:szCs w:val="20"/>
        </w:rPr>
        <w:t>did</w:t>
      </w:r>
      <w:proofErr w:type="gramEnd"/>
      <w:r w:rsidRPr="00C75448">
        <w:rPr>
          <w:rFonts w:ascii="IBM Plex Mono" w:hAnsi="IBM Plex Mono"/>
          <w:sz w:val="20"/>
          <w:szCs w:val="20"/>
        </w:rPr>
        <w:t>:sov:bizid</w:t>
      </w:r>
      <w:proofErr w:type="spellEnd"/>
      <w:r>
        <w:t>, will operate as a public utility provider under its own governance framework. A consortium of members will pay annual membership fees and provide supporting infrastructure to maintain a sustainable permissioned identity utility.</w:t>
      </w:r>
    </w:p>
    <w:p w14:paraId="4F2FAE71" w14:textId="7343F286" w:rsidR="004678C6" w:rsidRDefault="004678C6" w:rsidP="004678C6"/>
    <w:p w14:paraId="62895CDA" w14:textId="4D9CEFEF" w:rsidR="009F2BAA" w:rsidRDefault="009F2BAA" w:rsidP="007B3C48">
      <w:pPr>
        <w:pStyle w:val="Heading2"/>
      </w:pPr>
      <w:r>
        <w:t>Current Situation</w:t>
      </w:r>
    </w:p>
    <w:p w14:paraId="519E213B" w14:textId="5BB234AE" w:rsidR="00C75448" w:rsidRDefault="00C75448" w:rsidP="009F2BAA">
      <w:proofErr w:type="spellStart"/>
      <w:r>
        <w:t>Sovrin’s</w:t>
      </w:r>
      <w:proofErr w:type="spellEnd"/>
      <w:r>
        <w:t xml:space="preserve"> entry into the decentralized identity market began as a permissioned public ledger.  Over the past three years, it has become an industry brand associated with decentralized identity.  It represents more than an instance of a decentralized identity network based on a DLT, it is a trusted community of like-minded people and institutions from a variety of geographic regions and industry sectors. The Sovrin </w:t>
      </w:r>
      <w:r w:rsidR="006C4005">
        <w:t>C</w:t>
      </w:r>
      <w:r>
        <w:t xml:space="preserve">ommunity aspires to help all the entities (citizens, governments, businesses, devices) of the world to fix identity for both online and physical interactions. </w:t>
      </w:r>
    </w:p>
    <w:p w14:paraId="169DD20C" w14:textId="3F8FC1E5" w:rsidR="00C75448" w:rsidRDefault="00C75448" w:rsidP="009F2BAA"/>
    <w:p w14:paraId="090E3620" w14:textId="54D0A843" w:rsidR="00C75448" w:rsidRDefault="00C75448" w:rsidP="009F2BAA">
      <w:r>
        <w:t>During this same period, we have seen a global spotlight on privacy protection that has spawned regulation</w:t>
      </w:r>
      <w:r w:rsidR="008E1F93">
        <w:t>,</w:t>
      </w:r>
      <w:r>
        <w:t xml:space="preserve"> such as GDPR and CCPA</w:t>
      </w:r>
      <w:r w:rsidR="008E1F93">
        <w:t>,</w:t>
      </w:r>
      <w:r>
        <w:t xml:space="preserve"> </w:t>
      </w:r>
      <w:r w:rsidR="00961101">
        <w:t xml:space="preserve">which </w:t>
      </w:r>
      <w:r w:rsidR="008E1F93">
        <w:t>complements</w:t>
      </w:r>
      <w:r w:rsidR="00961101">
        <w:t xml:space="preserve"> the spirit of the decentralized identity movement. However, these regulations also place additional financial risk and compliance constraints on businesses that desire to participate in and contribute to this privacy protection movement.</w:t>
      </w:r>
    </w:p>
    <w:p w14:paraId="74AA70E6" w14:textId="6780D512" w:rsidR="00961101" w:rsidRDefault="00961101" w:rsidP="009F2BAA"/>
    <w:p w14:paraId="547AFD1D" w14:textId="2E16F25D" w:rsidR="00961101" w:rsidRDefault="00961101" w:rsidP="009F2BAA">
      <w:r>
        <w:t xml:space="preserve">At the same time, the grassroots energy focused on “identity for all” has shifted or accelerated the thinking within the Sovrin Community towards a public permission-less utility that leverages a utility token. These philosophical changes, while </w:t>
      </w:r>
      <w:r w:rsidR="00AD7701">
        <w:t xml:space="preserve">socially acceptable, create a number of risk mitigation dilemmas for participating institutions. As a result, some businesses have exited the community while others have been hesitant to join. </w:t>
      </w:r>
    </w:p>
    <w:p w14:paraId="415CB5A6" w14:textId="1CB16F4F" w:rsidR="00AD7701" w:rsidRDefault="00AD7701" w:rsidP="009F2BAA"/>
    <w:p w14:paraId="6603456D" w14:textId="569EDB22" w:rsidR="00206D75" w:rsidRDefault="00AD7701" w:rsidP="00AD7701">
      <w:r>
        <w:t xml:space="preserve">To counter the pendulum </w:t>
      </w:r>
      <w:r w:rsidRPr="009F2BAA">
        <w:t>bob swing</w:t>
      </w:r>
      <w:r>
        <w:t xml:space="preserve">ing so far to the left, we have witnessed proposals for alternative proprietary solutions that reflect an unacceptable swing of the bob to the right. This </w:t>
      </w:r>
      <w:r w:rsidRPr="009F2BAA">
        <w:t>oscillat</w:t>
      </w:r>
      <w:r>
        <w:t>ion</w:t>
      </w:r>
      <w:r w:rsidRPr="009F2BAA">
        <w:t xml:space="preserve"> between extreme</w:t>
      </w:r>
      <w:r>
        <w:t>s</w:t>
      </w:r>
      <w:r w:rsidRPr="009F2BAA">
        <w:t xml:space="preserve"> </w:t>
      </w:r>
      <w:r>
        <w:t>depicts a</w:t>
      </w:r>
      <w:r w:rsidR="00206D75">
        <w:t xml:space="preserve">n opportunity to steer the pendulum bob to a center position that would allow institutions to strike a balance between open privacy by design and financial risks. </w:t>
      </w:r>
      <w:r>
        <w:t xml:space="preserve"> </w:t>
      </w:r>
    </w:p>
    <w:p w14:paraId="718745E4" w14:textId="77777777" w:rsidR="00206D75" w:rsidRDefault="00206D75" w:rsidP="00AD7701"/>
    <w:p w14:paraId="6D9125D9" w14:textId="77777777" w:rsidR="00206D75" w:rsidRDefault="00206D75" w:rsidP="00206D75">
      <w:pPr>
        <w:pStyle w:val="Heading2"/>
      </w:pPr>
      <w:r>
        <w:t>Motivation</w:t>
      </w:r>
    </w:p>
    <w:p w14:paraId="06BF0778" w14:textId="64AE59B1" w:rsidR="00206D75" w:rsidRDefault="00206D75" w:rsidP="00AD7701">
      <w:r>
        <w:t>This proposal is intended to address three key concerns</w:t>
      </w:r>
      <w:r w:rsidR="00B36292">
        <w:t>:</w:t>
      </w:r>
    </w:p>
    <w:p w14:paraId="6DCE58A3" w14:textId="202B4A25" w:rsidR="00206D75" w:rsidRDefault="00206D75" w:rsidP="00AD7701"/>
    <w:p w14:paraId="37C83AB1" w14:textId="69A97381" w:rsidR="00206D75" w:rsidRDefault="00206D75" w:rsidP="00206D75">
      <w:pPr>
        <w:pStyle w:val="ListParagraph"/>
        <w:numPr>
          <w:ilvl w:val="0"/>
          <w:numId w:val="3"/>
        </w:numPr>
      </w:pPr>
      <w:r>
        <w:t>Policy Gridlock</w:t>
      </w:r>
    </w:p>
    <w:p w14:paraId="24C1177F" w14:textId="27110063" w:rsidR="00206D75" w:rsidRDefault="00B36292" w:rsidP="00206D75">
      <w:pPr>
        <w:pStyle w:val="ListParagraph"/>
        <w:numPr>
          <w:ilvl w:val="0"/>
          <w:numId w:val="3"/>
        </w:numPr>
      </w:pPr>
      <w:r>
        <w:t>Permissioned Safe Zone</w:t>
      </w:r>
    </w:p>
    <w:p w14:paraId="52489E92" w14:textId="231668DB" w:rsidR="00B36292" w:rsidRDefault="00B36292" w:rsidP="00206D75">
      <w:pPr>
        <w:pStyle w:val="ListParagraph"/>
        <w:numPr>
          <w:ilvl w:val="0"/>
          <w:numId w:val="3"/>
        </w:numPr>
      </w:pPr>
      <w:r>
        <w:t xml:space="preserve">Token-free </w:t>
      </w:r>
      <w:r w:rsidR="00897471">
        <w:t>Economics</w:t>
      </w:r>
    </w:p>
    <w:p w14:paraId="6014510F" w14:textId="4D1DC5C8" w:rsidR="00B36292" w:rsidRDefault="00B36292" w:rsidP="00AD7701"/>
    <w:p w14:paraId="0B70125C" w14:textId="6B140DB4" w:rsidR="00B36292" w:rsidRDefault="00B36292" w:rsidP="00897471">
      <w:pPr>
        <w:pStyle w:val="Heading3"/>
      </w:pPr>
      <w:r>
        <w:t>Policy Gridlock</w:t>
      </w:r>
    </w:p>
    <w:p w14:paraId="0A61C850" w14:textId="5E9BE1AF" w:rsidR="00B36292" w:rsidRDefault="00B36292" w:rsidP="00B36292">
      <w:r>
        <w:t xml:space="preserve">The Sovrin approach for decentralized identity is to tackle it at global scale. The Sovrin </w:t>
      </w:r>
      <w:r w:rsidR="00A41C83">
        <w:t>C</w:t>
      </w:r>
      <w:r>
        <w:t>ommunity, much like the global societies it seeks to represent, struggles with the formation of policies that can be embraced all at once by its members. The balancing of diversity goals at the operational level, risk mitigation</w:t>
      </w:r>
      <w:r w:rsidR="008E1F93">
        <w:t xml:space="preserve"> for privacy regulation compliance</w:t>
      </w:r>
      <w:r>
        <w:t xml:space="preserve">, identity access for all, and the sustainability of a stable and reliable network is a non-trivial exercise. The technology adoption lifecycle teaches us that we cannot assume that all interested stakeholders will be able to embrace and adopt the technology at the same rate. </w:t>
      </w:r>
    </w:p>
    <w:p w14:paraId="4AA3B67B" w14:textId="77777777" w:rsidR="00B36292" w:rsidRDefault="00B36292" w:rsidP="00B36292"/>
    <w:p w14:paraId="6FCF8BB6" w14:textId="72127F1F" w:rsidR="00B36292" w:rsidRDefault="00B36292" w:rsidP="00B36292">
      <w:r>
        <w:t>The Sovrin Foundation must find ways for it to [a] stay true to its vision; [b] aid all stakeholders on their decentralized identity journey; and [c] remain financially sustainable.</w:t>
      </w:r>
      <w:r w:rsidRPr="00B36292">
        <w:rPr>
          <w:rFonts w:ascii="MS Gothic" w:eastAsia="MS Gothic" w:hAnsi="MS Gothic" w:cs="MS Gothic" w:hint="eastAsia"/>
        </w:rPr>
        <w:t> </w:t>
      </w:r>
      <w:r>
        <w:t xml:space="preserve">Businesses and Governments around the world must be able to balance risk mitigation and technology adoption if Sovrin desires to be an open community for all. Additionally, all stakeholders must accept the fact that a single network (DID ledger) cannot serve the entire globe. As an example, the Sovrin Network uses Hyperledger Indy, which like many consensus algorithms, carries an expected threshold of optimal validator nodes, thereby limiting the scalability of a single network. </w:t>
      </w:r>
    </w:p>
    <w:p w14:paraId="082FC9F8" w14:textId="77777777" w:rsidR="00B36292" w:rsidRDefault="00B36292" w:rsidP="00B36292"/>
    <w:p w14:paraId="2C63E485" w14:textId="4AA9683A" w:rsidR="00B36292" w:rsidRDefault="00B36292" w:rsidP="00B36292">
      <w:r>
        <w:t>The decentralized identity community cannot afford to have disputes at the network level. We should be focused on market creation not market bifurcation. We live in a heterogeneous world of networks where interoperability is paramount.</w:t>
      </w:r>
      <w:r>
        <w:rPr>
          <w:rFonts w:ascii="MS Gothic" w:eastAsia="MS Gothic" w:hAnsi="MS Gothic" w:cs="MS Gothic" w:hint="eastAsia"/>
        </w:rPr>
        <w:t> </w:t>
      </w:r>
      <w:r>
        <w:t xml:space="preserve">A single network cannot meet the needs of everyone and continued attempts to do so will minimally yield increased complexity and confusion. In fact, we have seen this within the Sovrin Foundation as it has been difficult to obtain closure after nearly a year on Version 2 of the Sovrin Governance Framework.  </w:t>
      </w:r>
    </w:p>
    <w:p w14:paraId="3A28AAA7" w14:textId="4527AC66" w:rsidR="00B36292" w:rsidRDefault="00B36292" w:rsidP="00B36292"/>
    <w:p w14:paraId="1E0D95D4" w14:textId="0ADA2857" w:rsidR="00B36292" w:rsidRDefault="00B36292" w:rsidP="00B36292">
      <w:r>
        <w:t>The fact is that the Sovrin Foundation has been in gridlock due to apprehension between policy decisions that may be necessary for one market segment and uncomfortable for another.</w:t>
      </w:r>
      <w:r w:rsidR="002D2FBA">
        <w:t xml:space="preserve"> </w:t>
      </w:r>
      <w:r w:rsidR="00BF4DD0">
        <w:t xml:space="preserve">This concern impacts the business market segment as well as external coalitions such as FINDY and KIVA who </w:t>
      </w:r>
      <w:r w:rsidR="00866CFC">
        <w:t xml:space="preserve">may </w:t>
      </w:r>
      <w:r w:rsidR="00BF4DD0">
        <w:t xml:space="preserve">desire to have their own governance framework while participating in the Sovrin </w:t>
      </w:r>
      <w:r w:rsidR="00BF4DD0">
        <w:lastRenderedPageBreak/>
        <w:t xml:space="preserve">Community. </w:t>
      </w:r>
      <w:r w:rsidR="002D2FBA">
        <w:t xml:space="preserve">One approach to breaking the gridlock while still enabling two market segments to co-exist is to establish a community bound to a common vision but comprised of </w:t>
      </w:r>
      <w:proofErr w:type="gramStart"/>
      <w:r w:rsidR="002D2FBA">
        <w:t>safe-spaces</w:t>
      </w:r>
      <w:proofErr w:type="gramEnd"/>
      <w:r w:rsidR="002D2FBA">
        <w:t xml:space="preserve"> for each segment to establish their own governance. </w:t>
      </w:r>
    </w:p>
    <w:p w14:paraId="0F42895A" w14:textId="77777777" w:rsidR="00B36292" w:rsidRDefault="00B36292" w:rsidP="00B36292"/>
    <w:p w14:paraId="0B93F0EB" w14:textId="38E9594F" w:rsidR="002D2FBA" w:rsidRDefault="002D2FBA" w:rsidP="00897471">
      <w:pPr>
        <w:pStyle w:val="Heading3"/>
      </w:pPr>
      <w:r>
        <w:t>Permissioned Safe Zone</w:t>
      </w:r>
    </w:p>
    <w:p w14:paraId="0A397852" w14:textId="6FDBB600" w:rsidR="00B36292" w:rsidRDefault="00897471" w:rsidP="002D2FBA">
      <w:r>
        <w:t>Prevent</w:t>
      </w:r>
      <w:r w:rsidR="004D770D">
        <w:t>ive measures for</w:t>
      </w:r>
      <w:r w:rsidR="008E1F93">
        <w:t xml:space="preserve"> a</w:t>
      </w:r>
      <w:r w:rsidR="004D770D">
        <w:t>voiding</w:t>
      </w:r>
      <w:r>
        <w:t xml:space="preserve"> the possible insertion of personal data </w:t>
      </w:r>
      <w:r w:rsidR="00B66919">
        <w:t>in</w:t>
      </w:r>
      <w:r>
        <w:t xml:space="preserve">to an immutable ledger has been the focus of much </w:t>
      </w:r>
      <w:r w:rsidR="004D770D">
        <w:t>discussion</w:t>
      </w:r>
      <w:r>
        <w:t xml:space="preserve">. While many have agreed that a 100% guarantee is not possible, the implementation of a public write model only increases such exposure thereby making </w:t>
      </w:r>
      <w:r w:rsidR="00B66919">
        <w:t xml:space="preserve">interested stakeholders more </w:t>
      </w:r>
      <w:r w:rsidR="004D770D">
        <w:t>apprehensive to embrace a permission-less governance model</w:t>
      </w:r>
      <w:r>
        <w:t xml:space="preserve">. </w:t>
      </w:r>
      <w:r w:rsidR="002D2FBA">
        <w:t xml:space="preserve">A diligent effort has been made within the Sovrin Foundation to address the GDPR risks </w:t>
      </w:r>
      <w:r w:rsidR="00BB77AE">
        <w:t xml:space="preserve">associated </w:t>
      </w:r>
      <w:r w:rsidR="004D770D">
        <w:t>community stakeholders</w:t>
      </w:r>
      <w:r w:rsidR="00BB77AE">
        <w:t>. In collaboration with legal experts</w:t>
      </w:r>
      <w:r w:rsidR="004D770D">
        <w:t>,</w:t>
      </w:r>
      <w:r w:rsidR="00BB77AE">
        <w:t xml:space="preserve"> the community has established a series of contractual instruments that address these risks for each stakeholder under both the public-write and permissioned write models.</w:t>
      </w:r>
      <w:r w:rsidR="00746DAE">
        <w:t xml:space="preserve"> Unfortunately, </w:t>
      </w:r>
      <w:r w:rsidR="00FA6459">
        <w:t xml:space="preserve">this effort has </w:t>
      </w:r>
      <w:r w:rsidR="00746DAE">
        <w:t>result</w:t>
      </w:r>
      <w:r w:rsidR="00FA6459">
        <w:t>ed in a</w:t>
      </w:r>
      <w:r w:rsidR="00746DAE">
        <w:t xml:space="preserve"> greater degree of complexity to the governance framework. It has also </w:t>
      </w:r>
      <w:r w:rsidR="00FA6459">
        <w:t xml:space="preserve">yielded an increase in </w:t>
      </w:r>
      <w:r w:rsidR="00746DAE">
        <w:t>cost</w:t>
      </w:r>
      <w:r w:rsidR="00FA6459">
        <w:t>s</w:t>
      </w:r>
      <w:r w:rsidR="00746DAE">
        <w:t xml:space="preserve"> for Stewards that need to comply with a broader set of technical and operational requirements. </w:t>
      </w:r>
    </w:p>
    <w:p w14:paraId="0C6D8135" w14:textId="60029369" w:rsidR="00746DAE" w:rsidRDefault="00746DAE" w:rsidP="002D2FBA"/>
    <w:p w14:paraId="4A8A9F75" w14:textId="1A860FE7" w:rsidR="00746DAE" w:rsidRDefault="00746DAE" w:rsidP="00746DAE">
      <w:r>
        <w:t xml:space="preserve">One approach to reducing the complexity of governance policies is to </w:t>
      </w:r>
      <w:r w:rsidR="00897471">
        <w:t>transition the existing Sovrin Network (</w:t>
      </w:r>
      <w:r>
        <w:t>DID Ledger</w:t>
      </w:r>
      <w:r w:rsidR="00897471">
        <w:t xml:space="preserve">) into a dedicated ledger for public write access and then add a new DID Ledger that would operate under a separate governance model for permissioned writes. </w:t>
      </w:r>
      <w:r>
        <w:t xml:space="preserve"> </w:t>
      </w:r>
    </w:p>
    <w:p w14:paraId="2D1685B2" w14:textId="6F6F7901" w:rsidR="002D2FBA" w:rsidRDefault="002D2FBA" w:rsidP="00AD7701"/>
    <w:p w14:paraId="7085C82B" w14:textId="77777777" w:rsidR="00897471" w:rsidRDefault="00897471" w:rsidP="00897471">
      <w:pPr>
        <w:pStyle w:val="Heading3"/>
      </w:pPr>
      <w:r>
        <w:t>Token-free Economics</w:t>
      </w:r>
    </w:p>
    <w:p w14:paraId="343AD665" w14:textId="1ECF0734" w:rsidR="00897471" w:rsidRDefault="00897471" w:rsidP="00897471">
      <w:r>
        <w:t xml:space="preserve">Sovrin is amidst a transition from the Sovrin Provisional Trust Framework to a new Sovrin Governance Framework that </w:t>
      </w:r>
      <w:r w:rsidR="004D770D">
        <w:t xml:space="preserve">favors the use of a crypto-token to enable a payment model for public-write interactions with the ledger. The combination of public write access coupled with the </w:t>
      </w:r>
      <w:r w:rsidR="00505C97">
        <w:t>conveniences</w:t>
      </w:r>
      <w:r w:rsidR="004D770D">
        <w:t xml:space="preserve"> of a payment token would open identity access up to a very diverse community that is currently unable to establish a trusted identity reputation.    </w:t>
      </w:r>
    </w:p>
    <w:p w14:paraId="2A3ED47E" w14:textId="77777777" w:rsidR="004D770D" w:rsidRDefault="004D770D" w:rsidP="00897471"/>
    <w:p w14:paraId="3B221FB5" w14:textId="45661487" w:rsidR="00A52827" w:rsidRDefault="004D770D" w:rsidP="00A52827">
      <w:r>
        <w:t>While the social benefits of such an approach are appealing to many, the ability for many enterprises</w:t>
      </w:r>
      <w:r w:rsidR="00505C97">
        <w:t xml:space="preserve"> and some governments</w:t>
      </w:r>
      <w:r>
        <w:t xml:space="preserve"> to embrace tokens at this point in </w:t>
      </w:r>
      <w:r w:rsidR="00A52827">
        <w:t>time</w:t>
      </w:r>
      <w:r>
        <w:t xml:space="preserve"> is </w:t>
      </w:r>
      <w:r w:rsidR="00A52827">
        <w:t xml:space="preserve">limiting. Once </w:t>
      </w:r>
      <w:r w:rsidR="00505C97">
        <w:t>again,</w:t>
      </w:r>
      <w:r w:rsidR="00A52827">
        <w:t xml:space="preserve"> a </w:t>
      </w:r>
      <w:r w:rsidR="00505C97">
        <w:t>compromise</w:t>
      </w:r>
      <w:r w:rsidR="00A52827">
        <w:t xml:space="preserve"> that will allow two market segments to co-exist is to establish a community bound to a common vision but comprised of </w:t>
      </w:r>
      <w:proofErr w:type="gramStart"/>
      <w:r w:rsidR="00A52827">
        <w:t>safe-spaces</w:t>
      </w:r>
      <w:proofErr w:type="gramEnd"/>
      <w:r w:rsidR="00A52827">
        <w:t xml:space="preserve"> for each segment to establish their own governance. </w:t>
      </w:r>
    </w:p>
    <w:p w14:paraId="503FC159" w14:textId="5C4AC2DA" w:rsidR="00897471" w:rsidRDefault="00897471" w:rsidP="00897471"/>
    <w:p w14:paraId="228201A4" w14:textId="2185C432" w:rsidR="00897471" w:rsidRDefault="00A52827" w:rsidP="00A52827">
      <w:pPr>
        <w:pStyle w:val="Heading2"/>
      </w:pPr>
      <w:r>
        <w:t>Common Ground</w:t>
      </w:r>
    </w:p>
    <w:p w14:paraId="57089E80" w14:textId="0DA62647" w:rsidR="00A52827" w:rsidRDefault="00A52827" w:rsidP="00A52827">
      <w:r>
        <w:t>The pathway to a common vision for decentralized identity is rooted in open standards and open source communit</w:t>
      </w:r>
      <w:r w:rsidR="00505C97">
        <w:t>ies</w:t>
      </w:r>
      <w:r>
        <w:t xml:space="preserve">. Both market segments of the Sovrin Community </w:t>
      </w:r>
      <w:r w:rsidR="00505C97">
        <w:t xml:space="preserve">can </w:t>
      </w:r>
      <w:r>
        <w:t xml:space="preserve">agree </w:t>
      </w:r>
      <w:r w:rsidR="00505C97">
        <w:t>on</w:t>
      </w:r>
      <w:r>
        <w:t xml:space="preserve"> an </w:t>
      </w:r>
      <w:r w:rsidR="007616DD" w:rsidRPr="007616DD">
        <w:rPr>
          <w:i/>
          <w:iCs/>
        </w:rPr>
        <w:t>O</w:t>
      </w:r>
      <w:r w:rsidRPr="007616DD">
        <w:rPr>
          <w:i/>
          <w:iCs/>
        </w:rPr>
        <w:t xml:space="preserve">pen by </w:t>
      </w:r>
      <w:r w:rsidR="007616DD" w:rsidRPr="007616DD">
        <w:rPr>
          <w:i/>
          <w:iCs/>
        </w:rPr>
        <w:t>D</w:t>
      </w:r>
      <w:r w:rsidRPr="007616DD">
        <w:rPr>
          <w:i/>
          <w:iCs/>
        </w:rPr>
        <w:t xml:space="preserve">esign </w:t>
      </w:r>
      <w:r>
        <w:t xml:space="preserve">approach.  </w:t>
      </w:r>
      <w:r w:rsidR="00866CFC">
        <w:t>While the members within each market segment may require incompatible governance models</w:t>
      </w:r>
      <w:r>
        <w:t xml:space="preserve">, both </w:t>
      </w:r>
      <w:r w:rsidR="00866CFC">
        <w:t xml:space="preserve">segments </w:t>
      </w:r>
      <w:r>
        <w:t xml:space="preserve">adamantly disagree with any deviation from </w:t>
      </w:r>
      <w:r w:rsidR="007616DD">
        <w:t xml:space="preserve">an </w:t>
      </w:r>
      <w:r>
        <w:t xml:space="preserve">open </w:t>
      </w:r>
      <w:r w:rsidR="007616DD">
        <w:t xml:space="preserve">approach at the technology or governance levels. Fundamentally, </w:t>
      </w:r>
      <w:r w:rsidR="007616DD" w:rsidRPr="004678C6">
        <w:t xml:space="preserve">no single organization </w:t>
      </w:r>
      <w:r w:rsidR="007616DD">
        <w:t xml:space="preserve">can </w:t>
      </w:r>
      <w:r w:rsidR="007616DD" w:rsidRPr="004678C6">
        <w:t>own</w:t>
      </w:r>
      <w:r w:rsidR="007616DD">
        <w:t xml:space="preserve"> a</w:t>
      </w:r>
      <w:r w:rsidR="007616DD" w:rsidRPr="004678C6">
        <w:t xml:space="preserve"> network </w:t>
      </w:r>
      <w:r w:rsidR="00866CFC">
        <w:t xml:space="preserve">(system of ledgers) </w:t>
      </w:r>
      <w:r w:rsidR="007616DD" w:rsidRPr="004678C6">
        <w:t xml:space="preserve">and </w:t>
      </w:r>
      <w:r w:rsidR="007616DD">
        <w:t xml:space="preserve">the network must be </w:t>
      </w:r>
      <w:r w:rsidR="007616DD" w:rsidRPr="004678C6">
        <w:t>built upon open standards and protocols</w:t>
      </w:r>
      <w:r w:rsidR="007616DD">
        <w:t xml:space="preserve"> where interoperability has been achieved. </w:t>
      </w:r>
      <w:r w:rsidR="007616DD" w:rsidRPr="004678C6">
        <w:t> </w:t>
      </w:r>
    </w:p>
    <w:p w14:paraId="52EA711E" w14:textId="763E81DB" w:rsidR="00A52827" w:rsidRDefault="00A52827" w:rsidP="00A52827"/>
    <w:p w14:paraId="304E058B" w14:textId="3D6ED1F1" w:rsidR="004678C6" w:rsidRDefault="004678C6" w:rsidP="004678C6"/>
    <w:p w14:paraId="3D088825" w14:textId="756123F0" w:rsidR="00C75448" w:rsidRDefault="00C75448" w:rsidP="00505C97">
      <w:r w:rsidRPr="00505C97">
        <w:rPr>
          <w:rStyle w:val="Heading2Char"/>
        </w:rPr>
        <w:t>Concepts</w:t>
      </w:r>
    </w:p>
    <w:p w14:paraId="2AEF81A6" w14:textId="4D7DF05B" w:rsidR="00C75448" w:rsidRDefault="00C75448" w:rsidP="00C75448"/>
    <w:p w14:paraId="20534E86" w14:textId="77777777" w:rsidR="006C4005" w:rsidRDefault="006C4005" w:rsidP="006C4005">
      <w:pPr>
        <w:keepNext/>
      </w:pPr>
      <w:r w:rsidRPr="006C4005">
        <w:drawing>
          <wp:inline distT="0" distB="0" distL="0" distR="0" wp14:anchorId="7B446FD8" wp14:editId="6AB1FDE3">
            <wp:extent cx="5943600" cy="3137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37535"/>
                    </a:xfrm>
                    <a:prstGeom prst="rect">
                      <a:avLst/>
                    </a:prstGeom>
                  </pic:spPr>
                </pic:pic>
              </a:graphicData>
            </a:graphic>
          </wp:inline>
        </w:drawing>
      </w:r>
    </w:p>
    <w:p w14:paraId="737AB1B1" w14:textId="393A02C9" w:rsidR="006C4005" w:rsidRDefault="006C4005" w:rsidP="006C4005">
      <w:pPr>
        <w:pStyle w:val="Caption"/>
        <w:jc w:val="center"/>
      </w:pPr>
      <w:r>
        <w:t xml:space="preserve">Figure </w:t>
      </w:r>
      <w:fldSimple w:instr=" SEQ Figure \* ARABIC ">
        <w:r>
          <w:rPr>
            <w:noProof/>
          </w:rPr>
          <w:t>1</w:t>
        </w:r>
      </w:fldSimple>
      <w:r>
        <w:t>: Network of Networks</w:t>
      </w:r>
    </w:p>
    <w:p w14:paraId="2200949D" w14:textId="77777777" w:rsidR="006C4005" w:rsidRDefault="006C4005" w:rsidP="00C75448"/>
    <w:p w14:paraId="3BB31BDD" w14:textId="2E6F6F78" w:rsidR="0056274F" w:rsidRDefault="0056274F" w:rsidP="00B176EA">
      <w:pPr>
        <w:pStyle w:val="ListParagraph"/>
        <w:numPr>
          <w:ilvl w:val="0"/>
          <w:numId w:val="8"/>
        </w:numPr>
      </w:pPr>
      <w:r>
        <w:t xml:space="preserve">DID Namespace: Building on </w:t>
      </w:r>
      <w:r w:rsidRPr="00B176EA">
        <w:t xml:space="preserve">URI </w:t>
      </w:r>
      <w:r>
        <w:t>S</w:t>
      </w:r>
      <w:r w:rsidRPr="00B176EA">
        <w:t>tandards</w:t>
      </w:r>
      <w:r>
        <w:t>, the DID Specification allows for both root namespace (</w:t>
      </w:r>
      <w:proofErr w:type="spellStart"/>
      <w:r>
        <w:t>did:xxx</w:t>
      </w:r>
      <w:proofErr w:type="spellEnd"/>
      <w:r>
        <w:t>) and sub-namespace (</w:t>
      </w:r>
      <w:proofErr w:type="spellStart"/>
      <w:r>
        <w:t>did:</w:t>
      </w:r>
      <w:proofErr w:type="gramStart"/>
      <w:r>
        <w:t>xxx:yyy</w:t>
      </w:r>
      <w:proofErr w:type="spellEnd"/>
      <w:proofErr w:type="gramEnd"/>
      <w:r>
        <w:t>) conventions.</w:t>
      </w:r>
    </w:p>
    <w:p w14:paraId="243B03A2" w14:textId="3A171D1A" w:rsidR="00B176EA" w:rsidRDefault="00C22A4F" w:rsidP="00B176EA">
      <w:pPr>
        <w:pStyle w:val="ListParagraph"/>
        <w:numPr>
          <w:ilvl w:val="0"/>
          <w:numId w:val="8"/>
        </w:numPr>
      </w:pPr>
      <w:r>
        <w:t>Peer-Net</w:t>
      </w:r>
      <w:r w:rsidR="00B176EA">
        <w:t>:  A</w:t>
      </w:r>
      <w:r w:rsidR="00B176EA" w:rsidRPr="007616DD">
        <w:t xml:space="preserve"> distinct system of domain specific ledgers </w:t>
      </w:r>
      <w:r w:rsidR="00B176EA">
        <w:t>operated</w:t>
      </w:r>
      <w:r w:rsidR="00B176EA" w:rsidRPr="007616DD">
        <w:t xml:space="preserve"> by </w:t>
      </w:r>
      <w:r w:rsidR="0056274F">
        <w:t xml:space="preserve">decentralized </w:t>
      </w:r>
      <w:r w:rsidR="00B176EA" w:rsidRPr="007616DD">
        <w:t>peer nodes</w:t>
      </w:r>
      <w:r w:rsidR="0056274F">
        <w:t xml:space="preserve"> and associated with a DID Namespace. </w:t>
      </w:r>
    </w:p>
    <w:p w14:paraId="33B5460A" w14:textId="3C04AAF8" w:rsidR="00B176EA" w:rsidRDefault="00B176EA" w:rsidP="00676FB6">
      <w:pPr>
        <w:pStyle w:val="ListParagraph"/>
        <w:numPr>
          <w:ilvl w:val="0"/>
          <w:numId w:val="8"/>
        </w:numPr>
      </w:pPr>
      <w:r>
        <w:t xml:space="preserve">Network of Networks: A decentralized collection of discoverable and interoperable </w:t>
      </w:r>
      <w:r w:rsidR="00C22A4F">
        <w:t>Peer-Net</w:t>
      </w:r>
      <w:r>
        <w:t xml:space="preserve">s. Each </w:t>
      </w:r>
      <w:r w:rsidR="00C22A4F">
        <w:t>Peer-Net</w:t>
      </w:r>
      <w:r>
        <w:t xml:space="preserve"> adheres to its own governance framework and the optimization limitations</w:t>
      </w:r>
      <w:r w:rsidR="00505C97">
        <w:t xml:space="preserve"> of the deployed DLT </w:t>
      </w:r>
      <w:r>
        <w:t>for consensus performance.</w:t>
      </w:r>
      <w:r w:rsidRPr="0056274F">
        <w:rPr>
          <w:rFonts w:ascii="MS Gothic" w:eastAsia="MS Gothic" w:hAnsi="MS Gothic" w:cs="MS Gothic" w:hint="eastAsia"/>
        </w:rPr>
        <w:t> </w:t>
      </w:r>
      <w:r w:rsidRPr="00B176EA">
        <w:t>The internet is already an exemplar of a network of networks structure based on DNS and URI standards</w:t>
      </w:r>
      <w:r w:rsidR="0056274F">
        <w:t xml:space="preserve">. </w:t>
      </w:r>
    </w:p>
    <w:p w14:paraId="495A4D8D" w14:textId="1A1FB7D9" w:rsidR="0056274F" w:rsidRDefault="0056274F" w:rsidP="00B176EA">
      <w:pPr>
        <w:pStyle w:val="ListParagraph"/>
        <w:numPr>
          <w:ilvl w:val="0"/>
          <w:numId w:val="8"/>
        </w:numPr>
      </w:pPr>
      <w:r>
        <w:t>Decentralized DID Namespace Registry (DDNR): The</w:t>
      </w:r>
      <w:r w:rsidRPr="0056274F">
        <w:t xml:space="preserve"> DID </w:t>
      </w:r>
      <w:r>
        <w:t xml:space="preserve">Specification </w:t>
      </w:r>
      <w:r w:rsidRPr="0056274F">
        <w:t>is already rooted in URI concepts,</w:t>
      </w:r>
      <w:r w:rsidR="00505C97">
        <w:t xml:space="preserve"> but</w:t>
      </w:r>
      <w:r w:rsidRPr="0056274F">
        <w:t xml:space="preserve"> it does lack a mechanism to address a decentralized approach to navigating a network of peer networks.</w:t>
      </w:r>
      <w:r>
        <w:t xml:space="preserve"> A DDNR provides registration, discovery and validation of trusted </w:t>
      </w:r>
      <w:r w:rsidR="00C22A4F">
        <w:t>Peer-Net</w:t>
      </w:r>
      <w:r w:rsidR="000F152B">
        <w:t>s</w:t>
      </w:r>
      <w:r>
        <w:t>.</w:t>
      </w:r>
    </w:p>
    <w:p w14:paraId="7B57CB22" w14:textId="4DDCCBCF" w:rsidR="00B176EA" w:rsidRDefault="00B176EA" w:rsidP="00B176EA">
      <w:pPr>
        <w:pStyle w:val="ListParagraph"/>
        <w:numPr>
          <w:ilvl w:val="0"/>
          <w:numId w:val="8"/>
        </w:numPr>
      </w:pPr>
      <w:r>
        <w:t>Identity Utility Network</w:t>
      </w:r>
      <w:r w:rsidR="0056274F">
        <w:t xml:space="preserve">: </w:t>
      </w:r>
      <w:r>
        <w:t xml:space="preserve"> </w:t>
      </w:r>
      <w:r w:rsidR="0056274F">
        <w:t>A</w:t>
      </w:r>
      <w:r w:rsidR="000F152B">
        <w:t xml:space="preserve"> </w:t>
      </w:r>
      <w:r w:rsidR="00C22A4F">
        <w:t>Peer-Net</w:t>
      </w:r>
      <w:r w:rsidR="000F152B">
        <w:t xml:space="preserve"> governed by a consortium and preferably </w:t>
      </w:r>
      <w:r w:rsidR="00505C97">
        <w:t>built on</w:t>
      </w:r>
      <w:r w:rsidR="000F152B">
        <w:t xml:space="preserve"> Hyperledger Indy.</w:t>
      </w:r>
    </w:p>
    <w:p w14:paraId="775B475E" w14:textId="620A4806" w:rsidR="00B176EA" w:rsidRDefault="00B176EA" w:rsidP="007616DD">
      <w:pPr>
        <w:pStyle w:val="ListParagraph"/>
        <w:numPr>
          <w:ilvl w:val="0"/>
          <w:numId w:val="8"/>
        </w:numPr>
      </w:pPr>
      <w:r>
        <w:t>Identity Utility Administrator</w:t>
      </w:r>
      <w:r w:rsidR="0056274F">
        <w:t xml:space="preserve">: </w:t>
      </w:r>
      <w:r w:rsidR="000F152B">
        <w:t>The provider of operational and maintenance services for an Identity Utility Network. Such services may include</w:t>
      </w:r>
      <w:r w:rsidR="00505C97">
        <w:t>:</w:t>
      </w:r>
      <w:r w:rsidR="0056274F">
        <w:t xml:space="preserve"> </w:t>
      </w:r>
    </w:p>
    <w:p w14:paraId="0859A666" w14:textId="77777777" w:rsidR="000F152B" w:rsidRDefault="000F152B" w:rsidP="000F152B">
      <w:pPr>
        <w:pStyle w:val="ListParagraph"/>
        <w:numPr>
          <w:ilvl w:val="1"/>
          <w:numId w:val="8"/>
        </w:numPr>
      </w:pPr>
      <w:r>
        <w:t>Method Name registration services</w:t>
      </w:r>
    </w:p>
    <w:p w14:paraId="72513D31" w14:textId="2A83A515" w:rsidR="000F152B" w:rsidRDefault="00C22A4F" w:rsidP="000F152B">
      <w:pPr>
        <w:pStyle w:val="ListParagraph"/>
        <w:numPr>
          <w:ilvl w:val="1"/>
          <w:numId w:val="8"/>
        </w:numPr>
      </w:pPr>
      <w:r>
        <w:t>Peer-Net</w:t>
      </w:r>
      <w:r w:rsidR="000F152B">
        <w:t xml:space="preserve"> activation services</w:t>
      </w:r>
    </w:p>
    <w:p w14:paraId="31A56C19" w14:textId="77777777" w:rsidR="000F152B" w:rsidRDefault="000F152B" w:rsidP="000F152B">
      <w:pPr>
        <w:pStyle w:val="ListParagraph"/>
        <w:numPr>
          <w:ilvl w:val="1"/>
          <w:numId w:val="8"/>
        </w:numPr>
      </w:pPr>
      <w:r>
        <w:t>DID Method resolution services</w:t>
      </w:r>
    </w:p>
    <w:p w14:paraId="3230D91E" w14:textId="77777777" w:rsidR="000F152B" w:rsidRDefault="000F152B" w:rsidP="000F152B">
      <w:pPr>
        <w:pStyle w:val="ListParagraph"/>
        <w:numPr>
          <w:ilvl w:val="1"/>
          <w:numId w:val="8"/>
        </w:numPr>
      </w:pPr>
      <w:r>
        <w:t>Namespace Registry Services</w:t>
      </w:r>
    </w:p>
    <w:p w14:paraId="17062C2B" w14:textId="77777777" w:rsidR="000F152B" w:rsidRDefault="000F152B" w:rsidP="000F152B">
      <w:pPr>
        <w:pStyle w:val="ListParagraph"/>
        <w:numPr>
          <w:ilvl w:val="1"/>
          <w:numId w:val="8"/>
        </w:numPr>
      </w:pPr>
      <w:r>
        <w:lastRenderedPageBreak/>
        <w:t>Trust Factor Certification Services</w:t>
      </w:r>
    </w:p>
    <w:p w14:paraId="3F96697D" w14:textId="3AD18EC7" w:rsidR="000F152B" w:rsidRDefault="000F152B" w:rsidP="000F152B">
      <w:pPr>
        <w:pStyle w:val="ListParagraph"/>
        <w:numPr>
          <w:ilvl w:val="1"/>
          <w:numId w:val="8"/>
        </w:numPr>
      </w:pPr>
      <w:r>
        <w:t>Build and Test Services</w:t>
      </w:r>
    </w:p>
    <w:p w14:paraId="145F2E47" w14:textId="128D4DA5" w:rsidR="000F152B" w:rsidRDefault="000F152B" w:rsidP="000F152B">
      <w:pPr>
        <w:pStyle w:val="ListParagraph"/>
        <w:numPr>
          <w:ilvl w:val="1"/>
          <w:numId w:val="8"/>
        </w:numPr>
      </w:pPr>
      <w:r>
        <w:t>Consortium Coordination Services</w:t>
      </w:r>
    </w:p>
    <w:p w14:paraId="3875206D" w14:textId="0069D805" w:rsidR="007616DD" w:rsidRDefault="007616DD" w:rsidP="00C75448"/>
    <w:p w14:paraId="6A5CCF54" w14:textId="77777777" w:rsidR="00B176EA" w:rsidRPr="00B176EA" w:rsidRDefault="00B176EA" w:rsidP="00B176EA"/>
    <w:p w14:paraId="4211AA86" w14:textId="0B5BD274" w:rsidR="004678C6" w:rsidRDefault="004678C6" w:rsidP="004678C6">
      <w:pPr>
        <w:pStyle w:val="Heading2"/>
      </w:pPr>
      <w:r>
        <w:t>Approach</w:t>
      </w:r>
    </w:p>
    <w:p w14:paraId="5382CAC4" w14:textId="7E697F80" w:rsidR="00850514" w:rsidRDefault="000F152B" w:rsidP="000F152B">
      <w:r>
        <w:t>There are two potential solutions to the concerns raised herein: (1) establish a new Identity Utility Network and associated it with a new DID Root Namespace</w:t>
      </w:r>
      <w:r w:rsidR="00AF5421">
        <w:t xml:space="preserve"> (</w:t>
      </w:r>
      <w:proofErr w:type="spellStart"/>
      <w:r w:rsidR="00AF5421" w:rsidRPr="00C75448">
        <w:rPr>
          <w:rFonts w:ascii="IBM Plex Mono" w:hAnsi="IBM Plex Mono"/>
          <w:sz w:val="20"/>
          <w:szCs w:val="20"/>
        </w:rPr>
        <w:t>did:</w:t>
      </w:r>
      <w:r w:rsidR="00AF5421">
        <w:rPr>
          <w:rFonts w:ascii="IBM Plex Mono" w:hAnsi="IBM Plex Mono"/>
          <w:sz w:val="20"/>
          <w:szCs w:val="20"/>
        </w:rPr>
        <w:t>bizid</w:t>
      </w:r>
      <w:proofErr w:type="spellEnd"/>
      <w:r w:rsidR="00AF5421">
        <w:rPr>
          <w:rFonts w:ascii="IBM Plex Mono" w:hAnsi="IBM Plex Mono"/>
          <w:sz w:val="20"/>
          <w:szCs w:val="20"/>
        </w:rPr>
        <w:t>)</w:t>
      </w:r>
      <w:r>
        <w:t>; or (2)</w:t>
      </w:r>
      <w:r w:rsidRPr="000F152B">
        <w:t xml:space="preserve"> </w:t>
      </w:r>
      <w:r>
        <w:t xml:space="preserve">establish a new Identity Utility Network and associated it with a new DID Namespace under the </w:t>
      </w:r>
      <w:proofErr w:type="spellStart"/>
      <w:r w:rsidRPr="00C75448">
        <w:rPr>
          <w:rFonts w:ascii="IBM Plex Mono" w:hAnsi="IBM Plex Mono"/>
          <w:sz w:val="20"/>
          <w:szCs w:val="20"/>
        </w:rPr>
        <w:t>did:sov</w:t>
      </w:r>
      <w:proofErr w:type="spellEnd"/>
      <w:r>
        <w:rPr>
          <w:rFonts w:ascii="IBM Plex Mono" w:hAnsi="IBM Plex Mono"/>
          <w:sz w:val="20"/>
          <w:szCs w:val="20"/>
        </w:rPr>
        <w:t xml:space="preserve"> </w:t>
      </w:r>
      <w:r>
        <w:t xml:space="preserve">root namespace.  </w:t>
      </w:r>
      <w:r w:rsidR="00850514">
        <w:t xml:space="preserve">While both are feasible, </w:t>
      </w:r>
      <w:r w:rsidR="007B3C48" w:rsidRPr="007B3C48">
        <w:rPr>
          <w:b/>
          <w:bCs/>
        </w:rPr>
        <w:t>O</w:t>
      </w:r>
      <w:r w:rsidR="00850514" w:rsidRPr="007B3C48">
        <w:rPr>
          <w:b/>
          <w:bCs/>
        </w:rPr>
        <w:t>ption 2</w:t>
      </w:r>
      <w:r w:rsidR="00850514">
        <w:t xml:space="preserve"> is preferred. </w:t>
      </w:r>
    </w:p>
    <w:p w14:paraId="52344442" w14:textId="3A2B811A" w:rsidR="007B3C48" w:rsidRDefault="007B3C48" w:rsidP="000F152B"/>
    <w:p w14:paraId="2371D1E7" w14:textId="77777777" w:rsidR="006C4005" w:rsidRDefault="00BC77AD" w:rsidP="006C4005">
      <w:pPr>
        <w:keepNext/>
        <w:jc w:val="center"/>
      </w:pPr>
      <w:r w:rsidRPr="00BC77AD">
        <w:rPr>
          <w:noProof/>
        </w:rPr>
        <w:drawing>
          <wp:inline distT="0" distB="0" distL="0" distR="0" wp14:anchorId="56BA0E96" wp14:editId="646C1699">
            <wp:extent cx="5017911" cy="275341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59800" cy="2776402"/>
                    </a:xfrm>
                    <a:prstGeom prst="rect">
                      <a:avLst/>
                    </a:prstGeom>
                  </pic:spPr>
                </pic:pic>
              </a:graphicData>
            </a:graphic>
          </wp:inline>
        </w:drawing>
      </w:r>
    </w:p>
    <w:p w14:paraId="32049637" w14:textId="0CB82D64" w:rsidR="007B3C48" w:rsidRDefault="006C4005" w:rsidP="006C4005">
      <w:pPr>
        <w:pStyle w:val="Caption"/>
        <w:jc w:val="center"/>
      </w:pPr>
      <w:r>
        <w:t xml:space="preserve">Table </w:t>
      </w:r>
      <w:fldSimple w:instr=" SEQ Table \* ARABIC ">
        <w:r>
          <w:rPr>
            <w:noProof/>
          </w:rPr>
          <w:t>1</w:t>
        </w:r>
      </w:fldSimple>
      <w:r w:rsidRPr="00F128AC">
        <w:t>: Proposal Options</w:t>
      </w:r>
    </w:p>
    <w:p w14:paraId="17120B20" w14:textId="25E08147" w:rsidR="00850514" w:rsidRDefault="00850514" w:rsidP="000F152B"/>
    <w:p w14:paraId="2656FD39" w14:textId="74611847" w:rsidR="00850514" w:rsidRDefault="00850514" w:rsidP="00850514">
      <w:pPr>
        <w:pStyle w:val="Heading3"/>
      </w:pPr>
      <w:r>
        <w:t>Option 1: New DID Root Namespace</w:t>
      </w:r>
    </w:p>
    <w:p w14:paraId="779DA396" w14:textId="1760EB27" w:rsidR="00C42DCF" w:rsidRPr="004678C6" w:rsidRDefault="00C42DCF" w:rsidP="00C42DCF">
      <w:r>
        <w:t xml:space="preserve">Collaborate with consortium of members that will deploy </w:t>
      </w:r>
      <w:r w:rsidR="005E7A31">
        <w:t xml:space="preserve">a </w:t>
      </w:r>
      <w:r>
        <w:t>Identity Utility Network</w:t>
      </w:r>
      <w:r w:rsidR="005E7A31">
        <w:t xml:space="preserve"> (</w:t>
      </w:r>
      <w:proofErr w:type="spellStart"/>
      <w:proofErr w:type="gramStart"/>
      <w:r w:rsidR="005E7A31" w:rsidRPr="00C75448">
        <w:rPr>
          <w:rFonts w:ascii="IBM Plex Mono" w:hAnsi="IBM Plex Mono"/>
          <w:sz w:val="20"/>
          <w:szCs w:val="20"/>
        </w:rPr>
        <w:t>did:</w:t>
      </w:r>
      <w:r w:rsidR="005E7A31">
        <w:rPr>
          <w:rFonts w:ascii="IBM Plex Mono" w:hAnsi="IBM Plex Mono"/>
          <w:sz w:val="20"/>
          <w:szCs w:val="20"/>
        </w:rPr>
        <w:t>bizid</w:t>
      </w:r>
      <w:proofErr w:type="spellEnd"/>
      <w:proofErr w:type="gramEnd"/>
      <w:r w:rsidR="005E7A31">
        <w:rPr>
          <w:rFonts w:ascii="IBM Plex Mono" w:hAnsi="IBM Plex Mono"/>
          <w:sz w:val="20"/>
          <w:szCs w:val="20"/>
        </w:rPr>
        <w:t>)</w:t>
      </w:r>
      <w:r>
        <w:t xml:space="preserve"> and define an enterprise grade governance framework which: </w:t>
      </w:r>
    </w:p>
    <w:p w14:paraId="7599A21B" w14:textId="2889A853" w:rsidR="00C42DCF" w:rsidRPr="004678C6" w:rsidRDefault="00C42DCF" w:rsidP="00C42DCF">
      <w:pPr>
        <w:numPr>
          <w:ilvl w:val="0"/>
          <w:numId w:val="1"/>
        </w:numPr>
      </w:pPr>
      <w:r>
        <w:t>Enforces Permissioned Writes</w:t>
      </w:r>
    </w:p>
    <w:p w14:paraId="21ECE650" w14:textId="4C56E90F" w:rsidR="00C42DCF" w:rsidRPr="004678C6" w:rsidRDefault="00C42DCF" w:rsidP="00C42DCF">
      <w:pPr>
        <w:numPr>
          <w:ilvl w:val="0"/>
          <w:numId w:val="1"/>
        </w:numPr>
      </w:pPr>
      <w:r>
        <w:t>Avoid</w:t>
      </w:r>
      <w:r w:rsidR="00866CFC">
        <w:t>s</w:t>
      </w:r>
      <w:r>
        <w:t xml:space="preserve"> Tokens</w:t>
      </w:r>
    </w:p>
    <w:p w14:paraId="3F61036D" w14:textId="59CEBEC1" w:rsidR="00C42DCF" w:rsidRDefault="00C42DCF" w:rsidP="00C42DCF">
      <w:pPr>
        <w:numPr>
          <w:ilvl w:val="0"/>
          <w:numId w:val="1"/>
        </w:numPr>
      </w:pPr>
      <w:r>
        <w:t xml:space="preserve">Establishes a governing board so </w:t>
      </w:r>
      <w:r w:rsidRPr="004678C6">
        <w:t xml:space="preserve">no single organization owns the network </w:t>
      </w:r>
    </w:p>
    <w:p w14:paraId="184C5252" w14:textId="42EA7F29" w:rsidR="00C42DCF" w:rsidRPr="004678C6" w:rsidRDefault="00C42DCF" w:rsidP="00C42DCF">
      <w:pPr>
        <w:numPr>
          <w:ilvl w:val="0"/>
          <w:numId w:val="1"/>
        </w:numPr>
      </w:pPr>
      <w:r>
        <w:t xml:space="preserve">Requires adherences to a specific stack of </w:t>
      </w:r>
      <w:r w:rsidRPr="004678C6">
        <w:t>open standards and protocols </w:t>
      </w:r>
    </w:p>
    <w:p w14:paraId="13326CF4" w14:textId="77777777" w:rsidR="00C42DCF" w:rsidRDefault="00C42DCF" w:rsidP="00850514"/>
    <w:p w14:paraId="779B051E" w14:textId="7C29E672" w:rsidR="000F152B" w:rsidRDefault="00C42DCF" w:rsidP="00850514">
      <w:r>
        <w:t xml:space="preserve">Such an endeavor </w:t>
      </w:r>
      <w:r w:rsidR="00850514">
        <w:t xml:space="preserve">is a significant undertaking. </w:t>
      </w:r>
      <w:r w:rsidR="005E7A31">
        <w:t xml:space="preserve">It requires getting consortium </w:t>
      </w:r>
      <w:r w:rsidR="00850514">
        <w:t xml:space="preserve">agreement </w:t>
      </w:r>
      <w:r w:rsidR="005E7A31">
        <w:t xml:space="preserve">on </w:t>
      </w:r>
      <w:r w:rsidR="00850514">
        <w:t>a governance framework</w:t>
      </w:r>
      <w:r>
        <w:t xml:space="preserve"> plus </w:t>
      </w:r>
      <w:r w:rsidR="005E7A31">
        <w:t xml:space="preserve">hiring staff </w:t>
      </w:r>
      <w:r w:rsidR="00850514">
        <w:t xml:space="preserve">to handle the operational and maintenance tasks for the </w:t>
      </w:r>
      <w:r w:rsidR="00C22A4F">
        <w:t>Peer-Net</w:t>
      </w:r>
      <w:r w:rsidR="00850514">
        <w:t xml:space="preserve">.  </w:t>
      </w:r>
      <w:r w:rsidR="005E7A31">
        <w:t>A benefit however is total autonomy</w:t>
      </w:r>
      <w:r w:rsidR="0079363D">
        <w:t>.</w:t>
      </w:r>
      <w:r w:rsidR="005E7A31">
        <w:t xml:space="preserve"> </w:t>
      </w:r>
    </w:p>
    <w:p w14:paraId="07E8E4D7" w14:textId="0C9FC19C" w:rsidR="005E7A31" w:rsidRDefault="005E7A31" w:rsidP="00850514"/>
    <w:p w14:paraId="2A4B24E9" w14:textId="2D3FB33D" w:rsidR="005E7A31" w:rsidRDefault="005E7A31" w:rsidP="005E7A31">
      <w:pPr>
        <w:pStyle w:val="Heading3"/>
      </w:pPr>
      <w:r>
        <w:t>Option 2: Sovrin Namespace</w:t>
      </w:r>
    </w:p>
    <w:p w14:paraId="67D3254F" w14:textId="6E7A94DA" w:rsidR="005E7A31" w:rsidRDefault="005E7A31" w:rsidP="005E7A31">
      <w:r>
        <w:t>Follow the same approach as Option 1 but leverage the Sovrin Foundation as a</w:t>
      </w:r>
      <w:r w:rsidR="001918F1">
        <w:t>n</w:t>
      </w:r>
      <w:r>
        <w:t xml:space="preserve"> Identity Utility </w:t>
      </w:r>
      <w:r w:rsidR="001918F1">
        <w:t>Administrator</w:t>
      </w:r>
      <w:r>
        <w:t xml:space="preserve"> for the new </w:t>
      </w:r>
      <w:r w:rsidR="001918F1">
        <w:t>Identity</w:t>
      </w:r>
      <w:r>
        <w:t xml:space="preserve"> </w:t>
      </w:r>
      <w:r w:rsidR="001918F1">
        <w:t>Utility</w:t>
      </w:r>
      <w:r>
        <w:t xml:space="preserve"> </w:t>
      </w:r>
      <w:r w:rsidR="001918F1">
        <w:t>Network</w:t>
      </w:r>
      <w:r>
        <w:t xml:space="preserve"> (</w:t>
      </w:r>
      <w:proofErr w:type="spellStart"/>
      <w:proofErr w:type="gramStart"/>
      <w:r w:rsidRPr="00C75448">
        <w:rPr>
          <w:rFonts w:ascii="IBM Plex Mono" w:hAnsi="IBM Plex Mono"/>
          <w:sz w:val="20"/>
          <w:szCs w:val="20"/>
        </w:rPr>
        <w:t>did:</w:t>
      </w:r>
      <w:r w:rsidR="001918F1">
        <w:rPr>
          <w:rFonts w:ascii="IBM Plex Mono" w:hAnsi="IBM Plex Mono"/>
          <w:sz w:val="20"/>
          <w:szCs w:val="20"/>
        </w:rPr>
        <w:t>sov</w:t>
      </w:r>
      <w:proofErr w:type="gramEnd"/>
      <w:r w:rsidR="001918F1">
        <w:rPr>
          <w:rFonts w:ascii="IBM Plex Mono" w:hAnsi="IBM Plex Mono"/>
          <w:sz w:val="20"/>
          <w:szCs w:val="20"/>
        </w:rPr>
        <w:t>:</w:t>
      </w:r>
      <w:r>
        <w:rPr>
          <w:rFonts w:ascii="IBM Plex Mono" w:hAnsi="IBM Plex Mono"/>
          <w:sz w:val="20"/>
          <w:szCs w:val="20"/>
        </w:rPr>
        <w:t>bizid</w:t>
      </w:r>
      <w:proofErr w:type="spellEnd"/>
      <w:r w:rsidR="00DB2014">
        <w:t xml:space="preserve">). This approach requires </w:t>
      </w:r>
      <w:r w:rsidR="00DB2014">
        <w:lastRenderedPageBreak/>
        <w:t xml:space="preserve">changes to the Sovrin Foundation and introduces a new financial sustainability model. The Sovrin Foundation already has skilled resources to tackle the operational and maintenance responsibilities for administrating a </w:t>
      </w:r>
      <w:r w:rsidR="00C22A4F">
        <w:t>Peer-Net</w:t>
      </w:r>
      <w:r w:rsidR="00DB2014">
        <w:t xml:space="preserve">. These capabilities can be offered as fee-based services to the new consortium. To allow for this approach, the existing Sovrin Governance Framework would need to be refined </w:t>
      </w:r>
      <w:r w:rsidR="00C22A4F">
        <w:t xml:space="preserve">(Version 3) </w:t>
      </w:r>
      <w:r w:rsidR="00DB2014">
        <w:t>to focus only on a public write token model and the current Identity Utility Network (</w:t>
      </w:r>
      <w:proofErr w:type="spellStart"/>
      <w:proofErr w:type="gramStart"/>
      <w:r w:rsidR="00DB2014" w:rsidRPr="00C75448">
        <w:rPr>
          <w:rFonts w:ascii="IBM Plex Mono" w:hAnsi="IBM Plex Mono"/>
          <w:sz w:val="20"/>
          <w:szCs w:val="20"/>
        </w:rPr>
        <w:t>did:</w:t>
      </w:r>
      <w:r w:rsidR="00DB2014">
        <w:rPr>
          <w:rFonts w:ascii="IBM Plex Mono" w:hAnsi="IBM Plex Mono"/>
          <w:sz w:val="20"/>
          <w:szCs w:val="20"/>
        </w:rPr>
        <w:t>sov</w:t>
      </w:r>
      <w:proofErr w:type="spellEnd"/>
      <w:proofErr w:type="gramEnd"/>
      <w:r w:rsidR="00DB2014">
        <w:t xml:space="preserve">) would need to be transitioned to </w:t>
      </w:r>
      <w:r w:rsidR="00DB2014" w:rsidRPr="00C75448">
        <w:rPr>
          <w:rFonts w:ascii="IBM Plex Mono" w:hAnsi="IBM Plex Mono"/>
          <w:sz w:val="20"/>
          <w:szCs w:val="20"/>
        </w:rPr>
        <w:t>did:</w:t>
      </w:r>
      <w:r w:rsidR="00DB2014">
        <w:rPr>
          <w:rFonts w:ascii="IBM Plex Mono" w:hAnsi="IBM Plex Mono"/>
          <w:sz w:val="20"/>
          <w:szCs w:val="20"/>
        </w:rPr>
        <w:t>sov:id4a</w:t>
      </w:r>
      <w:r w:rsidR="0079363D">
        <w:rPr>
          <w:rFonts w:ascii="IBM Plex Mono" w:hAnsi="IBM Plex Mono"/>
          <w:sz w:val="20"/>
          <w:szCs w:val="20"/>
        </w:rPr>
        <w:t xml:space="preserve"> </w:t>
      </w:r>
      <w:r w:rsidR="0079363D">
        <w:t>(as an example)</w:t>
      </w:r>
      <w:r w:rsidR="00DB2014">
        <w:t>.</w:t>
      </w:r>
    </w:p>
    <w:p w14:paraId="7E39EBCA" w14:textId="77777777" w:rsidR="00850514" w:rsidRDefault="00850514" w:rsidP="00850514"/>
    <w:p w14:paraId="112043AA" w14:textId="5E4EB202" w:rsidR="000F152B" w:rsidRDefault="000F152B" w:rsidP="000F152B"/>
    <w:p w14:paraId="7EAB65E9" w14:textId="7EE8F04D" w:rsidR="004678C6" w:rsidRDefault="004678C6" w:rsidP="00DB2014">
      <w:pPr>
        <w:pStyle w:val="Heading2"/>
      </w:pPr>
      <w:r>
        <w:t>Governance Framework Concepts</w:t>
      </w:r>
    </w:p>
    <w:p w14:paraId="4957B2C2" w14:textId="44718ED3" w:rsidR="00977EDA" w:rsidRDefault="00977EDA" w:rsidP="00977EDA"/>
    <w:p w14:paraId="53810008" w14:textId="323571CB" w:rsidR="00977EDA" w:rsidRDefault="00977EDA" w:rsidP="00977EDA">
      <w:pPr>
        <w:pStyle w:val="Heading3"/>
      </w:pPr>
      <w:r>
        <w:t>Common Concepts</w:t>
      </w:r>
    </w:p>
    <w:tbl>
      <w:tblPr>
        <w:tblStyle w:val="TableGrid"/>
        <w:tblW w:w="0" w:type="auto"/>
        <w:tblLook w:val="04A0" w:firstRow="1" w:lastRow="0" w:firstColumn="1" w:lastColumn="0" w:noHBand="0" w:noVBand="1"/>
      </w:tblPr>
      <w:tblGrid>
        <w:gridCol w:w="1525"/>
        <w:gridCol w:w="7825"/>
      </w:tblGrid>
      <w:tr w:rsidR="00977EDA" w14:paraId="606D390F" w14:textId="77777777" w:rsidTr="004278E6">
        <w:trPr>
          <w:cantSplit/>
          <w:tblHeader/>
        </w:trPr>
        <w:tc>
          <w:tcPr>
            <w:tcW w:w="1525" w:type="dxa"/>
            <w:shd w:val="clear" w:color="auto" w:fill="8EAADB" w:themeFill="accent1" w:themeFillTint="99"/>
          </w:tcPr>
          <w:p w14:paraId="13908C48" w14:textId="77777777" w:rsidR="00977EDA" w:rsidRPr="00005CD6" w:rsidRDefault="00977EDA" w:rsidP="00603A22">
            <w:pPr>
              <w:jc w:val="center"/>
              <w:rPr>
                <w:b/>
                <w:bCs/>
              </w:rPr>
            </w:pPr>
            <w:r w:rsidRPr="00005CD6">
              <w:rPr>
                <w:b/>
                <w:bCs/>
              </w:rPr>
              <w:t>Topic</w:t>
            </w:r>
          </w:p>
        </w:tc>
        <w:tc>
          <w:tcPr>
            <w:tcW w:w="7825" w:type="dxa"/>
            <w:shd w:val="clear" w:color="auto" w:fill="8EAADB" w:themeFill="accent1" w:themeFillTint="99"/>
          </w:tcPr>
          <w:p w14:paraId="792375DB" w14:textId="6B095F1D" w:rsidR="00977EDA" w:rsidRPr="00005CD6" w:rsidRDefault="00977EDA" w:rsidP="00977EDA">
            <w:pPr>
              <w:jc w:val="center"/>
              <w:rPr>
                <w:b/>
                <w:bCs/>
              </w:rPr>
            </w:pPr>
            <w:r w:rsidRPr="00005CD6">
              <w:rPr>
                <w:b/>
                <w:bCs/>
              </w:rPr>
              <w:t>Option</w:t>
            </w:r>
            <w:r>
              <w:rPr>
                <w:b/>
                <w:bCs/>
              </w:rPr>
              <w:t>s</w:t>
            </w:r>
            <w:r w:rsidRPr="00005CD6">
              <w:rPr>
                <w:b/>
                <w:bCs/>
              </w:rPr>
              <w:t xml:space="preserve"> 1</w:t>
            </w:r>
            <w:r>
              <w:rPr>
                <w:b/>
                <w:bCs/>
              </w:rPr>
              <w:t xml:space="preserve"> &amp; 2</w:t>
            </w:r>
          </w:p>
        </w:tc>
      </w:tr>
      <w:tr w:rsidR="005F06FD" w14:paraId="36C4DDBF" w14:textId="77777777" w:rsidTr="004278E6">
        <w:trPr>
          <w:cantSplit/>
        </w:trPr>
        <w:tc>
          <w:tcPr>
            <w:tcW w:w="1525" w:type="dxa"/>
          </w:tcPr>
          <w:p w14:paraId="73ACAFC7" w14:textId="045EF154" w:rsidR="005F06FD" w:rsidRDefault="005F06FD" w:rsidP="005F06FD">
            <w:r>
              <w:t>Optimal Consensus Threshold</w:t>
            </w:r>
          </w:p>
        </w:tc>
        <w:tc>
          <w:tcPr>
            <w:tcW w:w="7825" w:type="dxa"/>
          </w:tcPr>
          <w:p w14:paraId="18BD0D58" w14:textId="77777777" w:rsidR="005F06FD" w:rsidRDefault="005F06FD" w:rsidP="005F06FD">
            <w:r>
              <w:t>A balance between budget requirements and technology limitations will define the number of nodes required to operate the Identity Utility Network (“</w:t>
            </w:r>
            <w:r w:rsidRPr="005F06FD">
              <w:rPr>
                <w:i/>
                <w:iCs/>
              </w:rPr>
              <w:t>Network</w:t>
            </w:r>
            <w:r>
              <w:t xml:space="preserve">”). Initially this will be set at </w:t>
            </w:r>
            <w:r w:rsidRPr="005F06FD">
              <w:rPr>
                <w:color w:val="FF0000"/>
              </w:rPr>
              <w:t>13</w:t>
            </w:r>
            <w:r>
              <w:t xml:space="preserve">. The set of active nodes on the network will be periodically pulled from a pool of available nodes. </w:t>
            </w:r>
          </w:p>
          <w:p w14:paraId="42E06D10" w14:textId="2654A7FB" w:rsidR="004278E6" w:rsidRDefault="004278E6" w:rsidP="005F06FD"/>
        </w:tc>
      </w:tr>
      <w:tr w:rsidR="002E3E88" w14:paraId="06BB9A75" w14:textId="77777777" w:rsidTr="004278E6">
        <w:trPr>
          <w:cantSplit/>
        </w:trPr>
        <w:tc>
          <w:tcPr>
            <w:tcW w:w="1525" w:type="dxa"/>
          </w:tcPr>
          <w:p w14:paraId="09F453A7" w14:textId="77777777" w:rsidR="002E3E88" w:rsidRDefault="002E3E88" w:rsidP="002E3E88">
            <w:r>
              <w:t>Membership</w:t>
            </w:r>
          </w:p>
          <w:p w14:paraId="7D39DE4B" w14:textId="77777777" w:rsidR="002E3E88" w:rsidRDefault="002E3E88" w:rsidP="002E3E88">
            <w:r>
              <w:t>Types</w:t>
            </w:r>
          </w:p>
        </w:tc>
        <w:tc>
          <w:tcPr>
            <w:tcW w:w="7825" w:type="dxa"/>
          </w:tcPr>
          <w:p w14:paraId="3011DF07" w14:textId="77777777" w:rsidR="002E3E88" w:rsidRDefault="002E3E88" w:rsidP="002E3E88">
            <w:pPr>
              <w:pStyle w:val="ListParagraph"/>
              <w:numPr>
                <w:ilvl w:val="0"/>
                <w:numId w:val="13"/>
              </w:numPr>
            </w:pPr>
            <w:r>
              <w:t>Founding Members</w:t>
            </w:r>
          </w:p>
          <w:p w14:paraId="38A5EC15" w14:textId="791E5D82" w:rsidR="002E3E88" w:rsidRDefault="0079363D" w:rsidP="002E3E88">
            <w:pPr>
              <w:pStyle w:val="ListParagraph"/>
              <w:numPr>
                <w:ilvl w:val="1"/>
                <w:numId w:val="13"/>
              </w:numPr>
            </w:pPr>
            <w:r>
              <w:t>L</w:t>
            </w:r>
            <w:r w:rsidR="002E3E88">
              <w:t xml:space="preserve">imited to </w:t>
            </w:r>
            <w:r w:rsidR="002E3E88">
              <w:rPr>
                <w:color w:val="FF0000"/>
              </w:rPr>
              <w:t>15</w:t>
            </w:r>
            <w:r>
              <w:t>.</w:t>
            </w:r>
          </w:p>
          <w:p w14:paraId="505EA19E" w14:textId="188F8EF8" w:rsidR="002E3E88" w:rsidRDefault="002E3E88" w:rsidP="002E3E88">
            <w:pPr>
              <w:pStyle w:val="ListParagraph"/>
              <w:numPr>
                <w:ilvl w:val="1"/>
                <w:numId w:val="13"/>
              </w:numPr>
            </w:pPr>
            <w:r>
              <w:t xml:space="preserve">Members that are willing </w:t>
            </w:r>
            <w:r w:rsidR="0079363D">
              <w:t xml:space="preserve">to </w:t>
            </w:r>
            <w:r>
              <w:t>contribute to the infrastructure</w:t>
            </w:r>
            <w:r w:rsidR="0079363D">
              <w:t xml:space="preserve">, management, </w:t>
            </w:r>
            <w:r>
              <w:t xml:space="preserve">and financial needs of the </w:t>
            </w:r>
            <w:r w:rsidRPr="00AE21A9">
              <w:rPr>
                <w:i/>
                <w:iCs/>
              </w:rPr>
              <w:t>Network</w:t>
            </w:r>
            <w:r>
              <w:t xml:space="preserve">. </w:t>
            </w:r>
          </w:p>
          <w:p w14:paraId="596B08E2" w14:textId="77777777" w:rsidR="002E3E88" w:rsidRDefault="002E3E88" w:rsidP="002E3E88">
            <w:pPr>
              <w:pStyle w:val="ListParagraph"/>
              <w:numPr>
                <w:ilvl w:val="1"/>
                <w:numId w:val="13"/>
              </w:numPr>
            </w:pPr>
            <w:r>
              <w:t>Benefits</w:t>
            </w:r>
          </w:p>
          <w:p w14:paraId="7A40A1D0" w14:textId="250F0FD5" w:rsidR="002E3E88" w:rsidRDefault="0079363D" w:rsidP="002E3E88">
            <w:pPr>
              <w:pStyle w:val="ListParagraph"/>
              <w:numPr>
                <w:ilvl w:val="2"/>
                <w:numId w:val="13"/>
              </w:numPr>
            </w:pPr>
            <w:r>
              <w:t>Seat on Board of Directors.</w:t>
            </w:r>
          </w:p>
          <w:p w14:paraId="1C8C8EFE" w14:textId="586CB1EC" w:rsidR="002E3E88" w:rsidRDefault="0079363D" w:rsidP="002E3E88">
            <w:pPr>
              <w:pStyle w:val="ListParagraph"/>
              <w:numPr>
                <w:ilvl w:val="2"/>
                <w:numId w:val="13"/>
              </w:numPr>
            </w:pPr>
            <w:r>
              <w:t xml:space="preserve">Automatic approval to operate as a </w:t>
            </w:r>
            <w:r w:rsidR="002E3E88">
              <w:t>Trust</w:t>
            </w:r>
            <w:r>
              <w:t xml:space="preserve"> Anchor</w:t>
            </w:r>
            <w:r w:rsidR="002E3E88">
              <w:t xml:space="preserve">. </w:t>
            </w:r>
          </w:p>
          <w:p w14:paraId="57566570" w14:textId="77777777" w:rsidR="002E3E88" w:rsidRDefault="002E3E88" w:rsidP="002E3E88">
            <w:pPr>
              <w:pStyle w:val="ListParagraph"/>
              <w:numPr>
                <w:ilvl w:val="2"/>
                <w:numId w:val="13"/>
              </w:numPr>
            </w:pPr>
            <w:r>
              <w:t>Unlimited transactions.</w:t>
            </w:r>
          </w:p>
          <w:p w14:paraId="287E5840" w14:textId="77777777" w:rsidR="002E3E88" w:rsidRDefault="002E3E88" w:rsidP="002E3E88">
            <w:pPr>
              <w:pStyle w:val="ListParagraph"/>
              <w:numPr>
                <w:ilvl w:val="0"/>
                <w:numId w:val="13"/>
              </w:numPr>
            </w:pPr>
            <w:r>
              <w:t>Stewards</w:t>
            </w:r>
          </w:p>
          <w:p w14:paraId="120C4B92" w14:textId="11F40253" w:rsidR="002E3E88" w:rsidRDefault="0079363D" w:rsidP="002E3E88">
            <w:pPr>
              <w:pStyle w:val="ListParagraph"/>
              <w:numPr>
                <w:ilvl w:val="1"/>
                <w:numId w:val="13"/>
              </w:numPr>
            </w:pPr>
            <w:r>
              <w:t>L</w:t>
            </w:r>
            <w:r w:rsidR="002E3E88">
              <w:t xml:space="preserve">imited to </w:t>
            </w:r>
            <w:r w:rsidR="002E3E88">
              <w:rPr>
                <w:color w:val="FF0000"/>
              </w:rPr>
              <w:t>30</w:t>
            </w:r>
            <w:r>
              <w:t>.</w:t>
            </w:r>
          </w:p>
          <w:p w14:paraId="7CBBDBFA" w14:textId="4E240FD3" w:rsidR="002E3E88" w:rsidRDefault="002E3E88" w:rsidP="002E3E88">
            <w:pPr>
              <w:pStyle w:val="ListParagraph"/>
              <w:numPr>
                <w:ilvl w:val="1"/>
                <w:numId w:val="13"/>
              </w:numPr>
            </w:pPr>
            <w:r>
              <w:t xml:space="preserve">Members that are willing </w:t>
            </w:r>
            <w:r w:rsidR="0079363D">
              <w:t xml:space="preserve">to </w:t>
            </w:r>
            <w:r>
              <w:t xml:space="preserve">contribute to the infrastructure and financial needs of the </w:t>
            </w:r>
            <w:r w:rsidRPr="00AE21A9">
              <w:rPr>
                <w:i/>
                <w:iCs/>
              </w:rPr>
              <w:t>Network</w:t>
            </w:r>
            <w:r>
              <w:t xml:space="preserve">. </w:t>
            </w:r>
          </w:p>
          <w:p w14:paraId="4DF31203" w14:textId="77777777" w:rsidR="002E3E88" w:rsidRDefault="002E3E88" w:rsidP="002E3E88">
            <w:pPr>
              <w:pStyle w:val="ListParagraph"/>
              <w:numPr>
                <w:ilvl w:val="1"/>
                <w:numId w:val="13"/>
              </w:numPr>
            </w:pPr>
            <w:r>
              <w:t>Benefits</w:t>
            </w:r>
          </w:p>
          <w:p w14:paraId="169A118A" w14:textId="77777777" w:rsidR="0079363D" w:rsidRDefault="0079363D" w:rsidP="002E3E88">
            <w:pPr>
              <w:pStyle w:val="ListParagraph"/>
              <w:numPr>
                <w:ilvl w:val="2"/>
                <w:numId w:val="13"/>
              </w:numPr>
            </w:pPr>
            <w:r>
              <w:t xml:space="preserve">Automatic approval to operate as a Trust Anchor. </w:t>
            </w:r>
          </w:p>
          <w:p w14:paraId="7D95C3F5" w14:textId="6292036B" w:rsidR="002E3E88" w:rsidRDefault="002E3E88" w:rsidP="002E3E88">
            <w:pPr>
              <w:pStyle w:val="ListParagraph"/>
              <w:numPr>
                <w:ilvl w:val="2"/>
                <w:numId w:val="13"/>
              </w:numPr>
            </w:pPr>
            <w:r>
              <w:t>Unlimited transactions.</w:t>
            </w:r>
          </w:p>
          <w:p w14:paraId="12B456FC" w14:textId="77777777" w:rsidR="002E3E88" w:rsidRDefault="002E3E88" w:rsidP="002E3E88">
            <w:pPr>
              <w:pStyle w:val="ListParagraph"/>
              <w:numPr>
                <w:ilvl w:val="0"/>
                <w:numId w:val="13"/>
              </w:numPr>
            </w:pPr>
            <w:r>
              <w:t xml:space="preserve">Trust Anchors: An unlimited number of members that are willing to be responsible for the endorsement of transactions to the ledger. They are obligated to use </w:t>
            </w:r>
            <w:r w:rsidRPr="00AE21A9">
              <w:rPr>
                <w:i/>
                <w:iCs/>
              </w:rPr>
              <w:t>Network</w:t>
            </w:r>
            <w:r>
              <w:t xml:space="preserve"> approved endorser software and accountable for vetting the entities performing write requests.</w:t>
            </w:r>
          </w:p>
          <w:p w14:paraId="758B940D" w14:textId="2ABC3E72" w:rsidR="004278E6" w:rsidRDefault="004278E6" w:rsidP="004278E6">
            <w:pPr>
              <w:pStyle w:val="ListParagraph"/>
            </w:pPr>
          </w:p>
        </w:tc>
      </w:tr>
      <w:tr w:rsidR="002E3E88" w14:paraId="09175312" w14:textId="77777777" w:rsidTr="004278E6">
        <w:trPr>
          <w:cantSplit/>
        </w:trPr>
        <w:tc>
          <w:tcPr>
            <w:tcW w:w="1525" w:type="dxa"/>
          </w:tcPr>
          <w:p w14:paraId="662124FC" w14:textId="77777777" w:rsidR="002E3E88" w:rsidRDefault="002E3E88" w:rsidP="002E3E88">
            <w:r>
              <w:lastRenderedPageBreak/>
              <w:t>Board of Directors (</w:t>
            </w:r>
            <w:proofErr w:type="spellStart"/>
            <w:r>
              <w:t>BoD</w:t>
            </w:r>
            <w:proofErr w:type="spellEnd"/>
            <w:r>
              <w:t>)</w:t>
            </w:r>
          </w:p>
        </w:tc>
        <w:tc>
          <w:tcPr>
            <w:tcW w:w="7825" w:type="dxa"/>
          </w:tcPr>
          <w:p w14:paraId="79757E14" w14:textId="77777777" w:rsidR="002E3E88" w:rsidRDefault="002E3E88" w:rsidP="002E3E88">
            <w:r>
              <w:t xml:space="preserve">Founding Members will have the right to appoint a board director. Each Founding Member will be allocated one vote for each appointed Director.  The </w:t>
            </w:r>
            <w:proofErr w:type="spellStart"/>
            <w:r>
              <w:t>BoD</w:t>
            </w:r>
            <w:proofErr w:type="spellEnd"/>
            <w:r>
              <w:t xml:space="preserve"> will establish a </w:t>
            </w:r>
            <w:r w:rsidR="0079363D">
              <w:t>charter</w:t>
            </w:r>
            <w:r>
              <w:t xml:space="preserve"> that will establish Officer roles and responsibilities. The </w:t>
            </w:r>
            <w:proofErr w:type="spellStart"/>
            <w:r>
              <w:t>BoD</w:t>
            </w:r>
            <w:proofErr w:type="spellEnd"/>
            <w:r>
              <w:t xml:space="preserve"> will establish terms for Officers, but no term shall exceed </w:t>
            </w:r>
            <w:r>
              <w:rPr>
                <w:color w:val="FF0000"/>
              </w:rPr>
              <w:t xml:space="preserve">3 </w:t>
            </w:r>
            <w:r>
              <w:t>years.</w:t>
            </w:r>
          </w:p>
          <w:p w14:paraId="2094D760" w14:textId="2B79C489" w:rsidR="004278E6" w:rsidRDefault="004278E6" w:rsidP="002E3E88"/>
        </w:tc>
      </w:tr>
      <w:tr w:rsidR="002E3E88" w14:paraId="53827D9A" w14:textId="77777777" w:rsidTr="004278E6">
        <w:trPr>
          <w:cantSplit/>
        </w:trPr>
        <w:tc>
          <w:tcPr>
            <w:tcW w:w="1525" w:type="dxa"/>
          </w:tcPr>
          <w:p w14:paraId="5EDAA12B" w14:textId="77777777" w:rsidR="002E3E88" w:rsidRDefault="002E3E88" w:rsidP="002E3E88">
            <w:r>
              <w:t>Budget</w:t>
            </w:r>
          </w:p>
        </w:tc>
        <w:tc>
          <w:tcPr>
            <w:tcW w:w="7825" w:type="dxa"/>
          </w:tcPr>
          <w:p w14:paraId="6BA14EB0" w14:textId="77777777" w:rsidR="002E3E88" w:rsidRDefault="002E3E88" w:rsidP="002E3E88">
            <w:pPr>
              <w:rPr>
                <w:i/>
                <w:iCs/>
              </w:rPr>
            </w:pPr>
            <w:proofErr w:type="spellStart"/>
            <w:r>
              <w:t>BoD</w:t>
            </w:r>
            <w:proofErr w:type="spellEnd"/>
            <w:r>
              <w:t xml:space="preserve"> is responsible for defining and approving the </w:t>
            </w:r>
            <w:r w:rsidRPr="00AE21A9">
              <w:rPr>
                <w:i/>
                <w:iCs/>
              </w:rPr>
              <w:t>Network</w:t>
            </w:r>
            <w:r>
              <w:t xml:space="preserve"> budget. Income for the budget will be derived from membership dues. The budget will be limited to expenses </w:t>
            </w:r>
            <w:r w:rsidR="0079363D">
              <w:t xml:space="preserve">for the administration, </w:t>
            </w:r>
            <w:r>
              <w:t>operation</w:t>
            </w:r>
            <w:r w:rsidR="0079363D">
              <w:t>,</w:t>
            </w:r>
            <w:r>
              <w:t xml:space="preserve"> and maintenance of the </w:t>
            </w:r>
            <w:r w:rsidRPr="00AE21A9">
              <w:rPr>
                <w:i/>
                <w:iCs/>
              </w:rPr>
              <w:t>Network</w:t>
            </w:r>
            <w:r>
              <w:rPr>
                <w:i/>
                <w:iCs/>
              </w:rPr>
              <w:t>.</w:t>
            </w:r>
          </w:p>
          <w:p w14:paraId="0465E157" w14:textId="2B72BBF4" w:rsidR="004278E6" w:rsidRDefault="004278E6" w:rsidP="002E3E88"/>
        </w:tc>
      </w:tr>
      <w:tr w:rsidR="002E3E88" w14:paraId="06174B81" w14:textId="77777777" w:rsidTr="004278E6">
        <w:trPr>
          <w:cantSplit/>
        </w:trPr>
        <w:tc>
          <w:tcPr>
            <w:tcW w:w="1525" w:type="dxa"/>
          </w:tcPr>
          <w:p w14:paraId="50196339" w14:textId="77777777" w:rsidR="002E3E88" w:rsidRDefault="002E3E88" w:rsidP="002E3E88">
            <w:r>
              <w:t>Membership Dues</w:t>
            </w:r>
          </w:p>
        </w:tc>
        <w:tc>
          <w:tcPr>
            <w:tcW w:w="7825" w:type="dxa"/>
          </w:tcPr>
          <w:p w14:paraId="79005938" w14:textId="77777777" w:rsidR="002E3E88" w:rsidRDefault="002E3E88" w:rsidP="002E3E88">
            <w:pPr>
              <w:pStyle w:val="ListParagraph"/>
              <w:numPr>
                <w:ilvl w:val="0"/>
                <w:numId w:val="14"/>
              </w:numPr>
            </w:pPr>
            <w:r>
              <w:t xml:space="preserve">Founding Members:  </w:t>
            </w:r>
            <w:r w:rsidRPr="00A42E81">
              <w:t>$</w:t>
            </w:r>
            <w:r w:rsidRPr="00A42E81">
              <w:rPr>
                <w:color w:val="FF0000"/>
              </w:rPr>
              <w:t>50</w:t>
            </w:r>
            <w:r>
              <w:rPr>
                <w:color w:val="FF0000"/>
              </w:rPr>
              <w:t>K</w:t>
            </w:r>
            <w:r w:rsidRPr="00A42E81">
              <w:t>/</w:t>
            </w:r>
            <w:proofErr w:type="spellStart"/>
            <w:r w:rsidRPr="00A42E81">
              <w:t>yr</w:t>
            </w:r>
            <w:proofErr w:type="spellEnd"/>
          </w:p>
          <w:p w14:paraId="1D6BBF8B" w14:textId="77777777" w:rsidR="002E3E88" w:rsidRDefault="002E3E88" w:rsidP="002E3E88">
            <w:pPr>
              <w:pStyle w:val="ListParagraph"/>
              <w:numPr>
                <w:ilvl w:val="0"/>
                <w:numId w:val="14"/>
              </w:numPr>
            </w:pPr>
            <w:r>
              <w:t xml:space="preserve">Stewards:  </w:t>
            </w:r>
            <w:r w:rsidRPr="00A42E81">
              <w:t>$</w:t>
            </w:r>
            <w:r>
              <w:rPr>
                <w:color w:val="FF0000"/>
              </w:rPr>
              <w:t>30K</w:t>
            </w:r>
            <w:r w:rsidRPr="00A42E81">
              <w:t>/</w:t>
            </w:r>
            <w:proofErr w:type="spellStart"/>
            <w:r w:rsidRPr="00A42E81">
              <w:t>yr</w:t>
            </w:r>
            <w:proofErr w:type="spellEnd"/>
          </w:p>
          <w:p w14:paraId="499FF743" w14:textId="77777777" w:rsidR="002E3E88" w:rsidRDefault="002E3E88" w:rsidP="002E3E88">
            <w:pPr>
              <w:pStyle w:val="ListParagraph"/>
              <w:numPr>
                <w:ilvl w:val="0"/>
                <w:numId w:val="14"/>
              </w:numPr>
            </w:pPr>
            <w:r>
              <w:t>Trust Anchors</w:t>
            </w:r>
          </w:p>
          <w:p w14:paraId="18DD8EEC" w14:textId="77777777" w:rsidR="002E3E88" w:rsidRDefault="002E3E88" w:rsidP="002E3E88">
            <w:pPr>
              <w:pStyle w:val="ListParagraph"/>
              <w:numPr>
                <w:ilvl w:val="1"/>
                <w:numId w:val="14"/>
              </w:numPr>
            </w:pPr>
            <w:r>
              <w:t xml:space="preserve">Enterprise Plan: </w:t>
            </w:r>
            <w:r>
              <w:rPr>
                <w:color w:val="FF0000"/>
              </w:rPr>
              <w:t>1000</w:t>
            </w:r>
            <w:r w:rsidRPr="00D23A6A">
              <w:rPr>
                <w:color w:val="FF0000"/>
              </w:rPr>
              <w:t xml:space="preserve"> </w:t>
            </w:r>
            <w:r>
              <w:t>write transactions/</w:t>
            </w:r>
            <w:proofErr w:type="spellStart"/>
            <w:r>
              <w:t>yr</w:t>
            </w:r>
            <w:proofErr w:type="spellEnd"/>
            <w:r>
              <w:t xml:space="preserve"> for </w:t>
            </w:r>
            <w:r>
              <w:rPr>
                <w:color w:val="FF0000"/>
              </w:rPr>
              <w:t>$10K</w:t>
            </w:r>
            <w:r w:rsidRPr="00A42E81">
              <w:t>/</w:t>
            </w:r>
            <w:proofErr w:type="spellStart"/>
            <w:r w:rsidRPr="00A42E81">
              <w:t>yr</w:t>
            </w:r>
            <w:proofErr w:type="spellEnd"/>
          </w:p>
          <w:p w14:paraId="06C0B573" w14:textId="450B8792" w:rsidR="002E3E88" w:rsidRDefault="002E3E88" w:rsidP="002E3E88">
            <w:pPr>
              <w:pStyle w:val="ListParagraph"/>
              <w:numPr>
                <w:ilvl w:val="1"/>
                <w:numId w:val="14"/>
              </w:numPr>
            </w:pPr>
            <w:r>
              <w:t>Service Provider</w:t>
            </w:r>
            <w:r w:rsidR="0079363D">
              <w:t xml:space="preserve"> Plan</w:t>
            </w:r>
            <w:r>
              <w:t xml:space="preserve">: </w:t>
            </w:r>
            <w:r>
              <w:rPr>
                <w:color w:val="FF0000"/>
              </w:rPr>
              <w:t>2500</w:t>
            </w:r>
            <w:r w:rsidRPr="00D23A6A">
              <w:rPr>
                <w:color w:val="FF0000"/>
              </w:rPr>
              <w:t xml:space="preserve"> </w:t>
            </w:r>
            <w:r>
              <w:t>write transactions/</w:t>
            </w:r>
            <w:proofErr w:type="spellStart"/>
            <w:r>
              <w:t>yr</w:t>
            </w:r>
            <w:proofErr w:type="spellEnd"/>
            <w:r>
              <w:t xml:space="preserve"> for </w:t>
            </w:r>
            <w:r>
              <w:rPr>
                <w:color w:val="FF0000"/>
              </w:rPr>
              <w:t>$25K</w:t>
            </w:r>
            <w:r w:rsidRPr="00A42E81">
              <w:t>/</w:t>
            </w:r>
            <w:proofErr w:type="spellStart"/>
            <w:r w:rsidRPr="00A42E81">
              <w:t>yr</w:t>
            </w:r>
            <w:proofErr w:type="spellEnd"/>
          </w:p>
          <w:p w14:paraId="29FDBBB8" w14:textId="77777777" w:rsidR="002E3E88" w:rsidRDefault="002E3E88" w:rsidP="002E3E88"/>
        </w:tc>
      </w:tr>
      <w:tr w:rsidR="002E3E88" w14:paraId="01820EB5" w14:textId="77777777" w:rsidTr="004278E6">
        <w:trPr>
          <w:cantSplit/>
        </w:trPr>
        <w:tc>
          <w:tcPr>
            <w:tcW w:w="1525" w:type="dxa"/>
          </w:tcPr>
          <w:p w14:paraId="51C7CC4E" w14:textId="39B2A537" w:rsidR="002E3E88" w:rsidRDefault="00664149" w:rsidP="002E3E88">
            <w:r>
              <w:t>Membership Obligations</w:t>
            </w:r>
          </w:p>
        </w:tc>
        <w:tc>
          <w:tcPr>
            <w:tcW w:w="7825" w:type="dxa"/>
          </w:tcPr>
          <w:p w14:paraId="1578FC4F" w14:textId="3BA7C7CF" w:rsidR="00664149" w:rsidRDefault="00664149" w:rsidP="00664149">
            <w:pPr>
              <w:pStyle w:val="ListParagraph"/>
              <w:numPr>
                <w:ilvl w:val="0"/>
                <w:numId w:val="17"/>
              </w:numPr>
            </w:pPr>
            <w:r>
              <w:t>Founding Members</w:t>
            </w:r>
          </w:p>
          <w:p w14:paraId="061FCCA4" w14:textId="005FD45F" w:rsidR="00664149" w:rsidRDefault="00664149" w:rsidP="00664149">
            <w:pPr>
              <w:pStyle w:val="ListParagraph"/>
              <w:numPr>
                <w:ilvl w:val="1"/>
                <w:numId w:val="17"/>
              </w:numPr>
            </w:pPr>
            <w:r>
              <w:t xml:space="preserve">Sign </w:t>
            </w:r>
            <w:r w:rsidR="0079363D">
              <w:t>Steward</w:t>
            </w:r>
            <w:r>
              <w:t xml:space="preserve"> Agreement</w:t>
            </w:r>
          </w:p>
          <w:p w14:paraId="7762DE41" w14:textId="6FAD6FB2" w:rsidR="0079363D" w:rsidRDefault="0079363D" w:rsidP="00664149">
            <w:pPr>
              <w:pStyle w:val="ListParagraph"/>
              <w:numPr>
                <w:ilvl w:val="1"/>
                <w:numId w:val="17"/>
              </w:numPr>
            </w:pPr>
            <w:r>
              <w:t xml:space="preserve">Sign </w:t>
            </w:r>
            <w:r w:rsidR="00FC5F6B">
              <w:t>Trust Anchor</w:t>
            </w:r>
            <w:r w:rsidR="00FC5F6B">
              <w:t xml:space="preserve"> </w:t>
            </w:r>
            <w:r>
              <w:t>Agreement (</w:t>
            </w:r>
            <w:r w:rsidRPr="0079363D">
              <w:rPr>
                <w:i/>
                <w:iCs/>
              </w:rPr>
              <w:t>optional</w:t>
            </w:r>
            <w:r>
              <w:t>)</w:t>
            </w:r>
          </w:p>
          <w:p w14:paraId="24FB682A" w14:textId="73508FEC" w:rsidR="00664149" w:rsidRDefault="00664149" w:rsidP="00664149">
            <w:pPr>
              <w:pStyle w:val="ListParagraph"/>
              <w:numPr>
                <w:ilvl w:val="1"/>
                <w:numId w:val="17"/>
              </w:numPr>
            </w:pPr>
            <w:r>
              <w:t>H</w:t>
            </w:r>
            <w:r w:rsidRPr="00664149">
              <w:t>ost 3 nodes (main, test, dev)</w:t>
            </w:r>
            <w:r>
              <w:t xml:space="preserve">, each running </w:t>
            </w:r>
            <w:r w:rsidRPr="00664149">
              <w:rPr>
                <w:i/>
                <w:iCs/>
              </w:rPr>
              <w:t>Network</w:t>
            </w:r>
            <w:r>
              <w:t xml:space="preserve"> approved code.</w:t>
            </w:r>
          </w:p>
          <w:p w14:paraId="46F54626" w14:textId="26F31265" w:rsidR="00664149" w:rsidRDefault="00664149" w:rsidP="00664149">
            <w:pPr>
              <w:pStyle w:val="ListParagraph"/>
              <w:numPr>
                <w:ilvl w:val="0"/>
                <w:numId w:val="17"/>
              </w:numPr>
            </w:pPr>
            <w:r>
              <w:t>Stewards</w:t>
            </w:r>
          </w:p>
          <w:p w14:paraId="22A78CCF" w14:textId="0FD169EE" w:rsidR="00664149" w:rsidRDefault="00BD075B" w:rsidP="00664149">
            <w:pPr>
              <w:pStyle w:val="ListParagraph"/>
              <w:numPr>
                <w:ilvl w:val="1"/>
                <w:numId w:val="17"/>
              </w:numPr>
            </w:pPr>
            <w:r>
              <w:t xml:space="preserve">Sign </w:t>
            </w:r>
            <w:r w:rsidR="0079363D">
              <w:t xml:space="preserve">Steward </w:t>
            </w:r>
            <w:r w:rsidR="00664149">
              <w:t>Agreement</w:t>
            </w:r>
          </w:p>
          <w:p w14:paraId="6FD9924B" w14:textId="6BA2ED48" w:rsidR="0079363D" w:rsidRDefault="0079363D" w:rsidP="0079363D">
            <w:pPr>
              <w:pStyle w:val="ListParagraph"/>
              <w:numPr>
                <w:ilvl w:val="1"/>
                <w:numId w:val="17"/>
              </w:numPr>
            </w:pPr>
            <w:r>
              <w:t xml:space="preserve">Sign </w:t>
            </w:r>
            <w:r w:rsidR="00FC5F6B">
              <w:t>Trust Anchor</w:t>
            </w:r>
            <w:r w:rsidR="00FC5F6B">
              <w:t xml:space="preserve"> </w:t>
            </w:r>
            <w:r>
              <w:t>Agreement (</w:t>
            </w:r>
            <w:r w:rsidRPr="0079363D">
              <w:rPr>
                <w:i/>
                <w:iCs/>
              </w:rPr>
              <w:t>optional</w:t>
            </w:r>
            <w:r>
              <w:t>)</w:t>
            </w:r>
          </w:p>
          <w:p w14:paraId="10D19EB8" w14:textId="77777777" w:rsidR="00664149" w:rsidRDefault="00664149" w:rsidP="00664149">
            <w:pPr>
              <w:pStyle w:val="ListParagraph"/>
              <w:numPr>
                <w:ilvl w:val="1"/>
                <w:numId w:val="17"/>
              </w:numPr>
            </w:pPr>
            <w:r>
              <w:t>H</w:t>
            </w:r>
            <w:r w:rsidRPr="00664149">
              <w:t>ost 3 nodes (main, test, dev)</w:t>
            </w:r>
            <w:r>
              <w:t xml:space="preserve">, each running </w:t>
            </w:r>
            <w:r w:rsidRPr="00664149">
              <w:rPr>
                <w:i/>
                <w:iCs/>
              </w:rPr>
              <w:t>Network</w:t>
            </w:r>
            <w:r>
              <w:t xml:space="preserve"> approved code.</w:t>
            </w:r>
          </w:p>
          <w:p w14:paraId="3B048185" w14:textId="4A910662" w:rsidR="002E3E88" w:rsidRDefault="00664149" w:rsidP="00664149">
            <w:pPr>
              <w:pStyle w:val="ListParagraph"/>
              <w:numPr>
                <w:ilvl w:val="0"/>
                <w:numId w:val="17"/>
              </w:numPr>
            </w:pPr>
            <w:r>
              <w:t>Trust Anchors</w:t>
            </w:r>
          </w:p>
          <w:p w14:paraId="149B73F5" w14:textId="1824A33E" w:rsidR="00664149" w:rsidRDefault="00664149" w:rsidP="00664149">
            <w:pPr>
              <w:pStyle w:val="ListParagraph"/>
              <w:numPr>
                <w:ilvl w:val="1"/>
                <w:numId w:val="17"/>
              </w:numPr>
            </w:pPr>
            <w:r>
              <w:t xml:space="preserve">Sign </w:t>
            </w:r>
            <w:r w:rsidR="00FC5F6B">
              <w:t>Trust Anchor</w:t>
            </w:r>
            <w:r w:rsidR="00FC5F6B">
              <w:t xml:space="preserve"> </w:t>
            </w:r>
            <w:bookmarkStart w:id="0" w:name="_GoBack"/>
            <w:bookmarkEnd w:id="0"/>
            <w:r>
              <w:t>Agreement</w:t>
            </w:r>
          </w:p>
          <w:p w14:paraId="78F59C82" w14:textId="0734EE02" w:rsidR="004278E6" w:rsidRDefault="004278E6" w:rsidP="004278E6">
            <w:pPr>
              <w:pStyle w:val="ListParagraph"/>
              <w:ind w:left="1080"/>
            </w:pPr>
          </w:p>
        </w:tc>
      </w:tr>
    </w:tbl>
    <w:p w14:paraId="475B45C6" w14:textId="77777777" w:rsidR="00977EDA" w:rsidRPr="00977EDA" w:rsidRDefault="00977EDA" w:rsidP="00977EDA"/>
    <w:p w14:paraId="7027FF9D" w14:textId="4BEA7850" w:rsidR="00977EDA" w:rsidRDefault="00977EDA" w:rsidP="00977EDA">
      <w:pPr>
        <w:pStyle w:val="Heading3"/>
      </w:pPr>
      <w:r>
        <w:t>Option Specific Concepts</w:t>
      </w:r>
    </w:p>
    <w:p w14:paraId="108DBDCD" w14:textId="28B721B0" w:rsidR="00676FB6" w:rsidRDefault="00676FB6" w:rsidP="00676FB6"/>
    <w:tbl>
      <w:tblPr>
        <w:tblStyle w:val="TableGrid"/>
        <w:tblW w:w="0" w:type="auto"/>
        <w:tblLook w:val="04A0" w:firstRow="1" w:lastRow="0" w:firstColumn="1" w:lastColumn="0" w:noHBand="0" w:noVBand="1"/>
      </w:tblPr>
      <w:tblGrid>
        <w:gridCol w:w="1528"/>
        <w:gridCol w:w="3779"/>
        <w:gridCol w:w="4043"/>
      </w:tblGrid>
      <w:tr w:rsidR="00676FB6" w14:paraId="24788F51" w14:textId="77777777" w:rsidTr="004278E6">
        <w:trPr>
          <w:cantSplit/>
          <w:tblHeader/>
        </w:trPr>
        <w:tc>
          <w:tcPr>
            <w:tcW w:w="1528" w:type="dxa"/>
            <w:shd w:val="clear" w:color="auto" w:fill="8EAADB" w:themeFill="accent1" w:themeFillTint="99"/>
          </w:tcPr>
          <w:p w14:paraId="064F3C12" w14:textId="59AAA38D" w:rsidR="00676FB6" w:rsidRPr="00005CD6" w:rsidRDefault="00005CD6" w:rsidP="00005CD6">
            <w:pPr>
              <w:jc w:val="center"/>
              <w:rPr>
                <w:b/>
                <w:bCs/>
              </w:rPr>
            </w:pPr>
            <w:r w:rsidRPr="00005CD6">
              <w:rPr>
                <w:b/>
                <w:bCs/>
              </w:rPr>
              <w:t>Topic</w:t>
            </w:r>
          </w:p>
        </w:tc>
        <w:tc>
          <w:tcPr>
            <w:tcW w:w="3779" w:type="dxa"/>
            <w:shd w:val="clear" w:color="auto" w:fill="8EAADB" w:themeFill="accent1" w:themeFillTint="99"/>
          </w:tcPr>
          <w:p w14:paraId="28C0353D" w14:textId="65DD8485" w:rsidR="00676FB6" w:rsidRPr="00005CD6" w:rsidRDefault="00005CD6" w:rsidP="00005CD6">
            <w:pPr>
              <w:jc w:val="center"/>
              <w:rPr>
                <w:b/>
                <w:bCs/>
              </w:rPr>
            </w:pPr>
            <w:r w:rsidRPr="00005CD6">
              <w:rPr>
                <w:b/>
                <w:bCs/>
              </w:rPr>
              <w:t>Option 1</w:t>
            </w:r>
          </w:p>
        </w:tc>
        <w:tc>
          <w:tcPr>
            <w:tcW w:w="4043" w:type="dxa"/>
            <w:shd w:val="clear" w:color="auto" w:fill="8EAADB" w:themeFill="accent1" w:themeFillTint="99"/>
          </w:tcPr>
          <w:p w14:paraId="70C72F90" w14:textId="5D47320E" w:rsidR="00676FB6" w:rsidRPr="00005CD6" w:rsidRDefault="00005CD6" w:rsidP="00005CD6">
            <w:pPr>
              <w:jc w:val="center"/>
              <w:rPr>
                <w:b/>
                <w:bCs/>
              </w:rPr>
            </w:pPr>
            <w:r w:rsidRPr="00005CD6">
              <w:rPr>
                <w:b/>
                <w:bCs/>
              </w:rPr>
              <w:t>Option 2</w:t>
            </w:r>
          </w:p>
        </w:tc>
      </w:tr>
      <w:tr w:rsidR="004278E6" w14:paraId="0835EBB3" w14:textId="77777777" w:rsidTr="004278E6">
        <w:trPr>
          <w:cantSplit/>
        </w:trPr>
        <w:tc>
          <w:tcPr>
            <w:tcW w:w="1528" w:type="dxa"/>
          </w:tcPr>
          <w:p w14:paraId="2B9B5147" w14:textId="683F0705" w:rsidR="004278E6" w:rsidRDefault="004278E6" w:rsidP="004278E6">
            <w:r>
              <w:t>Governance Framework</w:t>
            </w:r>
          </w:p>
        </w:tc>
        <w:tc>
          <w:tcPr>
            <w:tcW w:w="3779" w:type="dxa"/>
          </w:tcPr>
          <w:p w14:paraId="0089EDA2" w14:textId="54FD32BE" w:rsidR="004278E6" w:rsidRDefault="004278E6" w:rsidP="004278E6">
            <w:pPr>
              <w:widowControl w:val="0"/>
              <w:pBdr>
                <w:top w:val="nil"/>
                <w:left w:val="nil"/>
                <w:bottom w:val="nil"/>
                <w:right w:val="nil"/>
                <w:between w:val="nil"/>
              </w:pBdr>
            </w:pPr>
            <w:r>
              <w:t xml:space="preserve">Refer to </w:t>
            </w:r>
            <w:r w:rsidRPr="004278E6">
              <w:rPr>
                <w:i/>
                <w:iCs/>
                <w:u w:val="single"/>
              </w:rPr>
              <w:t>Attachment A</w:t>
            </w:r>
            <w:r>
              <w:t xml:space="preserve"> as a template for building a new set of control and legal documents.</w:t>
            </w:r>
          </w:p>
        </w:tc>
        <w:tc>
          <w:tcPr>
            <w:tcW w:w="4043" w:type="dxa"/>
          </w:tcPr>
          <w:p w14:paraId="10907A65" w14:textId="77777777" w:rsidR="004278E6" w:rsidRDefault="004278E6" w:rsidP="004278E6">
            <w:proofErr w:type="spellStart"/>
            <w:r>
              <w:t>BoD</w:t>
            </w:r>
            <w:proofErr w:type="spellEnd"/>
            <w:r>
              <w:t xml:space="preserve"> will refine and prune the </w:t>
            </w:r>
            <w:hyperlink r:id="rId7" w:history="1">
              <w:r w:rsidRPr="00E3770A">
                <w:rPr>
                  <w:rStyle w:val="Hyperlink"/>
                </w:rPr>
                <w:t>SGFv2</w:t>
              </w:r>
            </w:hyperlink>
            <w:r>
              <w:t xml:space="preserve"> to create an acceptable set of control and legal documents for the </w:t>
            </w:r>
            <w:r w:rsidRPr="00E3770A">
              <w:rPr>
                <w:i/>
                <w:iCs/>
              </w:rPr>
              <w:t>Network</w:t>
            </w:r>
            <w:r>
              <w:t xml:space="preserve">. Refer to </w:t>
            </w:r>
            <w:r w:rsidRPr="004278E6">
              <w:rPr>
                <w:i/>
                <w:iCs/>
                <w:u w:val="single"/>
              </w:rPr>
              <w:t>Attachment A</w:t>
            </w:r>
            <w:r>
              <w:t xml:space="preserve"> for guidance. </w:t>
            </w:r>
          </w:p>
          <w:p w14:paraId="466E155A" w14:textId="77777777" w:rsidR="004278E6" w:rsidRDefault="004278E6" w:rsidP="004278E6">
            <w:pPr>
              <w:widowControl w:val="0"/>
              <w:pBdr>
                <w:top w:val="nil"/>
                <w:left w:val="nil"/>
                <w:bottom w:val="nil"/>
                <w:right w:val="nil"/>
                <w:between w:val="nil"/>
              </w:pBdr>
            </w:pPr>
          </w:p>
        </w:tc>
      </w:tr>
      <w:tr w:rsidR="002E3E88" w14:paraId="23B47312" w14:textId="77777777" w:rsidTr="004278E6">
        <w:trPr>
          <w:cantSplit/>
        </w:trPr>
        <w:tc>
          <w:tcPr>
            <w:tcW w:w="1528" w:type="dxa"/>
          </w:tcPr>
          <w:p w14:paraId="694C060A" w14:textId="0DDA2345" w:rsidR="002E3E88" w:rsidRDefault="002E3E88" w:rsidP="002E3E88">
            <w:r>
              <w:lastRenderedPageBreak/>
              <w:t>Management</w:t>
            </w:r>
          </w:p>
        </w:tc>
        <w:tc>
          <w:tcPr>
            <w:tcW w:w="3779" w:type="dxa"/>
          </w:tcPr>
          <w:p w14:paraId="7F2E8AFD" w14:textId="317143EC" w:rsidR="002E3E88" w:rsidRDefault="002E3E88" w:rsidP="002E3E88">
            <w:pPr>
              <w:widowControl w:val="0"/>
              <w:pBdr>
                <w:top w:val="nil"/>
                <w:left w:val="nil"/>
                <w:bottom w:val="nil"/>
                <w:right w:val="nil"/>
                <w:between w:val="nil"/>
              </w:pBdr>
            </w:pPr>
            <w:r>
              <w:t xml:space="preserve">The </w:t>
            </w:r>
            <w:proofErr w:type="spellStart"/>
            <w:r>
              <w:t>BoD</w:t>
            </w:r>
            <w:proofErr w:type="spellEnd"/>
            <w:r>
              <w:t xml:space="preserve"> will be required to </w:t>
            </w:r>
            <w:r w:rsidR="006315B9">
              <w:t xml:space="preserve">manage a budget and </w:t>
            </w:r>
            <w:r>
              <w:t xml:space="preserve">hire resources to staff the “day to day” management of the </w:t>
            </w:r>
            <w:r w:rsidR="005F06FD" w:rsidRPr="002E3E88">
              <w:rPr>
                <w:i/>
                <w:iCs/>
              </w:rPr>
              <w:t>Network</w:t>
            </w:r>
            <w:r>
              <w:t xml:space="preserve">. These activities would include: </w:t>
            </w:r>
          </w:p>
          <w:p w14:paraId="438675CF" w14:textId="19EE84B8" w:rsidR="005F06FD" w:rsidRDefault="005F06FD" w:rsidP="002E3E88">
            <w:pPr>
              <w:widowControl w:val="0"/>
              <w:numPr>
                <w:ilvl w:val="0"/>
                <w:numId w:val="9"/>
              </w:numPr>
              <w:pBdr>
                <w:top w:val="nil"/>
                <w:left w:val="nil"/>
                <w:bottom w:val="nil"/>
                <w:right w:val="nil"/>
                <w:between w:val="nil"/>
              </w:pBdr>
            </w:pPr>
            <w:r>
              <w:t>Financial Accounting</w:t>
            </w:r>
          </w:p>
          <w:p w14:paraId="49CB45BF" w14:textId="77777777" w:rsidR="005F06FD" w:rsidRDefault="005F06FD" w:rsidP="002E3E88">
            <w:pPr>
              <w:widowControl w:val="0"/>
              <w:numPr>
                <w:ilvl w:val="0"/>
                <w:numId w:val="9"/>
              </w:numPr>
              <w:pBdr>
                <w:top w:val="nil"/>
                <w:left w:val="nil"/>
                <w:bottom w:val="nil"/>
                <w:right w:val="nil"/>
                <w:between w:val="nil"/>
              </w:pBdr>
            </w:pPr>
            <w:r>
              <w:t>Legal</w:t>
            </w:r>
          </w:p>
          <w:p w14:paraId="00832EAC" w14:textId="77777777" w:rsidR="005F06FD" w:rsidRDefault="005F06FD" w:rsidP="002E3E88">
            <w:pPr>
              <w:widowControl w:val="0"/>
              <w:numPr>
                <w:ilvl w:val="0"/>
                <w:numId w:val="9"/>
              </w:numPr>
              <w:pBdr>
                <w:top w:val="nil"/>
                <w:left w:val="nil"/>
                <w:bottom w:val="nil"/>
                <w:right w:val="nil"/>
                <w:between w:val="nil"/>
              </w:pBdr>
            </w:pPr>
            <w:r>
              <w:t>Public Communications</w:t>
            </w:r>
          </w:p>
          <w:p w14:paraId="64F009D2" w14:textId="77777777" w:rsidR="005F06FD" w:rsidRDefault="005F06FD" w:rsidP="002E3E88">
            <w:pPr>
              <w:widowControl w:val="0"/>
              <w:numPr>
                <w:ilvl w:val="0"/>
                <w:numId w:val="9"/>
              </w:numPr>
              <w:pBdr>
                <w:top w:val="nil"/>
                <w:left w:val="nil"/>
                <w:bottom w:val="nil"/>
                <w:right w:val="nil"/>
                <w:between w:val="nil"/>
              </w:pBdr>
            </w:pPr>
            <w:r>
              <w:t>Technical Strategy &amp; Architecture</w:t>
            </w:r>
          </w:p>
          <w:p w14:paraId="570DC52E" w14:textId="2B4DE866" w:rsidR="002E3E88" w:rsidRDefault="005F06FD" w:rsidP="005F06FD">
            <w:pPr>
              <w:widowControl w:val="0"/>
              <w:numPr>
                <w:ilvl w:val="0"/>
                <w:numId w:val="9"/>
              </w:numPr>
              <w:pBdr>
                <w:top w:val="nil"/>
                <w:left w:val="nil"/>
                <w:bottom w:val="nil"/>
                <w:right w:val="nil"/>
                <w:between w:val="nil"/>
              </w:pBdr>
            </w:pPr>
            <w:r>
              <w:t>Administrative</w:t>
            </w:r>
          </w:p>
          <w:p w14:paraId="0A037563" w14:textId="77777777" w:rsidR="006315B9" w:rsidRDefault="005F06FD" w:rsidP="006315B9">
            <w:pPr>
              <w:widowControl w:val="0"/>
              <w:numPr>
                <w:ilvl w:val="0"/>
                <w:numId w:val="9"/>
              </w:numPr>
              <w:pBdr>
                <w:top w:val="nil"/>
                <w:left w:val="nil"/>
                <w:bottom w:val="nil"/>
                <w:right w:val="nil"/>
                <w:between w:val="nil"/>
              </w:pBdr>
            </w:pPr>
            <w:r>
              <w:t xml:space="preserve">Build and Test </w:t>
            </w:r>
          </w:p>
          <w:p w14:paraId="03740691" w14:textId="50F960CD" w:rsidR="002E3E88" w:rsidRDefault="006315B9" w:rsidP="006315B9">
            <w:pPr>
              <w:widowControl w:val="0"/>
              <w:numPr>
                <w:ilvl w:val="0"/>
                <w:numId w:val="9"/>
              </w:numPr>
              <w:pBdr>
                <w:top w:val="nil"/>
                <w:left w:val="nil"/>
                <w:bottom w:val="nil"/>
                <w:right w:val="nil"/>
                <w:between w:val="nil"/>
              </w:pBdr>
            </w:pPr>
            <w:r>
              <w:t>Membership Management</w:t>
            </w:r>
          </w:p>
          <w:p w14:paraId="24908AC5" w14:textId="77777777" w:rsidR="002E3E88" w:rsidRDefault="002E3E88" w:rsidP="006315B9">
            <w:pPr>
              <w:widowControl w:val="0"/>
              <w:pBdr>
                <w:top w:val="nil"/>
                <w:left w:val="nil"/>
                <w:bottom w:val="nil"/>
                <w:right w:val="nil"/>
                <w:between w:val="nil"/>
              </w:pBdr>
            </w:pPr>
          </w:p>
        </w:tc>
        <w:tc>
          <w:tcPr>
            <w:tcW w:w="4043" w:type="dxa"/>
          </w:tcPr>
          <w:p w14:paraId="372993EF" w14:textId="26ECE21E" w:rsidR="006315B9" w:rsidRDefault="006315B9" w:rsidP="006315B9">
            <w:pPr>
              <w:widowControl w:val="0"/>
              <w:pBdr>
                <w:top w:val="nil"/>
                <w:left w:val="nil"/>
                <w:bottom w:val="nil"/>
                <w:right w:val="nil"/>
                <w:between w:val="nil"/>
              </w:pBdr>
            </w:pPr>
            <w:r>
              <w:t xml:space="preserve">The </w:t>
            </w:r>
            <w:proofErr w:type="spellStart"/>
            <w:r>
              <w:t>BoD</w:t>
            </w:r>
            <w:proofErr w:type="spellEnd"/>
            <w:r>
              <w:t xml:space="preserve"> will be required to manage a budget and hire resources to coordinate the management of the </w:t>
            </w:r>
            <w:r w:rsidRPr="002E3E88">
              <w:rPr>
                <w:i/>
                <w:iCs/>
              </w:rPr>
              <w:t>Network</w:t>
            </w:r>
            <w:r>
              <w:rPr>
                <w:i/>
                <w:iCs/>
              </w:rPr>
              <w:t xml:space="preserve"> </w:t>
            </w:r>
            <w:r>
              <w:t xml:space="preserve">using Sovrin Foundation as an Identity Utility Administrator. </w:t>
            </w:r>
          </w:p>
          <w:p w14:paraId="68AB700A" w14:textId="13F612FE" w:rsidR="006315B9" w:rsidRDefault="006315B9" w:rsidP="006315B9">
            <w:pPr>
              <w:widowControl w:val="0"/>
              <w:pBdr>
                <w:top w:val="nil"/>
                <w:left w:val="nil"/>
                <w:bottom w:val="nil"/>
                <w:right w:val="nil"/>
                <w:between w:val="nil"/>
              </w:pBdr>
            </w:pPr>
          </w:p>
          <w:p w14:paraId="7453F5A7" w14:textId="7D165C46" w:rsidR="006315B9" w:rsidRDefault="006315B9" w:rsidP="006315B9">
            <w:pPr>
              <w:widowControl w:val="0"/>
              <w:pBdr>
                <w:top w:val="nil"/>
                <w:left w:val="nil"/>
                <w:bottom w:val="nil"/>
                <w:right w:val="nil"/>
                <w:between w:val="nil"/>
              </w:pBdr>
            </w:pPr>
            <w:r>
              <w:t xml:space="preserve">The </w:t>
            </w:r>
            <w:proofErr w:type="spellStart"/>
            <w:r>
              <w:t>BoD</w:t>
            </w:r>
            <w:proofErr w:type="spellEnd"/>
            <w:r>
              <w:t xml:space="preserve"> will hire a </w:t>
            </w:r>
            <w:r w:rsidRPr="006315B9">
              <w:rPr>
                <w:i/>
                <w:iCs/>
              </w:rPr>
              <w:t>Network Manager</w:t>
            </w:r>
            <w:r w:rsidR="002F74EC">
              <w:rPr>
                <w:i/>
                <w:iCs/>
              </w:rPr>
              <w:t xml:space="preserve"> </w:t>
            </w:r>
            <w:r w:rsidR="002F74EC">
              <w:t xml:space="preserve">who will report to the </w:t>
            </w:r>
            <w:proofErr w:type="spellStart"/>
            <w:r w:rsidR="002F74EC">
              <w:t>BoD</w:t>
            </w:r>
            <w:proofErr w:type="spellEnd"/>
            <w:r w:rsidR="002F74EC">
              <w:t xml:space="preserve"> </w:t>
            </w:r>
            <w:r w:rsidR="00E0669C">
              <w:t xml:space="preserve">and </w:t>
            </w:r>
            <w:proofErr w:type="gramStart"/>
            <w:r w:rsidR="00E0669C">
              <w:t xml:space="preserve">will </w:t>
            </w:r>
            <w:r w:rsidR="002F74EC">
              <w:t xml:space="preserve"> be</w:t>
            </w:r>
            <w:proofErr w:type="gramEnd"/>
            <w:r w:rsidR="002F74EC">
              <w:t xml:space="preserve"> responsible for activities such as</w:t>
            </w:r>
            <w:r>
              <w:t xml:space="preserve">: </w:t>
            </w:r>
          </w:p>
          <w:p w14:paraId="5403EEFE" w14:textId="77777777" w:rsidR="006315B9" w:rsidRDefault="006315B9" w:rsidP="006315B9">
            <w:pPr>
              <w:widowControl w:val="0"/>
              <w:numPr>
                <w:ilvl w:val="0"/>
                <w:numId w:val="15"/>
              </w:numPr>
              <w:pBdr>
                <w:top w:val="nil"/>
                <w:left w:val="nil"/>
                <w:bottom w:val="nil"/>
                <w:right w:val="nil"/>
                <w:between w:val="nil"/>
              </w:pBdr>
            </w:pPr>
            <w:r>
              <w:t>Financial Accounting</w:t>
            </w:r>
          </w:p>
          <w:p w14:paraId="35F472B2" w14:textId="77777777" w:rsidR="006315B9" w:rsidRDefault="006315B9" w:rsidP="006315B9">
            <w:pPr>
              <w:widowControl w:val="0"/>
              <w:numPr>
                <w:ilvl w:val="0"/>
                <w:numId w:val="15"/>
              </w:numPr>
              <w:pBdr>
                <w:top w:val="nil"/>
                <w:left w:val="nil"/>
                <w:bottom w:val="nil"/>
                <w:right w:val="nil"/>
                <w:between w:val="nil"/>
              </w:pBdr>
            </w:pPr>
            <w:r>
              <w:t>Legal</w:t>
            </w:r>
          </w:p>
          <w:p w14:paraId="7DE0EA21" w14:textId="77777777" w:rsidR="006315B9" w:rsidRDefault="006315B9" w:rsidP="006315B9">
            <w:pPr>
              <w:widowControl w:val="0"/>
              <w:numPr>
                <w:ilvl w:val="0"/>
                <w:numId w:val="15"/>
              </w:numPr>
              <w:pBdr>
                <w:top w:val="nil"/>
                <w:left w:val="nil"/>
                <w:bottom w:val="nil"/>
                <w:right w:val="nil"/>
                <w:between w:val="nil"/>
              </w:pBdr>
            </w:pPr>
            <w:r>
              <w:t>Public Communications</w:t>
            </w:r>
          </w:p>
          <w:p w14:paraId="14DE7688" w14:textId="77777777" w:rsidR="006315B9" w:rsidRDefault="006315B9" w:rsidP="006315B9">
            <w:pPr>
              <w:widowControl w:val="0"/>
              <w:numPr>
                <w:ilvl w:val="0"/>
                <w:numId w:val="15"/>
              </w:numPr>
              <w:pBdr>
                <w:top w:val="nil"/>
                <w:left w:val="nil"/>
                <w:bottom w:val="nil"/>
                <w:right w:val="nil"/>
                <w:between w:val="nil"/>
              </w:pBdr>
            </w:pPr>
            <w:r>
              <w:t>Administrative</w:t>
            </w:r>
          </w:p>
          <w:p w14:paraId="093B768B" w14:textId="20FEE288" w:rsidR="006315B9" w:rsidRDefault="006315B9" w:rsidP="006315B9">
            <w:pPr>
              <w:widowControl w:val="0"/>
              <w:numPr>
                <w:ilvl w:val="0"/>
                <w:numId w:val="15"/>
              </w:numPr>
              <w:pBdr>
                <w:top w:val="nil"/>
                <w:left w:val="nil"/>
                <w:bottom w:val="nil"/>
                <w:right w:val="nil"/>
                <w:between w:val="nil"/>
              </w:pBdr>
            </w:pPr>
            <w:r>
              <w:t>Membership Management</w:t>
            </w:r>
          </w:p>
          <w:p w14:paraId="6D453FF7" w14:textId="0CD08BEC" w:rsidR="002F74EC" w:rsidRDefault="002F74EC" w:rsidP="002F74EC">
            <w:pPr>
              <w:widowControl w:val="0"/>
              <w:pBdr>
                <w:top w:val="nil"/>
                <w:left w:val="nil"/>
                <w:bottom w:val="nil"/>
                <w:right w:val="nil"/>
                <w:between w:val="nil"/>
              </w:pBdr>
            </w:pPr>
          </w:p>
          <w:p w14:paraId="37948340" w14:textId="48300BD4" w:rsidR="002F74EC" w:rsidRPr="002F74EC" w:rsidRDefault="002F74EC" w:rsidP="002F74EC">
            <w:pPr>
              <w:widowControl w:val="0"/>
              <w:pBdr>
                <w:top w:val="nil"/>
                <w:left w:val="nil"/>
                <w:bottom w:val="nil"/>
                <w:right w:val="nil"/>
                <w:between w:val="nil"/>
              </w:pBdr>
            </w:pPr>
            <w:r>
              <w:t xml:space="preserve">The </w:t>
            </w:r>
            <w:proofErr w:type="spellStart"/>
            <w:r>
              <w:t>BoD</w:t>
            </w:r>
            <w:proofErr w:type="spellEnd"/>
            <w:r>
              <w:t xml:space="preserve"> will appoint a representative of the </w:t>
            </w:r>
            <w:r w:rsidRPr="002F74EC">
              <w:rPr>
                <w:i/>
                <w:iCs/>
              </w:rPr>
              <w:t>Network</w:t>
            </w:r>
            <w:r>
              <w:t xml:space="preserve"> to serve on the Sovrin Board of Trustees.</w:t>
            </w:r>
          </w:p>
          <w:p w14:paraId="48A61630" w14:textId="77777777" w:rsidR="002F74EC" w:rsidRDefault="002F74EC" w:rsidP="002F74EC">
            <w:pPr>
              <w:widowControl w:val="0"/>
              <w:pBdr>
                <w:top w:val="nil"/>
                <w:left w:val="nil"/>
                <w:bottom w:val="nil"/>
                <w:right w:val="nil"/>
                <w:between w:val="nil"/>
              </w:pBdr>
            </w:pPr>
          </w:p>
          <w:p w14:paraId="5017858A" w14:textId="3115FA13" w:rsidR="002F74EC" w:rsidRDefault="002F74EC" w:rsidP="002F74EC">
            <w:pPr>
              <w:widowControl w:val="0"/>
              <w:pBdr>
                <w:top w:val="nil"/>
                <w:left w:val="nil"/>
                <w:bottom w:val="nil"/>
                <w:right w:val="nil"/>
                <w:between w:val="nil"/>
              </w:pBdr>
            </w:pPr>
            <w:r>
              <w:t xml:space="preserve">The </w:t>
            </w:r>
            <w:proofErr w:type="spellStart"/>
            <w:r>
              <w:t>BoD</w:t>
            </w:r>
            <w:proofErr w:type="spellEnd"/>
            <w:r>
              <w:t xml:space="preserve"> will hire a </w:t>
            </w:r>
            <w:r w:rsidRPr="006315B9">
              <w:rPr>
                <w:i/>
                <w:iCs/>
              </w:rPr>
              <w:t xml:space="preserve">Network </w:t>
            </w:r>
            <w:r>
              <w:rPr>
                <w:i/>
                <w:iCs/>
              </w:rPr>
              <w:t xml:space="preserve">Architect </w:t>
            </w:r>
            <w:r w:rsidR="0013452E" w:rsidRPr="0013452E">
              <w:t>who</w:t>
            </w:r>
            <w:r w:rsidR="0013452E">
              <w:rPr>
                <w:i/>
                <w:iCs/>
              </w:rPr>
              <w:t xml:space="preserve"> </w:t>
            </w:r>
            <w:r w:rsidR="0013452E">
              <w:t xml:space="preserve">will </w:t>
            </w:r>
            <w:r>
              <w:t>be responsible for interfacing with the Sovrin Foundation for activities such as:</w:t>
            </w:r>
          </w:p>
          <w:p w14:paraId="48A63B96" w14:textId="77777777" w:rsidR="002F74EC" w:rsidRDefault="002F74EC" w:rsidP="002F74EC">
            <w:pPr>
              <w:widowControl w:val="0"/>
              <w:numPr>
                <w:ilvl w:val="0"/>
                <w:numId w:val="16"/>
              </w:numPr>
              <w:pBdr>
                <w:top w:val="nil"/>
                <w:left w:val="nil"/>
                <w:bottom w:val="nil"/>
                <w:right w:val="nil"/>
                <w:between w:val="nil"/>
              </w:pBdr>
            </w:pPr>
            <w:r>
              <w:t>Technical Strategy &amp; Architecture</w:t>
            </w:r>
          </w:p>
          <w:p w14:paraId="4C9EE7F1" w14:textId="77777777" w:rsidR="002E3E88" w:rsidRDefault="002F74EC" w:rsidP="006315B9">
            <w:pPr>
              <w:widowControl w:val="0"/>
              <w:numPr>
                <w:ilvl w:val="0"/>
                <w:numId w:val="16"/>
              </w:numPr>
              <w:pBdr>
                <w:top w:val="nil"/>
                <w:left w:val="nil"/>
                <w:bottom w:val="nil"/>
                <w:right w:val="nil"/>
                <w:between w:val="nil"/>
              </w:pBdr>
            </w:pPr>
            <w:r>
              <w:t xml:space="preserve">Build and Test </w:t>
            </w:r>
          </w:p>
          <w:p w14:paraId="582878F0" w14:textId="1D0E6755" w:rsidR="004278E6" w:rsidRDefault="004278E6" w:rsidP="004278E6">
            <w:pPr>
              <w:widowControl w:val="0"/>
              <w:pBdr>
                <w:top w:val="nil"/>
                <w:left w:val="nil"/>
                <w:bottom w:val="nil"/>
                <w:right w:val="nil"/>
                <w:between w:val="nil"/>
              </w:pBdr>
              <w:ind w:left="720"/>
            </w:pPr>
          </w:p>
        </w:tc>
      </w:tr>
    </w:tbl>
    <w:p w14:paraId="149429F7" w14:textId="77777777" w:rsidR="00676FB6" w:rsidRPr="00676FB6" w:rsidRDefault="00676FB6" w:rsidP="00676FB6"/>
    <w:p w14:paraId="67527CA7" w14:textId="23A5440B" w:rsidR="008978B0" w:rsidRDefault="008978B0" w:rsidP="008978B0">
      <w:pPr>
        <w:pStyle w:val="Heading2"/>
      </w:pPr>
      <w:r>
        <w:t>Inhibitors to Success</w:t>
      </w:r>
    </w:p>
    <w:p w14:paraId="431587F3" w14:textId="3D4A9B87" w:rsidR="008978B0" w:rsidRDefault="008978B0" w:rsidP="008978B0">
      <w:pPr>
        <w:pStyle w:val="ListParagraph"/>
        <w:numPr>
          <w:ilvl w:val="0"/>
          <w:numId w:val="18"/>
        </w:numPr>
      </w:pPr>
      <w:r>
        <w:t xml:space="preserve">Sovrin Foundation Support </w:t>
      </w:r>
      <w:r w:rsidRPr="008978B0">
        <w:rPr>
          <w:i/>
          <w:iCs/>
        </w:rPr>
        <w:t xml:space="preserve">(only pertinent to Option </w:t>
      </w:r>
      <w:r>
        <w:rPr>
          <w:i/>
          <w:iCs/>
        </w:rPr>
        <w:t>2</w:t>
      </w:r>
      <w:r w:rsidRPr="008978B0">
        <w:rPr>
          <w:i/>
          <w:iCs/>
        </w:rPr>
        <w:t>)</w:t>
      </w:r>
      <w:r>
        <w:t>.</w:t>
      </w:r>
    </w:p>
    <w:p w14:paraId="723D6740" w14:textId="758FFBB8" w:rsidR="008978B0" w:rsidRDefault="008978B0" w:rsidP="008978B0">
      <w:pPr>
        <w:pStyle w:val="ListParagraph"/>
        <w:numPr>
          <w:ilvl w:val="0"/>
          <w:numId w:val="18"/>
        </w:numPr>
      </w:pPr>
      <w:r>
        <w:t>Minimum Viable Consortium (</w:t>
      </w:r>
      <w:proofErr w:type="spellStart"/>
      <w:r>
        <w:t>nn</w:t>
      </w:r>
      <w:proofErr w:type="spellEnd"/>
      <w:r>
        <w:t xml:space="preserve"> Founding Members) needed to cover O&amp;M expenses</w:t>
      </w:r>
      <w:r w:rsidR="0013452E">
        <w:t>.</w:t>
      </w:r>
    </w:p>
    <w:p w14:paraId="1FDC299B" w14:textId="2FB8BCE1" w:rsidR="008978B0" w:rsidRDefault="008978B0" w:rsidP="008978B0">
      <w:pPr>
        <w:pStyle w:val="ListParagraph"/>
        <w:numPr>
          <w:ilvl w:val="0"/>
          <w:numId w:val="18"/>
        </w:numPr>
      </w:pPr>
      <w:r>
        <w:t>Open source implementation for DDNR</w:t>
      </w:r>
      <w:r w:rsidR="0013452E">
        <w:t>.</w:t>
      </w:r>
    </w:p>
    <w:p w14:paraId="497230BE" w14:textId="083A3D34" w:rsidR="00BD075B" w:rsidRDefault="00BD075B" w:rsidP="008978B0">
      <w:pPr>
        <w:pStyle w:val="ListParagraph"/>
        <w:numPr>
          <w:ilvl w:val="0"/>
          <w:numId w:val="18"/>
        </w:numPr>
      </w:pPr>
      <w:r>
        <w:br w:type="page"/>
      </w:r>
    </w:p>
    <w:p w14:paraId="78C3B57D" w14:textId="62152BF6" w:rsidR="00676FB6" w:rsidRDefault="00BD075B" w:rsidP="00BD075B">
      <w:pPr>
        <w:pStyle w:val="Heading1"/>
      </w:pPr>
      <w:r>
        <w:lastRenderedPageBreak/>
        <w:t xml:space="preserve">Attachment A: </w:t>
      </w:r>
      <w:r w:rsidR="00E3770A">
        <w:t>Governance Framework</w:t>
      </w:r>
    </w:p>
    <w:p w14:paraId="61446FFB" w14:textId="1988D471" w:rsidR="00E3770A" w:rsidRDefault="00E3770A" w:rsidP="00E3770A"/>
    <w:p w14:paraId="75A35149" w14:textId="77777777" w:rsidR="00660E35" w:rsidRDefault="008978B0" w:rsidP="00E3770A">
      <w:r>
        <w:t xml:space="preserve">Given the degree of work performed to date within the Sovrin Foundation in support of two market segments, the </w:t>
      </w:r>
      <w:r w:rsidRPr="00583BD3">
        <w:rPr>
          <w:i/>
          <w:iCs/>
          <w:u w:val="single"/>
        </w:rPr>
        <w:t>creation of a new governance framework</w:t>
      </w:r>
      <w:r>
        <w:t xml:space="preserve"> primarily focused on just one of the market segments should begin with the pruning and refining of </w:t>
      </w:r>
      <w:r w:rsidR="00660E35">
        <w:t>templates from Version 2 of the Sovrin Governance Framework.</w:t>
      </w:r>
    </w:p>
    <w:p w14:paraId="743A968C" w14:textId="77777777" w:rsidR="00660E35" w:rsidRDefault="00660E35" w:rsidP="00E3770A"/>
    <w:tbl>
      <w:tblPr>
        <w:tblStyle w:val="TableGrid"/>
        <w:tblW w:w="0" w:type="auto"/>
        <w:tblLook w:val="04A0" w:firstRow="1" w:lastRow="0" w:firstColumn="1" w:lastColumn="0" w:noHBand="0" w:noVBand="1"/>
      </w:tblPr>
      <w:tblGrid>
        <w:gridCol w:w="3685"/>
        <w:gridCol w:w="5665"/>
      </w:tblGrid>
      <w:tr w:rsidR="00660E35" w14:paraId="677FE637" w14:textId="77777777" w:rsidTr="00660E35">
        <w:tc>
          <w:tcPr>
            <w:tcW w:w="3685" w:type="dxa"/>
            <w:shd w:val="clear" w:color="auto" w:fill="8EAADB" w:themeFill="accent1" w:themeFillTint="99"/>
          </w:tcPr>
          <w:p w14:paraId="06AE7E9C" w14:textId="0E5E9BF2" w:rsidR="00660E35" w:rsidRPr="00005CD6" w:rsidRDefault="00660E35" w:rsidP="00603A22">
            <w:pPr>
              <w:jc w:val="center"/>
              <w:rPr>
                <w:b/>
                <w:bCs/>
              </w:rPr>
            </w:pPr>
            <w:r>
              <w:rPr>
                <w:b/>
                <w:bCs/>
              </w:rPr>
              <w:t>Template</w:t>
            </w:r>
          </w:p>
        </w:tc>
        <w:tc>
          <w:tcPr>
            <w:tcW w:w="5665" w:type="dxa"/>
            <w:shd w:val="clear" w:color="auto" w:fill="8EAADB" w:themeFill="accent1" w:themeFillTint="99"/>
          </w:tcPr>
          <w:p w14:paraId="6F3BE2FD" w14:textId="5C09C548" w:rsidR="00660E35" w:rsidRPr="00005CD6" w:rsidRDefault="00660E35" w:rsidP="00603A22">
            <w:pPr>
              <w:jc w:val="center"/>
              <w:rPr>
                <w:b/>
                <w:bCs/>
              </w:rPr>
            </w:pPr>
            <w:r>
              <w:rPr>
                <w:b/>
                <w:bCs/>
              </w:rPr>
              <w:t>Suggested Action</w:t>
            </w:r>
          </w:p>
        </w:tc>
      </w:tr>
      <w:tr w:rsidR="00660E35" w14:paraId="7AD9F742" w14:textId="77777777" w:rsidTr="00660E35">
        <w:tc>
          <w:tcPr>
            <w:tcW w:w="3685" w:type="dxa"/>
          </w:tcPr>
          <w:p w14:paraId="30AFB1CF" w14:textId="3B71ED2F" w:rsidR="00660E35" w:rsidRDefault="00660E35" w:rsidP="00603A22">
            <w:r>
              <w:t>Sovrin Governance Framework Master Document</w:t>
            </w:r>
          </w:p>
        </w:tc>
        <w:tc>
          <w:tcPr>
            <w:tcW w:w="5665" w:type="dxa"/>
          </w:tcPr>
          <w:p w14:paraId="5F452644" w14:textId="4243B01F" w:rsidR="00660E35" w:rsidRPr="004278E6" w:rsidRDefault="00660E35" w:rsidP="00603A22">
            <w:pPr>
              <w:rPr>
                <w:i/>
                <w:iCs/>
              </w:rPr>
            </w:pPr>
            <w:r w:rsidRPr="004278E6">
              <w:rPr>
                <w:i/>
                <w:iCs/>
              </w:rPr>
              <w:t>Review and update scope, core principles, and core policies.</w:t>
            </w:r>
          </w:p>
        </w:tc>
      </w:tr>
      <w:tr w:rsidR="00660E35" w14:paraId="10D07C6C" w14:textId="77777777" w:rsidTr="00660E35">
        <w:tc>
          <w:tcPr>
            <w:tcW w:w="3685" w:type="dxa"/>
          </w:tcPr>
          <w:p w14:paraId="1EBE0025" w14:textId="2BC85FF4" w:rsidR="00660E35" w:rsidRDefault="00660E35" w:rsidP="00603A22">
            <w:r>
              <w:t>Sovrin Glossary</w:t>
            </w:r>
          </w:p>
        </w:tc>
        <w:tc>
          <w:tcPr>
            <w:tcW w:w="5665" w:type="dxa"/>
          </w:tcPr>
          <w:p w14:paraId="7A1849B4" w14:textId="5815C2A3" w:rsidR="00660E35" w:rsidRPr="004278E6" w:rsidRDefault="00122B94" w:rsidP="00603A22">
            <w:pPr>
              <w:rPr>
                <w:i/>
                <w:iCs/>
              </w:rPr>
            </w:pPr>
            <w:r w:rsidRPr="004278E6">
              <w:rPr>
                <w:i/>
                <w:iCs/>
              </w:rPr>
              <w:t>Work with Sovrin to separate terms from Appendices.</w:t>
            </w:r>
            <w:r w:rsidR="00660E35" w:rsidRPr="004278E6">
              <w:rPr>
                <w:i/>
                <w:iCs/>
              </w:rPr>
              <w:t xml:space="preserve">  </w:t>
            </w:r>
          </w:p>
        </w:tc>
      </w:tr>
      <w:tr w:rsidR="00660E35" w14:paraId="0854E22E" w14:textId="77777777" w:rsidTr="00660E35">
        <w:tc>
          <w:tcPr>
            <w:tcW w:w="3685" w:type="dxa"/>
          </w:tcPr>
          <w:p w14:paraId="01563279" w14:textId="1A3BAFCE" w:rsidR="00660E35" w:rsidRDefault="00122B94" w:rsidP="00603A22">
            <w:r>
              <w:t>Sovrin Trust Assurance Framework</w:t>
            </w:r>
          </w:p>
        </w:tc>
        <w:tc>
          <w:tcPr>
            <w:tcW w:w="5665" w:type="dxa"/>
          </w:tcPr>
          <w:p w14:paraId="62DB0B7F" w14:textId="74CE68AD" w:rsidR="00660E35" w:rsidRPr="004278E6" w:rsidRDefault="00BB1B9F" w:rsidP="00603A22">
            <w:pPr>
              <w:rPr>
                <w:i/>
                <w:iCs/>
              </w:rPr>
            </w:pPr>
            <w:r w:rsidRPr="004278E6">
              <w:rPr>
                <w:i/>
                <w:iCs/>
              </w:rPr>
              <w:t>Review conformance of actors to polices.</w:t>
            </w:r>
          </w:p>
        </w:tc>
      </w:tr>
      <w:tr w:rsidR="00660E35" w14:paraId="4998BA69" w14:textId="77777777" w:rsidTr="00660E35">
        <w:tc>
          <w:tcPr>
            <w:tcW w:w="3685" w:type="dxa"/>
          </w:tcPr>
          <w:p w14:paraId="12813D00" w14:textId="7505413C" w:rsidR="00660E35" w:rsidRDefault="00BB1B9F" w:rsidP="00603A22">
            <w:r>
              <w:t>Sovrin Steward Agreement</w:t>
            </w:r>
          </w:p>
        </w:tc>
        <w:tc>
          <w:tcPr>
            <w:tcW w:w="5665" w:type="dxa"/>
          </w:tcPr>
          <w:p w14:paraId="030DF5BB" w14:textId="3F9EDA01" w:rsidR="00660E35" w:rsidRPr="004278E6" w:rsidRDefault="00BB1B9F" w:rsidP="00603A22">
            <w:pPr>
              <w:rPr>
                <w:i/>
                <w:iCs/>
              </w:rPr>
            </w:pPr>
            <w:r w:rsidRPr="004278E6">
              <w:rPr>
                <w:i/>
                <w:iCs/>
              </w:rPr>
              <w:t>Review and update contractual instrument.</w:t>
            </w:r>
          </w:p>
        </w:tc>
      </w:tr>
      <w:tr w:rsidR="00BB1B9F" w14:paraId="476001E3" w14:textId="77777777" w:rsidTr="00660E35">
        <w:tc>
          <w:tcPr>
            <w:tcW w:w="3685" w:type="dxa"/>
          </w:tcPr>
          <w:p w14:paraId="6F5E2C06" w14:textId="3E8C2F17" w:rsidR="00BB1B9F" w:rsidRDefault="00BB1B9F" w:rsidP="00603A22">
            <w:r>
              <w:t>Transaction Author Agreement</w:t>
            </w:r>
          </w:p>
        </w:tc>
        <w:tc>
          <w:tcPr>
            <w:tcW w:w="5665" w:type="dxa"/>
          </w:tcPr>
          <w:p w14:paraId="0ACBCC0F" w14:textId="7D45FB72" w:rsidR="00BB1B9F" w:rsidRPr="004278E6" w:rsidRDefault="00BB1B9F" w:rsidP="00603A22">
            <w:pPr>
              <w:rPr>
                <w:i/>
                <w:iCs/>
              </w:rPr>
            </w:pPr>
            <w:r w:rsidRPr="004278E6">
              <w:rPr>
                <w:i/>
                <w:iCs/>
              </w:rPr>
              <w:t>Evaluate necessity/applicability. Review/Update if required.</w:t>
            </w:r>
          </w:p>
        </w:tc>
      </w:tr>
      <w:tr w:rsidR="00BB1B9F" w14:paraId="18D458C6" w14:textId="77777777" w:rsidTr="00660E35">
        <w:tc>
          <w:tcPr>
            <w:tcW w:w="3685" w:type="dxa"/>
          </w:tcPr>
          <w:p w14:paraId="722F2AF2" w14:textId="5065ED0B" w:rsidR="00BB1B9F" w:rsidRDefault="00583BD3" w:rsidP="00603A22">
            <w:r>
              <w:t>Transaction Endorser Agreement</w:t>
            </w:r>
          </w:p>
        </w:tc>
        <w:tc>
          <w:tcPr>
            <w:tcW w:w="5665" w:type="dxa"/>
          </w:tcPr>
          <w:p w14:paraId="168F76FC" w14:textId="00BB1FE1" w:rsidR="00BB1B9F" w:rsidRPr="004278E6" w:rsidRDefault="00583BD3" w:rsidP="00603A22">
            <w:pPr>
              <w:rPr>
                <w:i/>
                <w:iCs/>
              </w:rPr>
            </w:pPr>
            <w:r w:rsidRPr="004278E6">
              <w:rPr>
                <w:i/>
                <w:iCs/>
              </w:rPr>
              <w:t>Review and update contractual instrument for use with Trust Anchors.</w:t>
            </w:r>
          </w:p>
        </w:tc>
      </w:tr>
      <w:tr w:rsidR="00BB1B9F" w14:paraId="3C6C24E2" w14:textId="77777777" w:rsidTr="00660E35">
        <w:tc>
          <w:tcPr>
            <w:tcW w:w="3685" w:type="dxa"/>
          </w:tcPr>
          <w:p w14:paraId="35993EDB" w14:textId="1E155DD7" w:rsidR="00BB1B9F" w:rsidRDefault="00583BD3" w:rsidP="00603A22">
            <w:r>
              <w:t>Sovrin Governing Body Policies</w:t>
            </w:r>
          </w:p>
        </w:tc>
        <w:tc>
          <w:tcPr>
            <w:tcW w:w="5665" w:type="dxa"/>
          </w:tcPr>
          <w:p w14:paraId="530D330C" w14:textId="24F4D9C2" w:rsidR="00BB1B9F" w:rsidRPr="004278E6" w:rsidRDefault="00583BD3" w:rsidP="00603A22">
            <w:pPr>
              <w:rPr>
                <w:i/>
                <w:iCs/>
              </w:rPr>
            </w:pPr>
            <w:r w:rsidRPr="004278E6">
              <w:rPr>
                <w:i/>
                <w:iCs/>
              </w:rPr>
              <w:t>Review and update control document. Propose suggestions to Sovrin Foundation.</w:t>
            </w:r>
          </w:p>
        </w:tc>
      </w:tr>
      <w:tr w:rsidR="00583BD3" w14:paraId="3FC29848" w14:textId="77777777" w:rsidTr="00660E35">
        <w:tc>
          <w:tcPr>
            <w:tcW w:w="3685" w:type="dxa"/>
          </w:tcPr>
          <w:p w14:paraId="29174B00" w14:textId="1F74186D" w:rsidR="00583BD3" w:rsidRDefault="00583BD3" w:rsidP="00603A22">
            <w:r>
              <w:t>Sovrin Ledger Access Policies</w:t>
            </w:r>
          </w:p>
        </w:tc>
        <w:tc>
          <w:tcPr>
            <w:tcW w:w="5665" w:type="dxa"/>
          </w:tcPr>
          <w:p w14:paraId="7DA50BCC" w14:textId="1208FFB1" w:rsidR="00583BD3" w:rsidRPr="004278E6" w:rsidRDefault="00583BD3" w:rsidP="00603A22">
            <w:pPr>
              <w:rPr>
                <w:i/>
                <w:iCs/>
              </w:rPr>
            </w:pPr>
            <w:r w:rsidRPr="004278E6">
              <w:rPr>
                <w:i/>
                <w:iCs/>
              </w:rPr>
              <w:t xml:space="preserve">Review and update control document. </w:t>
            </w:r>
          </w:p>
        </w:tc>
      </w:tr>
      <w:tr w:rsidR="00583BD3" w14:paraId="28B98A5E" w14:textId="77777777" w:rsidTr="00660E35">
        <w:tc>
          <w:tcPr>
            <w:tcW w:w="3685" w:type="dxa"/>
          </w:tcPr>
          <w:p w14:paraId="4E29B505" w14:textId="44D14604" w:rsidR="00583BD3" w:rsidRDefault="00583BD3" w:rsidP="00603A22">
            <w:r>
              <w:t>Sovrin Steward Business Policies</w:t>
            </w:r>
          </w:p>
        </w:tc>
        <w:tc>
          <w:tcPr>
            <w:tcW w:w="5665" w:type="dxa"/>
          </w:tcPr>
          <w:p w14:paraId="31125E54" w14:textId="7B512032" w:rsidR="00583BD3" w:rsidRPr="004278E6" w:rsidRDefault="00583BD3" w:rsidP="00603A22">
            <w:pPr>
              <w:rPr>
                <w:i/>
                <w:iCs/>
              </w:rPr>
            </w:pPr>
            <w:r w:rsidRPr="004278E6">
              <w:rPr>
                <w:i/>
                <w:iCs/>
              </w:rPr>
              <w:t>Review and update control document.</w:t>
            </w:r>
          </w:p>
        </w:tc>
      </w:tr>
      <w:tr w:rsidR="00583BD3" w14:paraId="56CD941C" w14:textId="77777777" w:rsidTr="00660E35">
        <w:tc>
          <w:tcPr>
            <w:tcW w:w="3685" w:type="dxa"/>
          </w:tcPr>
          <w:p w14:paraId="40932303" w14:textId="2FA3E263" w:rsidR="00583BD3" w:rsidRDefault="00583BD3" w:rsidP="00603A22">
            <w:r>
              <w:t>Sovrin Steward Technical Policies</w:t>
            </w:r>
          </w:p>
        </w:tc>
        <w:tc>
          <w:tcPr>
            <w:tcW w:w="5665" w:type="dxa"/>
          </w:tcPr>
          <w:p w14:paraId="67B2F0D2" w14:textId="724D1419" w:rsidR="00583BD3" w:rsidRPr="004278E6" w:rsidRDefault="00583BD3" w:rsidP="00603A22">
            <w:pPr>
              <w:rPr>
                <w:i/>
                <w:iCs/>
              </w:rPr>
            </w:pPr>
            <w:r w:rsidRPr="004278E6">
              <w:rPr>
                <w:i/>
                <w:iCs/>
              </w:rPr>
              <w:t>Review and update control document.</w:t>
            </w:r>
          </w:p>
        </w:tc>
      </w:tr>
      <w:tr w:rsidR="00583BD3" w14:paraId="587A632D" w14:textId="77777777" w:rsidTr="00660E35">
        <w:tc>
          <w:tcPr>
            <w:tcW w:w="3685" w:type="dxa"/>
          </w:tcPr>
          <w:p w14:paraId="7A98BEE8" w14:textId="5D678645" w:rsidR="00583BD3" w:rsidRDefault="00583BD3" w:rsidP="00603A22">
            <w:r>
              <w:t>Sovrin Economic Policies</w:t>
            </w:r>
          </w:p>
        </w:tc>
        <w:tc>
          <w:tcPr>
            <w:tcW w:w="5665" w:type="dxa"/>
          </w:tcPr>
          <w:p w14:paraId="50E0BB33" w14:textId="69F590D8" w:rsidR="00583BD3" w:rsidRPr="004278E6" w:rsidRDefault="00583BD3" w:rsidP="00603A22">
            <w:pPr>
              <w:rPr>
                <w:i/>
                <w:iCs/>
              </w:rPr>
            </w:pPr>
            <w:r w:rsidRPr="004278E6">
              <w:rPr>
                <w:i/>
                <w:iCs/>
              </w:rPr>
              <w:t>Not required.</w:t>
            </w:r>
          </w:p>
        </w:tc>
      </w:tr>
      <w:tr w:rsidR="00583BD3" w14:paraId="6C94B1C1" w14:textId="77777777" w:rsidTr="00660E35">
        <w:tc>
          <w:tcPr>
            <w:tcW w:w="3685" w:type="dxa"/>
          </w:tcPr>
          <w:p w14:paraId="01F232DD" w14:textId="2C0DB456" w:rsidR="00583BD3" w:rsidRDefault="00583BD3" w:rsidP="00603A22">
            <w:r>
              <w:t>Sovrin Trust Mark Policies</w:t>
            </w:r>
          </w:p>
        </w:tc>
        <w:tc>
          <w:tcPr>
            <w:tcW w:w="5665" w:type="dxa"/>
          </w:tcPr>
          <w:p w14:paraId="43960042" w14:textId="1A4B7827" w:rsidR="00583BD3" w:rsidRPr="004278E6" w:rsidRDefault="00583BD3" w:rsidP="00603A22">
            <w:pPr>
              <w:rPr>
                <w:i/>
                <w:iCs/>
              </w:rPr>
            </w:pPr>
            <w:r w:rsidRPr="004278E6">
              <w:rPr>
                <w:i/>
                <w:iCs/>
              </w:rPr>
              <w:t>Review for consideration.</w:t>
            </w:r>
          </w:p>
        </w:tc>
      </w:tr>
      <w:tr w:rsidR="00583BD3" w14:paraId="53AB4786" w14:textId="77777777" w:rsidTr="00603A22">
        <w:tc>
          <w:tcPr>
            <w:tcW w:w="3685" w:type="dxa"/>
          </w:tcPr>
          <w:p w14:paraId="3AF7A518" w14:textId="77777777" w:rsidR="00583BD3" w:rsidRDefault="00583BD3" w:rsidP="00583BD3">
            <w:r>
              <w:t>Sovrin Steward Data Processing Addendum (DPA)</w:t>
            </w:r>
          </w:p>
          <w:p w14:paraId="76FAAE76" w14:textId="77777777" w:rsidR="00583BD3" w:rsidRDefault="00583BD3" w:rsidP="00603A22"/>
        </w:tc>
        <w:tc>
          <w:tcPr>
            <w:tcW w:w="5665" w:type="dxa"/>
          </w:tcPr>
          <w:p w14:paraId="0A03ED17" w14:textId="187F4529" w:rsidR="00583BD3" w:rsidRPr="004278E6" w:rsidRDefault="00583BD3" w:rsidP="00603A22">
            <w:pPr>
              <w:rPr>
                <w:i/>
                <w:iCs/>
              </w:rPr>
            </w:pPr>
            <w:r w:rsidRPr="004278E6">
              <w:rPr>
                <w:i/>
                <w:iCs/>
              </w:rPr>
              <w:t>Required. Review and update contractual instrument.</w:t>
            </w:r>
          </w:p>
        </w:tc>
      </w:tr>
      <w:tr w:rsidR="00583BD3" w14:paraId="05BF355C" w14:textId="77777777" w:rsidTr="00603A22">
        <w:tc>
          <w:tcPr>
            <w:tcW w:w="3685" w:type="dxa"/>
          </w:tcPr>
          <w:p w14:paraId="5A28BEC8" w14:textId="77777777" w:rsidR="00583BD3" w:rsidRDefault="00583BD3" w:rsidP="00583BD3">
            <w:r>
              <w:t>Sovrin Steward Technical and Organizational Measures (TOMs)</w:t>
            </w:r>
          </w:p>
          <w:p w14:paraId="6CE3B40C" w14:textId="77777777" w:rsidR="00583BD3" w:rsidRDefault="00583BD3" w:rsidP="00583BD3"/>
        </w:tc>
        <w:tc>
          <w:tcPr>
            <w:tcW w:w="5665" w:type="dxa"/>
          </w:tcPr>
          <w:p w14:paraId="767F1E6D" w14:textId="2523C473" w:rsidR="00583BD3" w:rsidRPr="004278E6" w:rsidRDefault="00583BD3" w:rsidP="00583BD3">
            <w:pPr>
              <w:rPr>
                <w:i/>
                <w:iCs/>
              </w:rPr>
            </w:pPr>
            <w:r w:rsidRPr="004278E6">
              <w:rPr>
                <w:i/>
                <w:iCs/>
              </w:rPr>
              <w:t>Required. Review and update contractual instrument. Consolidate with Steward Technical Policies.</w:t>
            </w:r>
          </w:p>
        </w:tc>
      </w:tr>
      <w:tr w:rsidR="00583BD3" w14:paraId="123C070F" w14:textId="77777777" w:rsidTr="00603A22">
        <w:tc>
          <w:tcPr>
            <w:tcW w:w="3685" w:type="dxa"/>
          </w:tcPr>
          <w:p w14:paraId="4CD19625" w14:textId="77777777" w:rsidR="00583BD3" w:rsidRDefault="00583BD3" w:rsidP="00583BD3">
            <w:r>
              <w:t>Sovrin Transaction Endorser DPA</w:t>
            </w:r>
          </w:p>
          <w:p w14:paraId="136EC458" w14:textId="77777777" w:rsidR="00583BD3" w:rsidRDefault="00583BD3" w:rsidP="00583BD3"/>
        </w:tc>
        <w:tc>
          <w:tcPr>
            <w:tcW w:w="5665" w:type="dxa"/>
          </w:tcPr>
          <w:p w14:paraId="1B6F271B" w14:textId="244FF8F7" w:rsidR="00583BD3" w:rsidRPr="004278E6" w:rsidRDefault="00583BD3" w:rsidP="00583BD3">
            <w:pPr>
              <w:rPr>
                <w:i/>
                <w:iCs/>
              </w:rPr>
            </w:pPr>
            <w:r w:rsidRPr="004278E6">
              <w:rPr>
                <w:i/>
                <w:iCs/>
              </w:rPr>
              <w:t>Required. Review and update contractual instrument.</w:t>
            </w:r>
          </w:p>
        </w:tc>
      </w:tr>
      <w:tr w:rsidR="00583BD3" w14:paraId="790524E3" w14:textId="77777777" w:rsidTr="00603A22">
        <w:tc>
          <w:tcPr>
            <w:tcW w:w="3685" w:type="dxa"/>
          </w:tcPr>
          <w:p w14:paraId="57F11647" w14:textId="77777777" w:rsidR="00583BD3" w:rsidRDefault="00583BD3" w:rsidP="00583BD3">
            <w:r>
              <w:t>Sovrin Transaction Endorser TOMs</w:t>
            </w:r>
          </w:p>
          <w:p w14:paraId="23E79288" w14:textId="77777777" w:rsidR="00583BD3" w:rsidRDefault="00583BD3" w:rsidP="00583BD3"/>
        </w:tc>
        <w:tc>
          <w:tcPr>
            <w:tcW w:w="5665" w:type="dxa"/>
          </w:tcPr>
          <w:p w14:paraId="05ED3B35" w14:textId="4BACF715" w:rsidR="00583BD3" w:rsidRPr="004278E6" w:rsidRDefault="00583BD3" w:rsidP="00583BD3">
            <w:pPr>
              <w:rPr>
                <w:i/>
                <w:iCs/>
              </w:rPr>
            </w:pPr>
            <w:r w:rsidRPr="004278E6">
              <w:rPr>
                <w:i/>
                <w:iCs/>
              </w:rPr>
              <w:t>Required. Review and update contractual instrument.</w:t>
            </w:r>
          </w:p>
        </w:tc>
      </w:tr>
    </w:tbl>
    <w:p w14:paraId="368CD4E1" w14:textId="559FF303" w:rsidR="00E3770A" w:rsidRDefault="00660E35" w:rsidP="00E3770A">
      <w:r>
        <w:t xml:space="preserve"> </w:t>
      </w:r>
      <w:r w:rsidR="008978B0">
        <w:t xml:space="preserve"> </w:t>
      </w:r>
    </w:p>
    <w:p w14:paraId="53CF87F1" w14:textId="77777777" w:rsidR="00E3770A" w:rsidRDefault="00E3770A" w:rsidP="00E3770A"/>
    <w:p w14:paraId="2C4C4DCA" w14:textId="77777777" w:rsidR="00E3770A" w:rsidRDefault="00E3770A" w:rsidP="00E3770A"/>
    <w:p w14:paraId="61E1FC10" w14:textId="77777777" w:rsidR="00676FB6" w:rsidRPr="00676FB6" w:rsidRDefault="00676FB6" w:rsidP="00676FB6"/>
    <w:sectPr w:rsidR="00676FB6" w:rsidRPr="00676FB6" w:rsidSect="00834C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BM Plex Mono">
    <w:panose1 w:val="020B0509050203000203"/>
    <w:charset w:val="4D"/>
    <w:family w:val="modern"/>
    <w:pitch w:val="fixed"/>
    <w:sig w:usb0="A000026F" w:usb1="5000207B"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D1606"/>
    <w:multiLevelType w:val="hybridMultilevel"/>
    <w:tmpl w:val="3182D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9C5E82"/>
    <w:multiLevelType w:val="hybridMultilevel"/>
    <w:tmpl w:val="D6121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2A55B3"/>
    <w:multiLevelType w:val="hybridMultilevel"/>
    <w:tmpl w:val="3182D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FD10BA"/>
    <w:multiLevelType w:val="multilevel"/>
    <w:tmpl w:val="FBBE421E"/>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4" w15:restartNumberingAfterBreak="0">
    <w:nsid w:val="3B097583"/>
    <w:multiLevelType w:val="multilevel"/>
    <w:tmpl w:val="FBBE4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2921E9A"/>
    <w:multiLevelType w:val="multilevel"/>
    <w:tmpl w:val="6360C1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49A1569"/>
    <w:multiLevelType w:val="hybridMultilevel"/>
    <w:tmpl w:val="488A6C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3E21F5"/>
    <w:multiLevelType w:val="multilevel"/>
    <w:tmpl w:val="FBBE4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DF27B15"/>
    <w:multiLevelType w:val="hybridMultilevel"/>
    <w:tmpl w:val="B628D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0D314B"/>
    <w:multiLevelType w:val="hybridMultilevel"/>
    <w:tmpl w:val="788CF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A73FD9"/>
    <w:multiLevelType w:val="hybridMultilevel"/>
    <w:tmpl w:val="488A6C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EE2036"/>
    <w:multiLevelType w:val="hybridMultilevel"/>
    <w:tmpl w:val="FD16C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A0732C"/>
    <w:multiLevelType w:val="multilevel"/>
    <w:tmpl w:val="78C23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DC5E4D"/>
    <w:multiLevelType w:val="multilevel"/>
    <w:tmpl w:val="FBBE4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3481900"/>
    <w:multiLevelType w:val="hybridMultilevel"/>
    <w:tmpl w:val="8BB87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4C1C75"/>
    <w:multiLevelType w:val="multilevel"/>
    <w:tmpl w:val="EC74AC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C385613"/>
    <w:multiLevelType w:val="multilevel"/>
    <w:tmpl w:val="CF1055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C54720C"/>
    <w:multiLevelType w:val="multilevel"/>
    <w:tmpl w:val="FBBE4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2"/>
  </w:num>
  <w:num w:numId="2">
    <w:abstractNumId w:val="8"/>
  </w:num>
  <w:num w:numId="3">
    <w:abstractNumId w:val="2"/>
  </w:num>
  <w:num w:numId="4">
    <w:abstractNumId w:val="9"/>
  </w:num>
  <w:num w:numId="5">
    <w:abstractNumId w:val="0"/>
  </w:num>
  <w:num w:numId="6">
    <w:abstractNumId w:val="1"/>
  </w:num>
  <w:num w:numId="7">
    <w:abstractNumId w:val="11"/>
  </w:num>
  <w:num w:numId="8">
    <w:abstractNumId w:val="14"/>
  </w:num>
  <w:num w:numId="9">
    <w:abstractNumId w:val="13"/>
  </w:num>
  <w:num w:numId="10">
    <w:abstractNumId w:val="16"/>
  </w:num>
  <w:num w:numId="11">
    <w:abstractNumId w:val="15"/>
  </w:num>
  <w:num w:numId="12">
    <w:abstractNumId w:val="5"/>
  </w:num>
  <w:num w:numId="13">
    <w:abstractNumId w:val="10"/>
  </w:num>
  <w:num w:numId="14">
    <w:abstractNumId w:val="6"/>
  </w:num>
  <w:num w:numId="15">
    <w:abstractNumId w:val="7"/>
  </w:num>
  <w:num w:numId="16">
    <w:abstractNumId w:val="17"/>
  </w:num>
  <w:num w:numId="17">
    <w:abstractNumId w:val="3"/>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747"/>
    <w:rsid w:val="00005CD6"/>
    <w:rsid w:val="000F152B"/>
    <w:rsid w:val="000F54C2"/>
    <w:rsid w:val="001118EF"/>
    <w:rsid w:val="00114267"/>
    <w:rsid w:val="00122B94"/>
    <w:rsid w:val="0013452E"/>
    <w:rsid w:val="001918F1"/>
    <w:rsid w:val="001C7D05"/>
    <w:rsid w:val="00206D75"/>
    <w:rsid w:val="002D2FBA"/>
    <w:rsid w:val="002E3E88"/>
    <w:rsid w:val="002F74EC"/>
    <w:rsid w:val="00306EC6"/>
    <w:rsid w:val="004278E6"/>
    <w:rsid w:val="00435C52"/>
    <w:rsid w:val="004678C6"/>
    <w:rsid w:val="00470543"/>
    <w:rsid w:val="004D770D"/>
    <w:rsid w:val="00505C97"/>
    <w:rsid w:val="00510F48"/>
    <w:rsid w:val="0056274F"/>
    <w:rsid w:val="00583BD3"/>
    <w:rsid w:val="005E7A31"/>
    <w:rsid w:val="005F06FD"/>
    <w:rsid w:val="006315B9"/>
    <w:rsid w:val="00660E35"/>
    <w:rsid w:val="00664149"/>
    <w:rsid w:val="00676FB6"/>
    <w:rsid w:val="006C4005"/>
    <w:rsid w:val="00746DAE"/>
    <w:rsid w:val="007616DD"/>
    <w:rsid w:val="0079363D"/>
    <w:rsid w:val="007A1D78"/>
    <w:rsid w:val="007B3C48"/>
    <w:rsid w:val="00834C63"/>
    <w:rsid w:val="00850514"/>
    <w:rsid w:val="008650B8"/>
    <w:rsid w:val="00866CFC"/>
    <w:rsid w:val="00897471"/>
    <w:rsid w:val="008978B0"/>
    <w:rsid w:val="008E1F93"/>
    <w:rsid w:val="008E6CD4"/>
    <w:rsid w:val="00961101"/>
    <w:rsid w:val="00977EDA"/>
    <w:rsid w:val="00990747"/>
    <w:rsid w:val="009B05ED"/>
    <w:rsid w:val="009F2BAA"/>
    <w:rsid w:val="00A01CAA"/>
    <w:rsid w:val="00A374B0"/>
    <w:rsid w:val="00A41C83"/>
    <w:rsid w:val="00A42E81"/>
    <w:rsid w:val="00A52827"/>
    <w:rsid w:val="00AA01F7"/>
    <w:rsid w:val="00AD7701"/>
    <w:rsid w:val="00AE21A9"/>
    <w:rsid w:val="00AF5421"/>
    <w:rsid w:val="00B176EA"/>
    <w:rsid w:val="00B36292"/>
    <w:rsid w:val="00B51855"/>
    <w:rsid w:val="00B66919"/>
    <w:rsid w:val="00BB1B9F"/>
    <w:rsid w:val="00BB77AE"/>
    <w:rsid w:val="00BC77AD"/>
    <w:rsid w:val="00BD075B"/>
    <w:rsid w:val="00BF4BDB"/>
    <w:rsid w:val="00BF4DD0"/>
    <w:rsid w:val="00C22A4F"/>
    <w:rsid w:val="00C42DCF"/>
    <w:rsid w:val="00C72D70"/>
    <w:rsid w:val="00C75448"/>
    <w:rsid w:val="00D1164B"/>
    <w:rsid w:val="00D23A6A"/>
    <w:rsid w:val="00D42A6C"/>
    <w:rsid w:val="00D54E1B"/>
    <w:rsid w:val="00DB2014"/>
    <w:rsid w:val="00DC2FEB"/>
    <w:rsid w:val="00DF15C8"/>
    <w:rsid w:val="00E0669C"/>
    <w:rsid w:val="00E3770A"/>
    <w:rsid w:val="00EF13F6"/>
    <w:rsid w:val="00F25B89"/>
    <w:rsid w:val="00F75B8B"/>
    <w:rsid w:val="00FA6459"/>
    <w:rsid w:val="00FB28DC"/>
    <w:rsid w:val="00FC5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FF4D91"/>
  <w15:chartTrackingRefBased/>
  <w15:docId w15:val="{666469F9-B5EE-F64B-A260-4631B7BDD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8C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78C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6EC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8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678C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06EC6"/>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206D75"/>
    <w:pPr>
      <w:ind w:left="720"/>
      <w:contextualSpacing/>
    </w:pPr>
  </w:style>
  <w:style w:type="table" w:styleId="TableGrid">
    <w:name w:val="Table Grid"/>
    <w:basedOn w:val="TableNormal"/>
    <w:uiPriority w:val="39"/>
    <w:rsid w:val="00676F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676FB6"/>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3">
    <w:name w:val="Grid Table 4 Accent 3"/>
    <w:basedOn w:val="TableNormal"/>
    <w:uiPriority w:val="49"/>
    <w:rsid w:val="00676FB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676FB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
    <w:name w:val="List Table 4"/>
    <w:basedOn w:val="TableNormal"/>
    <w:uiPriority w:val="49"/>
    <w:rsid w:val="00676FB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5Dark-Accent3">
    <w:name w:val="List Table 5 Dark Accent 3"/>
    <w:basedOn w:val="TableNormal"/>
    <w:uiPriority w:val="50"/>
    <w:rsid w:val="00676FB6"/>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PlainTable4">
    <w:name w:val="Plain Table 4"/>
    <w:basedOn w:val="TableNormal"/>
    <w:uiPriority w:val="44"/>
    <w:rsid w:val="00676FB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676FB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E3770A"/>
    <w:rPr>
      <w:color w:val="0563C1" w:themeColor="hyperlink"/>
      <w:u w:val="single"/>
    </w:rPr>
  </w:style>
  <w:style w:type="character" w:styleId="UnresolvedMention">
    <w:name w:val="Unresolved Mention"/>
    <w:basedOn w:val="DefaultParagraphFont"/>
    <w:uiPriority w:val="99"/>
    <w:semiHidden/>
    <w:unhideWhenUsed/>
    <w:rsid w:val="00E3770A"/>
    <w:rPr>
      <w:color w:val="605E5C"/>
      <w:shd w:val="clear" w:color="auto" w:fill="E1DFDD"/>
    </w:rPr>
  </w:style>
  <w:style w:type="paragraph" w:styleId="Caption">
    <w:name w:val="caption"/>
    <w:basedOn w:val="Normal"/>
    <w:next w:val="Normal"/>
    <w:uiPriority w:val="35"/>
    <w:unhideWhenUsed/>
    <w:qFormat/>
    <w:rsid w:val="007B3C48"/>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AF542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F542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551221">
      <w:bodyDiv w:val="1"/>
      <w:marLeft w:val="0"/>
      <w:marRight w:val="0"/>
      <w:marTop w:val="0"/>
      <w:marBottom w:val="0"/>
      <w:divBdr>
        <w:top w:val="none" w:sz="0" w:space="0" w:color="auto"/>
        <w:left w:val="none" w:sz="0" w:space="0" w:color="auto"/>
        <w:bottom w:val="none" w:sz="0" w:space="0" w:color="auto"/>
        <w:right w:val="none" w:sz="0" w:space="0" w:color="auto"/>
      </w:divBdr>
      <w:divsChild>
        <w:div w:id="475026009">
          <w:marLeft w:val="0"/>
          <w:marRight w:val="0"/>
          <w:marTop w:val="0"/>
          <w:marBottom w:val="0"/>
          <w:divBdr>
            <w:top w:val="none" w:sz="0" w:space="0" w:color="auto"/>
            <w:left w:val="none" w:sz="0" w:space="0" w:color="auto"/>
            <w:bottom w:val="none" w:sz="0" w:space="0" w:color="auto"/>
            <w:right w:val="none" w:sz="0" w:space="0" w:color="auto"/>
          </w:divBdr>
        </w:div>
        <w:div w:id="951591160">
          <w:marLeft w:val="0"/>
          <w:marRight w:val="0"/>
          <w:marTop w:val="0"/>
          <w:marBottom w:val="0"/>
          <w:divBdr>
            <w:top w:val="none" w:sz="0" w:space="0" w:color="auto"/>
            <w:left w:val="none" w:sz="0" w:space="0" w:color="auto"/>
            <w:bottom w:val="none" w:sz="0" w:space="0" w:color="auto"/>
            <w:right w:val="none" w:sz="0" w:space="0" w:color="auto"/>
          </w:divBdr>
        </w:div>
        <w:div w:id="1470711466">
          <w:marLeft w:val="0"/>
          <w:marRight w:val="0"/>
          <w:marTop w:val="0"/>
          <w:marBottom w:val="0"/>
          <w:divBdr>
            <w:top w:val="none" w:sz="0" w:space="0" w:color="auto"/>
            <w:left w:val="none" w:sz="0" w:space="0" w:color="auto"/>
            <w:bottom w:val="none" w:sz="0" w:space="0" w:color="auto"/>
            <w:right w:val="none" w:sz="0" w:space="0" w:color="auto"/>
          </w:divBdr>
        </w:div>
        <w:div w:id="2110537227">
          <w:marLeft w:val="0"/>
          <w:marRight w:val="0"/>
          <w:marTop w:val="0"/>
          <w:marBottom w:val="0"/>
          <w:divBdr>
            <w:top w:val="none" w:sz="0" w:space="0" w:color="auto"/>
            <w:left w:val="none" w:sz="0" w:space="0" w:color="auto"/>
            <w:bottom w:val="none" w:sz="0" w:space="0" w:color="auto"/>
            <w:right w:val="none" w:sz="0" w:space="0" w:color="auto"/>
          </w:divBdr>
        </w:div>
        <w:div w:id="1124693688">
          <w:marLeft w:val="0"/>
          <w:marRight w:val="0"/>
          <w:marTop w:val="0"/>
          <w:marBottom w:val="0"/>
          <w:divBdr>
            <w:top w:val="none" w:sz="0" w:space="0" w:color="auto"/>
            <w:left w:val="none" w:sz="0" w:space="0" w:color="auto"/>
            <w:bottom w:val="none" w:sz="0" w:space="0" w:color="auto"/>
            <w:right w:val="none" w:sz="0" w:space="0" w:color="auto"/>
          </w:divBdr>
        </w:div>
        <w:div w:id="526141010">
          <w:marLeft w:val="0"/>
          <w:marRight w:val="0"/>
          <w:marTop w:val="0"/>
          <w:marBottom w:val="0"/>
          <w:divBdr>
            <w:top w:val="none" w:sz="0" w:space="0" w:color="auto"/>
            <w:left w:val="none" w:sz="0" w:space="0" w:color="auto"/>
            <w:bottom w:val="none" w:sz="0" w:space="0" w:color="auto"/>
            <w:right w:val="none" w:sz="0" w:space="0" w:color="auto"/>
          </w:divBdr>
        </w:div>
        <w:div w:id="1126385945">
          <w:marLeft w:val="0"/>
          <w:marRight w:val="0"/>
          <w:marTop w:val="0"/>
          <w:marBottom w:val="0"/>
          <w:divBdr>
            <w:top w:val="none" w:sz="0" w:space="0" w:color="auto"/>
            <w:left w:val="none" w:sz="0" w:space="0" w:color="auto"/>
            <w:bottom w:val="none" w:sz="0" w:space="0" w:color="auto"/>
            <w:right w:val="none" w:sz="0" w:space="0" w:color="auto"/>
          </w:divBdr>
        </w:div>
      </w:divsChild>
    </w:div>
    <w:div w:id="539439520">
      <w:bodyDiv w:val="1"/>
      <w:marLeft w:val="0"/>
      <w:marRight w:val="0"/>
      <w:marTop w:val="0"/>
      <w:marBottom w:val="0"/>
      <w:divBdr>
        <w:top w:val="none" w:sz="0" w:space="0" w:color="auto"/>
        <w:left w:val="none" w:sz="0" w:space="0" w:color="auto"/>
        <w:bottom w:val="none" w:sz="0" w:space="0" w:color="auto"/>
        <w:right w:val="none" w:sz="0" w:space="0" w:color="auto"/>
      </w:divBdr>
      <w:divsChild>
        <w:div w:id="1959482625">
          <w:marLeft w:val="0"/>
          <w:marRight w:val="0"/>
          <w:marTop w:val="0"/>
          <w:marBottom w:val="0"/>
          <w:divBdr>
            <w:top w:val="none" w:sz="0" w:space="0" w:color="auto"/>
            <w:left w:val="none" w:sz="0" w:space="0" w:color="auto"/>
            <w:bottom w:val="none" w:sz="0" w:space="0" w:color="auto"/>
            <w:right w:val="none" w:sz="0" w:space="0" w:color="auto"/>
          </w:divBdr>
        </w:div>
        <w:div w:id="589581623">
          <w:marLeft w:val="0"/>
          <w:marRight w:val="0"/>
          <w:marTop w:val="0"/>
          <w:marBottom w:val="0"/>
          <w:divBdr>
            <w:top w:val="none" w:sz="0" w:space="0" w:color="auto"/>
            <w:left w:val="none" w:sz="0" w:space="0" w:color="auto"/>
            <w:bottom w:val="none" w:sz="0" w:space="0" w:color="auto"/>
            <w:right w:val="none" w:sz="0" w:space="0" w:color="auto"/>
          </w:divBdr>
        </w:div>
        <w:div w:id="1430345968">
          <w:marLeft w:val="0"/>
          <w:marRight w:val="0"/>
          <w:marTop w:val="0"/>
          <w:marBottom w:val="0"/>
          <w:divBdr>
            <w:top w:val="none" w:sz="0" w:space="0" w:color="auto"/>
            <w:left w:val="none" w:sz="0" w:space="0" w:color="auto"/>
            <w:bottom w:val="none" w:sz="0" w:space="0" w:color="auto"/>
            <w:right w:val="none" w:sz="0" w:space="0" w:color="auto"/>
          </w:divBdr>
        </w:div>
        <w:div w:id="499807372">
          <w:marLeft w:val="0"/>
          <w:marRight w:val="0"/>
          <w:marTop w:val="0"/>
          <w:marBottom w:val="0"/>
          <w:divBdr>
            <w:top w:val="none" w:sz="0" w:space="0" w:color="auto"/>
            <w:left w:val="none" w:sz="0" w:space="0" w:color="auto"/>
            <w:bottom w:val="none" w:sz="0" w:space="0" w:color="auto"/>
            <w:right w:val="none" w:sz="0" w:space="0" w:color="auto"/>
          </w:divBdr>
        </w:div>
        <w:div w:id="1297370465">
          <w:marLeft w:val="0"/>
          <w:marRight w:val="0"/>
          <w:marTop w:val="0"/>
          <w:marBottom w:val="0"/>
          <w:divBdr>
            <w:top w:val="none" w:sz="0" w:space="0" w:color="auto"/>
            <w:left w:val="none" w:sz="0" w:space="0" w:color="auto"/>
            <w:bottom w:val="none" w:sz="0" w:space="0" w:color="auto"/>
            <w:right w:val="none" w:sz="0" w:space="0" w:color="auto"/>
          </w:divBdr>
        </w:div>
        <w:div w:id="410396839">
          <w:marLeft w:val="0"/>
          <w:marRight w:val="0"/>
          <w:marTop w:val="0"/>
          <w:marBottom w:val="0"/>
          <w:divBdr>
            <w:top w:val="none" w:sz="0" w:space="0" w:color="auto"/>
            <w:left w:val="none" w:sz="0" w:space="0" w:color="auto"/>
            <w:bottom w:val="none" w:sz="0" w:space="0" w:color="auto"/>
            <w:right w:val="none" w:sz="0" w:space="0" w:color="auto"/>
          </w:divBdr>
        </w:div>
        <w:div w:id="748424042">
          <w:marLeft w:val="0"/>
          <w:marRight w:val="0"/>
          <w:marTop w:val="0"/>
          <w:marBottom w:val="0"/>
          <w:divBdr>
            <w:top w:val="none" w:sz="0" w:space="0" w:color="auto"/>
            <w:left w:val="none" w:sz="0" w:space="0" w:color="auto"/>
            <w:bottom w:val="none" w:sz="0" w:space="0" w:color="auto"/>
            <w:right w:val="none" w:sz="0" w:space="0" w:color="auto"/>
          </w:divBdr>
        </w:div>
      </w:divsChild>
    </w:div>
    <w:div w:id="693266803">
      <w:bodyDiv w:val="1"/>
      <w:marLeft w:val="0"/>
      <w:marRight w:val="0"/>
      <w:marTop w:val="0"/>
      <w:marBottom w:val="0"/>
      <w:divBdr>
        <w:top w:val="none" w:sz="0" w:space="0" w:color="auto"/>
        <w:left w:val="none" w:sz="0" w:space="0" w:color="auto"/>
        <w:bottom w:val="none" w:sz="0" w:space="0" w:color="auto"/>
        <w:right w:val="none" w:sz="0" w:space="0" w:color="auto"/>
      </w:divBdr>
    </w:div>
    <w:div w:id="955526311">
      <w:bodyDiv w:val="1"/>
      <w:marLeft w:val="0"/>
      <w:marRight w:val="0"/>
      <w:marTop w:val="0"/>
      <w:marBottom w:val="0"/>
      <w:divBdr>
        <w:top w:val="none" w:sz="0" w:space="0" w:color="auto"/>
        <w:left w:val="none" w:sz="0" w:space="0" w:color="auto"/>
        <w:bottom w:val="none" w:sz="0" w:space="0" w:color="auto"/>
        <w:right w:val="none" w:sz="0" w:space="0" w:color="auto"/>
      </w:divBdr>
    </w:div>
    <w:div w:id="961305576">
      <w:bodyDiv w:val="1"/>
      <w:marLeft w:val="0"/>
      <w:marRight w:val="0"/>
      <w:marTop w:val="0"/>
      <w:marBottom w:val="0"/>
      <w:divBdr>
        <w:top w:val="none" w:sz="0" w:space="0" w:color="auto"/>
        <w:left w:val="none" w:sz="0" w:space="0" w:color="auto"/>
        <w:bottom w:val="none" w:sz="0" w:space="0" w:color="auto"/>
        <w:right w:val="none" w:sz="0" w:space="0" w:color="auto"/>
      </w:divBdr>
    </w:div>
    <w:div w:id="1602951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ovrin.org/library/sovrin-governance-framewo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727</TotalTime>
  <Pages>9</Pages>
  <Words>2524</Words>
  <Characters>14388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cp:revision>
  <dcterms:created xsi:type="dcterms:W3CDTF">2019-09-24T10:59:00Z</dcterms:created>
  <dcterms:modified xsi:type="dcterms:W3CDTF">2019-10-01T19:25:00Z</dcterms:modified>
</cp:coreProperties>
</file>