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Multiple Endocrine Neoplasia Type 2 (MEN2)</w:t>
      </w:r>
    </w:p>
    <w:p>
      <w:r>
        <w:t>Genetics</w:t>
      </w:r>
    </w:p>
    <w:p>
      <w:r>
        <w:t>-Gene: RET (proto-oncogene tyrosine-protein kinase receptor RET; 10q11.2)</w:t>
      </w:r>
    </w:p>
    <w:p>
      <w:r>
        <w:t>-AD</w:t>
      </w:r>
    </w:p>
    <w:p>
      <w:r>
        <w:t>Clinical findings/Dysmorphic features</w:t>
      </w:r>
    </w:p>
    <w:p>
      <w:r>
        <w:t>-3 subtypes:</w:t>
      </w:r>
    </w:p>
    <w:p>
      <w:r>
        <w:t>1) MEN 2A: medullary thyroid carcinoma (MTC), pheochromocytoma (adrenal glands tumor), parathyroid adenoma/hyperplasia</w:t>
      </w:r>
    </w:p>
    <w:p>
      <w:r>
        <w:t>2) MEN 2B: MTC, pheochromocytoma, mucosal neuromas of lips and tongue, distinctive facies with enlarged lips, ganglioneuromatosis of the gastrointestinal tract, "marfanoid" habitus</w:t>
      </w:r>
    </w:p>
    <w:p>
      <w:r>
        <w:t>3) FMTC (familial medullary thyroid carcinoma): MTC only</w:t>
      </w:r>
    </w:p>
    <w:p>
      <w:r>
        <w:t>-MTC typically occurs in early childhood in MEN 2B, early adulthood in MEN 2A, and middle age in FMTC</w:t>
      </w:r>
    </w:p>
    <w:p>
      <w:r>
        <w:t>Etiology</w:t>
      </w:r>
    </w:p>
    <w:p>
      <w:r>
        <w:t>-Prevalence of MEN 2 has been estimated at 1:35,000</w:t>
      </w:r>
    </w:p>
    <w:p>
      <w:r>
        <w:t>Pathogenesis</w:t>
      </w:r>
    </w:p>
    <w:p>
      <w:r>
        <w:t>-RET: receptor tyrosine kinase (extracellular, transmembrane, intracellular domains)</w:t>
      </w:r>
    </w:p>
    <w:p>
      <w:r>
        <w:t>-Pathogenic variants in cysteine-rich extracellular domain (609, 611, 618, 620, 634) cause ligand-independent RET dimerization --&gt; constitutive activation (gain of function)</w:t>
      </w:r>
    </w:p>
    <w:p>
      <w:r>
        <w:t>Genetic testing/diagnosis</w:t>
      </w:r>
    </w:p>
    <w:p>
      <w:r>
        <w:t xml:space="preserve">-Clinical criteria: </w:t>
      </w:r>
    </w:p>
    <w:p>
      <w:r>
        <w:t>-MEN 2A: ≥2 specific endocrine tumors (MTC, pheochromocytoma, parathyroid adenoma/hyperplasia) in a single individual or in close relatives</w:t>
      </w:r>
    </w:p>
    <w:p>
      <w:r>
        <w:t>-FMTC: in families with ≥4 cases of MTC without pheochromocytoma or parathyroid adenoma/hyperplasia</w:t>
      </w:r>
    </w:p>
    <w:p>
      <w:r>
        <w:t>-Select exon testing (majority of pathogenic variants in exons 10, 11, 13-16) --&gt; single-gene testing (sequencing of RET if no pathogenic variant is found by exon testing) --&gt; multigene panel that includes RET and other genes of interest</w:t>
      </w:r>
    </w:p>
    <w:p>
      <w:r>
        <w:t>-No In/Dels since gain-of-function</w:t>
      </w:r>
    </w:p>
    <w:p>
      <w:r>
        <w:t>Others</w:t>
      </w:r>
    </w:p>
    <w:p>
      <w:r>
        <w:t>-Prophylactic thyroidectomy (by age 1 for MEN2B, by age 5 for most of MEN2A), screen for pheochromocytoma annually and prior to any surgery, annual calcitonin stimulation test, annual parathyroid hormone screening</w:t>
      </w:r>
    </w:p>
    <w:p>
      <w:r>
        <w:t xml:space="preserve">-Pathogenic variant in codon 918 causes 95% of the MEN 2B phenotype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