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Neurofibromatosis type 2</w:t>
      </w:r>
    </w:p>
    <w:p>
      <w:r>
        <w:t>Genetics</w:t>
      </w:r>
    </w:p>
    <w:p>
      <w:r>
        <w:t>-Gene: NF2; (Neurofibromin-2/Merlin; 22q12.2)</w:t>
      </w:r>
    </w:p>
    <w:p>
      <w:r>
        <w:t>-AD</w:t>
      </w:r>
    </w:p>
    <w:p>
      <w:r>
        <w:t>Clinical findings/Dysmorphic features</w:t>
      </w:r>
    </w:p>
    <w:p>
      <w:r>
        <w:t>-Benign nerve tumors (schwannomas, meningiomas, ependymonas, astrocytoma)</w:t>
      </w:r>
    </w:p>
    <w:p>
      <w:r>
        <w:t>-Hallmark is bilateral acoustic/vestibular schwannoma: onset age 18-24 yrs, hearing loss, tinnitus, balance problems</w:t>
      </w:r>
    </w:p>
    <w:p>
      <w:r>
        <w:t>-Cataracts, mononeuropathy, café-au-lait (fewer than in NF1)</w:t>
      </w:r>
    </w:p>
    <w:p>
      <w:r>
        <w:t>Etiology</w:t>
      </w:r>
    </w:p>
    <w:p>
      <w:r>
        <w:t>-Prevalence of NF2 is 1:60,000; birth incidence of 1:33,000</w:t>
      </w:r>
    </w:p>
    <w:p>
      <w:r>
        <w:t>Pathogenesis</w:t>
      </w:r>
    </w:p>
    <w:p>
      <w:r>
        <w:t>-Merlin may coordinate processes of growth-factor receptor signaling and cell adhesion</w:t>
      </w:r>
    </w:p>
    <w:p>
      <w:r>
        <w:t>-NF2 is a tumor suppressor, 2nd hit leads to complete LOF when one germline mutation present</w:t>
      </w:r>
    </w:p>
    <w:p>
      <w:r>
        <w:t>Genetic testing/diagnosis</w:t>
      </w:r>
    </w:p>
    <w:p>
      <w:r>
        <w:t>-NF2 sequencing (75%), dup/del including CMA testing (10-15%)</w:t>
      </w:r>
    </w:p>
    <w:p>
      <w:r>
        <w:t>-&gt;400 pathogenic variants: mostly missense, nonsense, splicing variants and small deletions</w:t>
      </w:r>
    </w:p>
    <w:p>
      <w:r>
        <w:t>Others</w:t>
      </w:r>
    </w:p>
    <w:p>
      <w:r>
        <w:t>-Somatic mosaicism is frequent: 30% of ind. with de novo NF2 variant have somatic mosaicism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