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Beckwith-Wiedemann Syndrome</w:t>
      </w:r>
    </w:p>
    <w:p>
      <w:r>
        <w:t>Genetics</w:t>
      </w:r>
    </w:p>
    <w:p>
      <w:r>
        <w:t>-Gene: IGF2 and H19 in domain 1; CDKN1C, KCNQ10T1, and KCNQ1 in domain 2</w:t>
      </w:r>
    </w:p>
    <w:p>
      <w:r>
        <w:t>-AD in 15%</w:t>
      </w:r>
    </w:p>
    <w:p>
      <w:r>
        <w:t>Clinical findings/Dysmorphic features</w:t>
      </w:r>
    </w:p>
    <w:p>
      <w:r>
        <w:t>-Neonatal hypoglycemia, macrosomia (large baby, 90%), macroglossia (50%), ear creases/pits, hemihyperplasia, omphalocele (organs, including liver, outside abdomen with covering membrane vs. Gastroschisis has no sac and is likely caused by a rupture of a hernia of the cord)</w:t>
      </w:r>
    </w:p>
    <w:p>
      <w:r>
        <w:t>-Embryonal tumors (e.g. Wilms tumor, hepatoblastoma, neuroblastoma, rhabdomyosarcoma)</w:t>
      </w:r>
    </w:p>
    <w:p>
      <w:r>
        <w:t>-Visceromegaly, adrenocortical cytomegaly</w:t>
      </w:r>
    </w:p>
    <w:p>
      <w:r>
        <w:t>-Renal: medullary dysplasia, nephrocalcinosis, medullary sponge kidney, nephromegaly)</w:t>
      </w:r>
    </w:p>
    <w:p>
      <w:r>
        <w:t>-Clinical spectrum (affected ind. may have many of these features or only one)</w:t>
      </w:r>
    </w:p>
    <w:p>
      <w:r>
        <w:t>-Early death may occur from prematurity, hypoglycemia, cardiomyopathy, macroglossia, tumors</w:t>
      </w:r>
    </w:p>
    <w:p>
      <w:r>
        <w:t>Etiology</w:t>
      </w:r>
    </w:p>
    <w:p>
      <w:r>
        <w:t>-Prevalence of 1:10,000</w:t>
      </w:r>
    </w:p>
    <w:p>
      <w:r>
        <w:t>Pathogenesis</w:t>
      </w:r>
    </w:p>
    <w:p>
      <w:r>
        <w:t>-Domain 1: imprinted genes H19 and IGF2 (H19: ncRNA may function as tumor suppressor; IGF2: potent fetal growth factor):</w:t>
      </w:r>
    </w:p>
    <w:p>
      <w:r>
        <w:t>--&gt; IC1 unmethylated on mat allele --&gt; CTCF binds DNA --&gt; prevents enhancer to activate IGF2 --&gt; IGF2 is not expressed/H19 is expressed</w:t>
      </w:r>
    </w:p>
    <w:p>
      <w:r>
        <w:t>--&gt; IC1 methylated on pat allele --&gt; CTCF cannot bind --&gt; IGF2 expressed/H19 not expressed</w:t>
      </w:r>
    </w:p>
    <w:p>
      <w:r>
        <w:t>-Domain 2: imprinted genes CDKN1C, KCNQ1, and KCNQ1OT1; IC2 in promoter for KCNQ1OT1:</w:t>
      </w:r>
    </w:p>
    <w:p>
      <w:r>
        <w:t>--&gt; IC2 methylated on mat allele --&gt; KCNQ1OT1 not expressed/CDKN1C and KCNQ1 are expressed</w:t>
      </w:r>
    </w:p>
    <w:p>
      <w:r>
        <w:t>--&gt; IC2 not methylated on pat allele --&gt; KCNQ1OT1 expressed/CDKN1C and KCNQ1 are not expressed</w:t>
      </w:r>
    </w:p>
    <w:p>
      <w:r>
        <w:t>-Loss of methylation at IC2 on the maternal chromosome --&gt; biallelic expression of the normally paternally expressed KCNQ1OT1 and reduced CDKN1C and KCNQ1 expression</w:t>
      </w:r>
    </w:p>
    <w:p>
      <w:r>
        <w:t>Genetic testing/diagnosis</w:t>
      </w:r>
    </w:p>
    <w:p>
      <w:r>
        <w:t xml:space="preserve">-Cytogenetically detectable abnormalities on 11p15 only in &lt; 1% </w:t>
      </w:r>
    </w:p>
    <w:p>
      <w:r>
        <w:t xml:space="preserve">-Causes: 1) Hypomethylation on maternal IC2 (50%); 2) Paternal UPD for 11p15 (20%), 3) unknown (20%) 4) Hypermethylation on maternal IC1 (5%), 5) Maternal CDKN1C SNV in ~40% of familial cases and 5%-10% of cases with no family history </w:t>
      </w:r>
    </w:p>
    <w:p>
      <w:r>
        <w:t>Others</w:t>
      </w:r>
    </w:p>
    <w:p>
      <w:r>
        <w:t>-Screening for embryonal tumors: abdominal US every 3 months until 8y</w:t>
      </w:r>
    </w:p>
    <w:p>
      <w:r>
        <w:t>-Serum AFP concentration is monitored in the first few years of life for hepatoblastoma</w:t>
      </w:r>
    </w:p>
    <w:p>
      <w:r>
        <w:t>-pUPD of 11p15 and gain of met at IC1 --&gt; highest risk for WT and hepatoblastoma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